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B25451" w:rsidP="00D50C9E" w:rsidRDefault="00B25451" w14:paraId="7817E1F3" w14:textId="091C68F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CALIFICACIÓN DE CONTINGENCIA</w:t>
      </w:r>
    </w:p>
    <w:p w:rsidRPr="00D50C9E" w:rsidR="00D50C9E" w:rsidP="00D50C9E" w:rsidRDefault="00D50C9E" w14:paraId="473DE3FB" w14:textId="5EF3B0C2">
      <w:pPr>
        <w:jc w:val="both"/>
        <w:rPr>
          <w:rFonts w:ascii="Arial" w:hAnsi="Arial" w:cs="Arial"/>
        </w:rPr>
      </w:pPr>
      <w:r w:rsidRPr="00D50C9E">
        <w:rPr>
          <w:rFonts w:ascii="Arial" w:hAnsi="Arial" w:cs="Arial"/>
        </w:rPr>
        <w:t>La contingencia se califica como PROBABLE toda vez que, dentro del proceso se condenó a ALLIANZ</w:t>
      </w:r>
      <w:r w:rsidR="008E456B">
        <w:rPr>
          <w:rFonts w:ascii="Arial" w:hAnsi="Arial" w:cs="Arial"/>
        </w:rPr>
        <w:t xml:space="preserve"> </w:t>
      </w:r>
      <w:r w:rsidRPr="00D50C9E">
        <w:rPr>
          <w:rFonts w:ascii="Arial" w:hAnsi="Arial" w:cs="Arial"/>
        </w:rPr>
        <w:t xml:space="preserve">SEGUROS S.A. y a SEGUROS GENERALES SURAMERICANA S.A, pagar a los demandantes el valor de la condena en una proporción del 50% cada una en atención al porcentaje de participación </w:t>
      </w:r>
      <w:r w:rsidR="00B25451">
        <w:rPr>
          <w:rFonts w:ascii="Arial" w:hAnsi="Arial" w:cs="Arial"/>
        </w:rPr>
        <w:t>en la póliza (coaseguro)</w:t>
      </w:r>
      <w:r w:rsidRPr="00D50C9E">
        <w:rPr>
          <w:rFonts w:ascii="Arial" w:hAnsi="Arial" w:cs="Arial"/>
        </w:rPr>
        <w:t>, junto con el descuento del 10% sobre el valor total de la condena que corresponde al deducible y finalmente a asumir la condena en costas y agencias en derecho por valor de 2 SMMLV a favor de PULPACK LTDA.</w:t>
      </w:r>
    </w:p>
    <w:p w:rsidR="00B31963" w:rsidP="09A9936A" w:rsidRDefault="00D50C9E" w14:paraId="37ECC736" w14:textId="3EEC85D9">
      <w:pPr>
        <w:pStyle w:val="Normal"/>
        <w:jc w:val="both"/>
        <w:rPr>
          <w:rFonts w:ascii="Arial" w:hAnsi="Arial" w:cs="Arial"/>
        </w:rPr>
      </w:pPr>
      <w:r w:rsidRPr="09A9936A" w:rsidR="00D50C9E">
        <w:rPr>
          <w:rFonts w:ascii="Arial" w:hAnsi="Arial" w:cs="Arial"/>
        </w:rPr>
        <w:t xml:space="preserve">Lo primero que debe tomarse en consideración es que la Póliza de Responsabilidad Civil Extracontractual No. 021765288 / 0 cuyo tomador y asegurado es PULPACK S.A.S. y cuyo beneficiario son terceros afectados, </w:t>
      </w:r>
      <w:r w:rsidRPr="09A9936A" w:rsidR="00B25451">
        <w:rPr>
          <w:rFonts w:ascii="Arial" w:hAnsi="Arial" w:cs="Arial"/>
        </w:rPr>
        <w:t xml:space="preserve">no presta cobertura material, sin embargo, en atención a que la sentencia de 1ra instancia fue desfavorable, la contingencia queda como probable. </w:t>
      </w:r>
      <w:r w:rsidRPr="09A9936A" w:rsidR="00B25451">
        <w:rPr>
          <w:rFonts w:ascii="Arial" w:hAnsi="Arial" w:cs="Arial"/>
          <w:u w:val="single"/>
        </w:rPr>
        <w:t>Frente a la cobertura temporal</w:t>
      </w:r>
      <w:r w:rsidRPr="09A9936A" w:rsidR="00B25451">
        <w:rPr>
          <w:rFonts w:ascii="Arial" w:hAnsi="Arial" w:cs="Arial"/>
        </w:rPr>
        <w:t xml:space="preserve">, su modalidad es ocurrencia, </w:t>
      </w:r>
      <w:r w:rsidRPr="09A9936A" w:rsidR="00D50C9E">
        <w:rPr>
          <w:rFonts w:ascii="Arial" w:hAnsi="Arial" w:cs="Arial"/>
        </w:rPr>
        <w:t>con una vigencia desde el 01/05/2015</w:t>
      </w:r>
      <w:r w:rsidRPr="09A9936A" w:rsidR="00113296">
        <w:rPr>
          <w:rFonts w:ascii="Arial" w:hAnsi="Arial" w:cs="Arial"/>
        </w:rPr>
        <w:t xml:space="preserve"> </w:t>
      </w:r>
      <w:r w:rsidRPr="09A9936A" w:rsidR="00D50C9E">
        <w:rPr>
          <w:rFonts w:ascii="Arial" w:hAnsi="Arial" w:cs="Arial"/>
        </w:rPr>
        <w:t xml:space="preserve">hasta el 30/04/2016. </w:t>
      </w:r>
      <w:r w:rsidRPr="09A9936A" w:rsidR="00D50C9E">
        <w:rPr>
          <w:rFonts w:ascii="Arial" w:hAnsi="Arial" w:cs="Arial"/>
          <w:u w:val="single"/>
        </w:rPr>
        <w:t>Frente a la cobertura material</w:t>
      </w:r>
      <w:r w:rsidRPr="09A9936A" w:rsidR="00D50C9E">
        <w:rPr>
          <w:rFonts w:ascii="Arial" w:hAnsi="Arial" w:cs="Arial"/>
        </w:rPr>
        <w:t xml:space="preserve">, debe indicarse que la póliza ampara: </w:t>
      </w:r>
      <w:r w:rsidRPr="09A9936A" w:rsidR="00D50C9E">
        <w:rPr>
          <w:rFonts w:ascii="Arial" w:hAnsi="Arial" w:cs="Arial"/>
        </w:rPr>
        <w:t>(i) RC</w:t>
      </w:r>
      <w:r w:rsidRPr="09A9936A" w:rsidR="008314B9">
        <w:rPr>
          <w:rFonts w:ascii="Arial" w:hAnsi="Arial" w:cs="Arial"/>
        </w:rPr>
        <w:t xml:space="preserve"> </w:t>
      </w:r>
      <w:r w:rsidRPr="09A9936A" w:rsidR="00D50C9E">
        <w:rPr>
          <w:rFonts w:ascii="Arial" w:hAnsi="Arial" w:cs="Arial"/>
        </w:rPr>
        <w:t>PATRONAL (</w:t>
      </w:r>
      <w:r w:rsidRPr="09A9936A" w:rsidR="00D50C9E">
        <w:rPr>
          <w:rFonts w:ascii="Arial" w:hAnsi="Arial" w:cs="Arial"/>
        </w:rPr>
        <w:t>ii</w:t>
      </w:r>
      <w:r w:rsidRPr="09A9936A" w:rsidR="00D50C9E">
        <w:rPr>
          <w:rFonts w:ascii="Arial" w:hAnsi="Arial" w:cs="Arial"/>
        </w:rPr>
        <w:t>) P.L.O. (Predios, labores y operaciones), (</w:t>
      </w:r>
      <w:r w:rsidRPr="09A9936A" w:rsidR="00D50C9E">
        <w:rPr>
          <w:rFonts w:ascii="Arial" w:hAnsi="Arial" w:cs="Arial"/>
        </w:rPr>
        <w:t>iii</w:t>
      </w:r>
      <w:r w:rsidRPr="09A9936A" w:rsidR="00D50C9E">
        <w:rPr>
          <w:rFonts w:ascii="Arial" w:hAnsi="Arial" w:cs="Arial"/>
        </w:rPr>
        <w:t>) RC Contratistas y Subcontratistas independientes</w:t>
      </w:r>
      <w:r w:rsidRPr="09A9936A" w:rsidR="5BF42111">
        <w:rPr>
          <w:rFonts w:ascii="Arial" w:hAnsi="Arial" w:cs="Arial"/>
        </w:rPr>
        <w:t>, (</w:t>
      </w:r>
      <w:r w:rsidRPr="09A9936A" w:rsidR="5BF42111">
        <w:rPr>
          <w:rFonts w:ascii="Arial" w:hAnsi="Arial" w:cs="Arial"/>
        </w:rPr>
        <w:t>iv</w:t>
      </w:r>
      <w:r w:rsidRPr="09A9936A" w:rsidR="5BF42111">
        <w:rPr>
          <w:rFonts w:ascii="Arial" w:hAnsi="Arial" w:cs="Arial"/>
        </w:rPr>
        <w:t>) RC Gastos Médicos, (v) RC Vehículos propios y No Propios, (vi) RC Parqueaderos</w:t>
      </w:r>
      <w:r w:rsidRPr="09A9936A" w:rsidR="1EF5A859">
        <w:rPr>
          <w:rFonts w:ascii="Arial" w:hAnsi="Arial" w:cs="Arial"/>
        </w:rPr>
        <w:t xml:space="preserve"> y (</w:t>
      </w:r>
      <w:r w:rsidRPr="09A9936A" w:rsidR="1EF5A859">
        <w:rPr>
          <w:rFonts w:ascii="Arial" w:hAnsi="Arial" w:cs="Arial"/>
        </w:rPr>
        <w:t>vii</w:t>
      </w:r>
      <w:r w:rsidRPr="09A9936A" w:rsidR="1EF5A859">
        <w:rPr>
          <w:rFonts w:ascii="Arial" w:hAnsi="Arial" w:cs="Arial"/>
        </w:rPr>
        <w:t>) RC Productos y Trabajos Terminados</w:t>
      </w:r>
      <w:r w:rsidRPr="09A9936A" w:rsidR="00D50C9E">
        <w:rPr>
          <w:rFonts w:ascii="Arial" w:hAnsi="Arial" w:cs="Arial"/>
        </w:rPr>
        <w:t xml:space="preserve">. </w:t>
      </w:r>
      <w:r w:rsidRPr="09A9936A" w:rsidR="00D50C9E">
        <w:rPr>
          <w:rFonts w:ascii="Arial" w:hAnsi="Arial" w:cs="Arial"/>
        </w:rPr>
        <w:t>Así las cosas, tenemos entonces que</w:t>
      </w:r>
      <w:r w:rsidRPr="09A9936A" w:rsidR="00AC30C3">
        <w:rPr>
          <w:rFonts w:ascii="Arial" w:hAnsi="Arial" w:cs="Arial"/>
        </w:rPr>
        <w:t>,</w:t>
      </w:r>
      <w:r w:rsidRPr="09A9936A" w:rsidR="00AC30C3">
        <w:rPr>
          <w:rFonts w:ascii="Arial" w:hAnsi="Arial" w:cs="Arial"/>
        </w:rPr>
        <w:t xml:space="preserve"> </w:t>
      </w:r>
      <w:r w:rsidRPr="09A9936A" w:rsidR="00AC30C3">
        <w:rPr>
          <w:rFonts w:ascii="Arial" w:hAnsi="Arial" w:cs="Arial"/>
        </w:rPr>
        <w:t>la calificación se mantiene como PROBABLE, como quiera que ya existe un fallo desfavorable, sin embargo, la condena en contra de ALLIANZ SEGUROS S.A. podrá ser revocada</w:t>
      </w:r>
      <w:r w:rsidRPr="09A9936A" w:rsidR="008314B9">
        <w:rPr>
          <w:rFonts w:ascii="Arial" w:hAnsi="Arial" w:cs="Arial"/>
        </w:rPr>
        <w:t xml:space="preserve"> por el tribunal superior teniendo en cuenta que el argumento de la Juez de primera instancia no se ajustó a las condiciones del contrato de seguro, </w:t>
      </w:r>
      <w:r w:rsidRPr="09A9936A" w:rsidR="006D4914">
        <w:rPr>
          <w:rFonts w:ascii="Arial" w:hAnsi="Arial" w:cs="Arial"/>
        </w:rPr>
        <w:t xml:space="preserve">por las siguientes razones: </w:t>
      </w:r>
      <w:r w:rsidRPr="09A9936A" w:rsidR="00D50C9E">
        <w:rPr>
          <w:rFonts w:ascii="Arial" w:hAnsi="Arial" w:cs="Arial"/>
        </w:rPr>
        <w:t>(i) frente al amparo de RC PATRONAL</w:t>
      </w:r>
      <w:r w:rsidRPr="09A9936A" w:rsidR="008314B9">
        <w:rPr>
          <w:rFonts w:ascii="Arial" w:hAnsi="Arial" w:cs="Arial"/>
        </w:rPr>
        <w:t>,</w:t>
      </w:r>
      <w:r w:rsidRPr="09A9936A" w:rsidR="00113296">
        <w:rPr>
          <w:rFonts w:ascii="Arial" w:hAnsi="Arial" w:cs="Arial"/>
        </w:rPr>
        <w:t xml:space="preserve"> debe indicarse que </w:t>
      </w:r>
      <w:r w:rsidRPr="09A9936A" w:rsidR="008314B9">
        <w:rPr>
          <w:rFonts w:ascii="Arial" w:hAnsi="Arial" w:cs="Arial"/>
        </w:rPr>
        <w:t xml:space="preserve">no se declaró un contrato </w:t>
      </w:r>
      <w:r w:rsidRPr="09A9936A" w:rsidR="00D20869">
        <w:rPr>
          <w:rFonts w:ascii="Arial" w:hAnsi="Arial" w:cs="Arial"/>
        </w:rPr>
        <w:t xml:space="preserve">realidad </w:t>
      </w:r>
      <w:r w:rsidRPr="09A9936A" w:rsidR="008314B9">
        <w:rPr>
          <w:rFonts w:ascii="Arial" w:hAnsi="Arial" w:cs="Arial"/>
        </w:rPr>
        <w:t xml:space="preserve">entre el demandante y </w:t>
      </w:r>
      <w:r w:rsidRPr="09A9936A" w:rsidR="00D20869">
        <w:rPr>
          <w:rFonts w:ascii="Arial" w:hAnsi="Arial" w:cs="Arial"/>
        </w:rPr>
        <w:t xml:space="preserve"> </w:t>
      </w:r>
      <w:r w:rsidRPr="09A9936A" w:rsidR="00D20869">
        <w:rPr>
          <w:rFonts w:ascii="Arial" w:hAnsi="Arial" w:cs="Arial"/>
        </w:rPr>
        <w:t>PULPACK LTDA</w:t>
      </w:r>
      <w:r w:rsidRPr="09A9936A" w:rsidR="008314B9">
        <w:rPr>
          <w:rFonts w:ascii="Arial" w:hAnsi="Arial" w:cs="Arial"/>
        </w:rPr>
        <w:t xml:space="preserve">, puesto que </w:t>
      </w:r>
      <w:r w:rsidRPr="09A9936A" w:rsidR="00D20869">
        <w:rPr>
          <w:rFonts w:ascii="Arial" w:hAnsi="Arial" w:cs="Arial"/>
        </w:rPr>
        <w:t>el señor EDISON</w:t>
      </w:r>
      <w:r w:rsidRPr="09A9936A" w:rsidR="00D20869">
        <w:rPr>
          <w:rFonts w:ascii="Arial" w:hAnsi="Arial" w:cs="Arial"/>
        </w:rPr>
        <w:t xml:space="preserve"> </w:t>
      </w:r>
      <w:r w:rsidRPr="09A9936A" w:rsidR="00D20869">
        <w:rPr>
          <w:rFonts w:ascii="Arial" w:hAnsi="Arial" w:cs="Arial"/>
        </w:rPr>
        <w:t xml:space="preserve">ALEXANDER JIMÉNEZ LÓPEZ </w:t>
      </w:r>
      <w:r w:rsidRPr="09A9936A" w:rsidR="00113296">
        <w:rPr>
          <w:rFonts w:ascii="Arial" w:hAnsi="Arial" w:cs="Arial"/>
        </w:rPr>
        <w:t xml:space="preserve">era un trabajador en misión y no superó el lapso permitido por </w:t>
      </w:r>
      <w:r w:rsidRPr="09A9936A" w:rsidR="00113296">
        <w:rPr>
          <w:rFonts w:ascii="Arial" w:hAnsi="Arial" w:cs="Arial"/>
        </w:rPr>
        <w:t>el</w:t>
      </w:r>
      <w:r w:rsidRPr="09A9936A" w:rsidR="398D48FF">
        <w:rPr>
          <w:rFonts w:ascii="Arial" w:hAnsi="Arial" w:cs="Arial"/>
        </w:rPr>
        <w:t xml:space="preserve"> </w:t>
      </w:r>
      <w:r w:rsidRPr="09A9936A" w:rsidR="398D48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Decreto 4369 de 2006</w:t>
      </w:r>
      <w:r w:rsidR="00D708A6">
        <w:rPr/>
        <w:t xml:space="preserve">, </w:t>
      </w:r>
      <w:r w:rsidRPr="09A9936A" w:rsidR="00D20869">
        <w:rPr>
          <w:rFonts w:ascii="Arial" w:hAnsi="Arial" w:cs="Arial"/>
        </w:rPr>
        <w:t xml:space="preserve">por cuanto inició a prestar sus servicios en diciembre de 2015 y falleció en marzo de 2016, así las cosas se estableció que el empleador fue </w:t>
      </w:r>
      <w:r w:rsidRPr="09A9936A" w:rsidR="00D20869">
        <w:rPr>
          <w:rFonts w:ascii="Arial" w:hAnsi="Arial" w:cs="Arial"/>
        </w:rPr>
        <w:t>NEXARTE SERVICIOS TEMPORALES</w:t>
      </w:r>
      <w:r w:rsidRPr="09A9936A" w:rsidR="00D20869">
        <w:rPr>
          <w:rFonts w:ascii="Arial" w:hAnsi="Arial" w:cs="Arial"/>
        </w:rPr>
        <w:t xml:space="preserve"> y </w:t>
      </w:r>
      <w:r w:rsidRPr="09A9936A" w:rsidR="008314B9">
        <w:rPr>
          <w:rFonts w:ascii="Arial" w:hAnsi="Arial" w:cs="Arial"/>
        </w:rPr>
        <w:t>por consiguiente</w:t>
      </w:r>
      <w:r w:rsidRPr="09A9936A" w:rsidR="00D20869">
        <w:rPr>
          <w:rFonts w:ascii="Arial" w:hAnsi="Arial" w:cs="Arial"/>
        </w:rPr>
        <w:t>, no ha</w:t>
      </w:r>
      <w:r w:rsidRPr="09A9936A" w:rsidR="00AC30C3">
        <w:rPr>
          <w:rFonts w:ascii="Arial" w:hAnsi="Arial" w:cs="Arial"/>
        </w:rPr>
        <w:t>y</w:t>
      </w:r>
      <w:r w:rsidRPr="09A9936A" w:rsidR="00D20869">
        <w:rPr>
          <w:rFonts w:ascii="Arial" w:hAnsi="Arial" w:cs="Arial"/>
        </w:rPr>
        <w:t xml:space="preserve"> lugar afectar el amparo por RC PATRONAL, pues el fallecido no era trabajador del asegurado.</w:t>
      </w:r>
      <w:r w:rsidRPr="09A9936A" w:rsidR="00D20869">
        <w:rPr>
          <w:rFonts w:ascii="Arial" w:hAnsi="Arial" w:cs="Arial"/>
        </w:rPr>
        <w:t xml:space="preserve"> </w:t>
      </w:r>
      <w:r w:rsidRPr="09A9936A" w:rsidR="00D50C9E">
        <w:rPr>
          <w:rFonts w:ascii="Arial" w:hAnsi="Arial" w:cs="Arial"/>
        </w:rPr>
        <w:t>(</w:t>
      </w:r>
      <w:r w:rsidRPr="09A9936A" w:rsidR="00D50C9E">
        <w:rPr>
          <w:rFonts w:ascii="Arial" w:hAnsi="Arial" w:cs="Arial"/>
        </w:rPr>
        <w:t>ii</w:t>
      </w:r>
      <w:r w:rsidRPr="09A9936A" w:rsidR="00D50C9E">
        <w:rPr>
          <w:rFonts w:ascii="Arial" w:hAnsi="Arial" w:cs="Arial"/>
        </w:rPr>
        <w:t>) Frente al amparo por RC Contratistas y Subcontratistas independientes</w:t>
      </w:r>
      <w:r w:rsidRPr="09A9936A" w:rsidR="00B31963">
        <w:rPr>
          <w:rFonts w:ascii="Arial" w:hAnsi="Arial" w:cs="Arial"/>
        </w:rPr>
        <w:t xml:space="preserve"> no hay lugar afectar el mismo, como quiera que el trabajador no era un subcontratista independiente, ya que, no era contratista de </w:t>
      </w:r>
      <w:r w:rsidRPr="09A9936A" w:rsidR="00B31963">
        <w:rPr>
          <w:rFonts w:ascii="Arial" w:hAnsi="Arial" w:cs="Arial"/>
        </w:rPr>
        <w:t>NEXARTE SERVICIOS TEMPORALES</w:t>
      </w:r>
      <w:r w:rsidRPr="09A9936A" w:rsidR="00B31963">
        <w:rPr>
          <w:rFonts w:ascii="Arial" w:hAnsi="Arial" w:cs="Arial"/>
        </w:rPr>
        <w:t xml:space="preserve"> sino un trabajador en misión con una relación laboral directa con aquella</w:t>
      </w:r>
      <w:r w:rsidRPr="09A9936A" w:rsidR="00AC30C3">
        <w:rPr>
          <w:rFonts w:ascii="Arial" w:hAnsi="Arial" w:cs="Arial"/>
        </w:rPr>
        <w:t xml:space="preserve"> y así lo estableció la juez de primera instancia</w:t>
      </w:r>
      <w:r w:rsidRPr="09A9936A" w:rsidR="00B31963">
        <w:rPr>
          <w:rFonts w:ascii="Arial" w:hAnsi="Arial" w:cs="Arial"/>
        </w:rPr>
        <w:t>.</w:t>
      </w:r>
      <w:r w:rsidRPr="09A9936A" w:rsidR="00D50C9E">
        <w:rPr>
          <w:rFonts w:ascii="Arial" w:hAnsi="Arial" w:cs="Arial"/>
        </w:rPr>
        <w:t xml:space="preserve"> (</w:t>
      </w:r>
      <w:r w:rsidRPr="09A9936A" w:rsidR="00D50C9E">
        <w:rPr>
          <w:rFonts w:ascii="Arial" w:hAnsi="Arial" w:cs="Arial"/>
        </w:rPr>
        <w:t>iii</w:t>
      </w:r>
      <w:r w:rsidRPr="09A9936A" w:rsidR="00D50C9E">
        <w:rPr>
          <w:rFonts w:ascii="Arial" w:hAnsi="Arial" w:cs="Arial"/>
        </w:rPr>
        <w:t>) Frente al amparo por P.L.O.</w:t>
      </w:r>
      <w:r w:rsidRPr="09A9936A" w:rsidR="00B31963">
        <w:rPr>
          <w:rFonts w:ascii="Arial" w:hAnsi="Arial" w:cs="Arial"/>
        </w:rPr>
        <w:t xml:space="preserve"> </w:t>
      </w:r>
      <w:r w:rsidRPr="09A9936A" w:rsidR="00D50C9E">
        <w:rPr>
          <w:rFonts w:ascii="Arial" w:hAnsi="Arial" w:cs="Arial"/>
        </w:rPr>
        <w:t xml:space="preserve">(Predios, labores y operaciones) </w:t>
      </w:r>
      <w:r w:rsidRPr="09A9936A" w:rsidR="00B31963">
        <w:rPr>
          <w:rFonts w:ascii="Arial" w:hAnsi="Arial" w:cs="Arial"/>
        </w:rPr>
        <w:t>debe indicar</w:t>
      </w:r>
      <w:r w:rsidRPr="09A9936A" w:rsidR="008314B9">
        <w:rPr>
          <w:rFonts w:ascii="Arial" w:hAnsi="Arial" w:cs="Arial"/>
        </w:rPr>
        <w:t>se</w:t>
      </w:r>
      <w:r w:rsidRPr="09A9936A" w:rsidR="00B31963">
        <w:rPr>
          <w:rFonts w:ascii="Arial" w:hAnsi="Arial" w:cs="Arial"/>
        </w:rPr>
        <w:t xml:space="preserve"> que</w:t>
      </w:r>
      <w:r w:rsidRPr="09A9936A" w:rsidR="00AC30C3">
        <w:rPr>
          <w:rFonts w:ascii="Arial" w:hAnsi="Arial" w:cs="Arial"/>
        </w:rPr>
        <w:t xml:space="preserve">, la juez </w:t>
      </w:r>
      <w:r w:rsidRPr="09A9936A" w:rsidR="00AC30C3">
        <w:rPr>
          <w:rFonts w:ascii="Arial" w:hAnsi="Arial" w:cs="Arial"/>
        </w:rPr>
        <w:t>arguyó que debía afectarse</w:t>
      </w:r>
      <w:r w:rsidRPr="09A9936A" w:rsidR="008314B9">
        <w:rPr>
          <w:rFonts w:ascii="Arial" w:hAnsi="Arial" w:cs="Arial"/>
        </w:rPr>
        <w:t xml:space="preserve"> este amparo,</w:t>
      </w:r>
      <w:r w:rsidRPr="09A9936A" w:rsidR="00AC30C3">
        <w:rPr>
          <w:rFonts w:ascii="Arial" w:hAnsi="Arial" w:cs="Arial"/>
        </w:rPr>
        <w:t xml:space="preserve"> </w:t>
      </w:r>
      <w:r w:rsidRPr="09A9936A" w:rsidR="008314B9">
        <w:rPr>
          <w:rFonts w:ascii="Arial" w:hAnsi="Arial" w:cs="Arial"/>
        </w:rPr>
        <w:t xml:space="preserve">en el entendido que </w:t>
      </w:r>
      <w:r w:rsidRPr="09A9936A" w:rsidR="00AC30C3">
        <w:rPr>
          <w:rFonts w:ascii="Arial" w:hAnsi="Arial" w:cs="Arial"/>
        </w:rPr>
        <w:t>la cobertura de</w:t>
      </w:r>
      <w:r w:rsidRPr="09A9936A" w:rsidR="008314B9">
        <w:rPr>
          <w:rFonts w:ascii="Arial" w:hAnsi="Arial" w:cs="Arial"/>
        </w:rPr>
        <w:t>l</w:t>
      </w:r>
      <w:r w:rsidRPr="09A9936A" w:rsidR="00AC30C3">
        <w:rPr>
          <w:rFonts w:ascii="Arial" w:hAnsi="Arial" w:cs="Arial"/>
        </w:rPr>
        <w:t xml:space="preserve"> seguro comprende la responsabilidad civil extracontractual del asegurado frente a terceros, originada dentro de</w:t>
      </w:r>
      <w:r w:rsidRPr="09A9936A" w:rsidR="00AC30C3">
        <w:rPr>
          <w:rFonts w:ascii="Arial" w:hAnsi="Arial" w:cs="Arial"/>
        </w:rPr>
        <w:t xml:space="preserve"> </w:t>
      </w:r>
      <w:r w:rsidRPr="09A9936A" w:rsidR="00AC30C3">
        <w:rPr>
          <w:rFonts w:ascii="Arial" w:hAnsi="Arial" w:cs="Arial"/>
        </w:rPr>
        <w:t>las actividades declaradas aseguradas y que son inherentes a las actividades desarrolladas por el mismo, considerando al lesionado como un tercero afectado</w:t>
      </w:r>
      <w:r w:rsidRPr="09A9936A" w:rsidR="00AC30C3">
        <w:rPr>
          <w:rFonts w:ascii="Arial" w:hAnsi="Arial" w:cs="Arial"/>
        </w:rPr>
        <w:t xml:space="preserve">, sin embargo, hubo una </w:t>
      </w:r>
      <w:r w:rsidRPr="09A9936A" w:rsidR="008314B9">
        <w:rPr>
          <w:rFonts w:ascii="Arial" w:hAnsi="Arial" w:cs="Arial"/>
        </w:rPr>
        <w:t>errada</w:t>
      </w:r>
      <w:r w:rsidRPr="09A9936A" w:rsidR="00AC30C3">
        <w:rPr>
          <w:rFonts w:ascii="Arial" w:hAnsi="Arial" w:cs="Arial"/>
        </w:rPr>
        <w:t xml:space="preserve"> interpretación por parte de la A quo, ya que,</w:t>
      </w:r>
      <w:r w:rsidRPr="09A9936A" w:rsidR="008314B9">
        <w:rPr>
          <w:rFonts w:ascii="Arial" w:hAnsi="Arial" w:cs="Arial"/>
        </w:rPr>
        <w:t xml:space="preserve"> para la afectación de este amparo,</w:t>
      </w:r>
      <w:r w:rsidRPr="09A9936A" w:rsidR="00AC30C3">
        <w:rPr>
          <w:rFonts w:ascii="Arial" w:hAnsi="Arial" w:cs="Arial"/>
        </w:rPr>
        <w:t xml:space="preserve"> se </w:t>
      </w:r>
      <w:r w:rsidRPr="09A9936A" w:rsidR="00B31963">
        <w:rPr>
          <w:rFonts w:ascii="Arial" w:hAnsi="Arial" w:cs="Arial"/>
        </w:rPr>
        <w:t>exige que la persona afectada sea u</w:t>
      </w:r>
      <w:r w:rsidRPr="09A9936A" w:rsidR="00AC30C3">
        <w:rPr>
          <w:rFonts w:ascii="Arial" w:hAnsi="Arial" w:cs="Arial"/>
        </w:rPr>
        <w:t>n</w:t>
      </w:r>
      <w:r w:rsidRPr="09A9936A" w:rsidR="00B31963">
        <w:rPr>
          <w:rFonts w:ascii="Arial" w:hAnsi="Arial" w:cs="Arial"/>
        </w:rPr>
        <w:t xml:space="preserve"> tercero ajeno al asegurado, y</w:t>
      </w:r>
      <w:r w:rsidRPr="09A9936A" w:rsidR="00AC30C3">
        <w:rPr>
          <w:rFonts w:ascii="Arial" w:hAnsi="Arial" w:cs="Arial"/>
        </w:rPr>
        <w:t xml:space="preserve"> </w:t>
      </w:r>
      <w:r w:rsidRPr="09A9936A" w:rsidR="00B31963">
        <w:rPr>
          <w:rFonts w:ascii="Arial" w:hAnsi="Arial" w:cs="Arial"/>
        </w:rPr>
        <w:t>en este caso</w:t>
      </w:r>
      <w:r w:rsidRPr="09A9936A" w:rsidR="008314B9">
        <w:rPr>
          <w:rFonts w:ascii="Arial" w:hAnsi="Arial" w:cs="Arial"/>
        </w:rPr>
        <w:t>,</w:t>
      </w:r>
      <w:r w:rsidRPr="09A9936A" w:rsidR="00B31963">
        <w:rPr>
          <w:rFonts w:ascii="Arial" w:hAnsi="Arial" w:cs="Arial"/>
        </w:rPr>
        <w:t xml:space="preserve"> el occiso no era ajeno </w:t>
      </w:r>
      <w:r w:rsidRPr="09A9936A" w:rsidR="008314B9">
        <w:rPr>
          <w:rFonts w:ascii="Arial" w:hAnsi="Arial" w:cs="Arial"/>
        </w:rPr>
        <w:t>toda vez que,</w:t>
      </w:r>
      <w:r w:rsidRPr="09A9936A" w:rsidR="00B31963">
        <w:rPr>
          <w:rFonts w:ascii="Arial" w:hAnsi="Arial" w:cs="Arial"/>
        </w:rPr>
        <w:t xml:space="preserve"> era trabajador directo de </w:t>
      </w:r>
      <w:r w:rsidRPr="09A9936A" w:rsidR="00B31963">
        <w:rPr>
          <w:rFonts w:ascii="Arial" w:hAnsi="Arial" w:cs="Arial"/>
        </w:rPr>
        <w:t>NEXARTE SERVICIOS TEMPORALES</w:t>
      </w:r>
      <w:r w:rsidRPr="09A9936A" w:rsidR="008314B9">
        <w:rPr>
          <w:rFonts w:ascii="Arial" w:hAnsi="Arial" w:cs="Arial"/>
        </w:rPr>
        <w:t xml:space="preserve">, ultima sociedad que </w:t>
      </w:r>
      <w:r w:rsidRPr="09A9936A" w:rsidR="00B31963">
        <w:rPr>
          <w:rFonts w:ascii="Arial" w:hAnsi="Arial" w:cs="Arial"/>
        </w:rPr>
        <w:t xml:space="preserve">lo envío en misión a </w:t>
      </w:r>
      <w:r w:rsidRPr="09A9936A" w:rsidR="00B31963">
        <w:rPr>
          <w:rFonts w:ascii="Arial" w:hAnsi="Arial" w:cs="Arial"/>
        </w:rPr>
        <w:t>PULPACK LTDA.</w:t>
      </w:r>
      <w:r w:rsidRPr="09A9936A" w:rsidR="00B31963">
        <w:rPr>
          <w:rFonts w:ascii="Arial" w:hAnsi="Arial" w:cs="Arial"/>
        </w:rPr>
        <w:t xml:space="preserve">, por otro lado, dicho amparo contiene una exclusión por </w:t>
      </w:r>
      <w:r w:rsidRPr="09A9936A" w:rsidR="00B31963">
        <w:rPr>
          <w:rFonts w:ascii="Arial" w:hAnsi="Arial" w:cs="Arial"/>
        </w:rPr>
        <w:t>daños o Perjuicios causados por enfermedad profesional o accidente de trabajo</w:t>
      </w:r>
      <w:r w:rsidRPr="09A9936A" w:rsidR="00B31963">
        <w:rPr>
          <w:rFonts w:ascii="Arial" w:hAnsi="Arial" w:cs="Arial"/>
        </w:rPr>
        <w:t xml:space="preserve"> y el suceso acaecido fue un accidente de trabajo. </w:t>
      </w:r>
    </w:p>
    <w:p w:rsidR="00113296" w:rsidP="09A9936A" w:rsidRDefault="00D50C9E" w14:paraId="196EC2A9" w14:textId="7190FF3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cs="Arial"/>
        </w:rPr>
      </w:pPr>
      <w:r w:rsidRPr="09A9936A" w:rsidR="00D50C9E">
        <w:rPr>
          <w:rFonts w:ascii="Arial" w:hAnsi="Arial" w:cs="Arial"/>
        </w:rPr>
        <w:t xml:space="preserve">Frente a la responsabilidad de ALLIANZ SEGUROS S.A., es menester precisar que se interpuso recurso de apelación contra la sentencia de primera instancia arguyendo que la póliza frente a la cual se erige el llamamiento en garantía no presta cobertura para el evento alegado por la parte demandante, y que no es posible la afectación de los amparos en razón </w:t>
      </w:r>
      <w:r w:rsidRPr="09A9936A" w:rsidR="00D50C9E">
        <w:rPr>
          <w:rFonts w:ascii="Arial" w:hAnsi="Arial" w:cs="Arial"/>
        </w:rPr>
        <w:t>a que: (i) Para el amparo de RC PATRONAL solo presta cobertura a los empleados del asegurado como consecuencia directa de los accidentes de trabajo que estos presenten</w:t>
      </w:r>
      <w:r w:rsidRPr="09A9936A" w:rsidR="00AC30C3">
        <w:rPr>
          <w:rFonts w:ascii="Arial" w:hAnsi="Arial" w:cs="Arial"/>
        </w:rPr>
        <w:t xml:space="preserve">, y en el presente asunto se acreditó que el empleador era </w:t>
      </w:r>
      <w:r w:rsidRPr="09A9936A" w:rsidR="00AC30C3">
        <w:rPr>
          <w:rFonts w:ascii="Arial" w:hAnsi="Arial" w:cs="Arial"/>
        </w:rPr>
        <w:t>NEXARTE SERVICIOS TEMPORALES</w:t>
      </w:r>
      <w:r w:rsidRPr="09A9936A" w:rsidR="0067338D">
        <w:rPr>
          <w:rFonts w:ascii="Arial" w:hAnsi="Arial" w:cs="Arial"/>
        </w:rPr>
        <w:t xml:space="preserve"> y NO PULPACK</w:t>
      </w:r>
      <w:r w:rsidRPr="09A9936A" w:rsidR="00D50C9E">
        <w:rPr>
          <w:rFonts w:ascii="Arial" w:hAnsi="Arial" w:cs="Arial"/>
        </w:rPr>
        <w:t>; (</w:t>
      </w:r>
      <w:r w:rsidRPr="09A9936A" w:rsidR="00D50C9E">
        <w:rPr>
          <w:rFonts w:ascii="Arial" w:hAnsi="Arial" w:cs="Arial"/>
        </w:rPr>
        <w:t>ii</w:t>
      </w:r>
      <w:r w:rsidRPr="09A9936A" w:rsidR="00D50C9E">
        <w:rPr>
          <w:rFonts w:ascii="Arial" w:hAnsi="Arial" w:cs="Arial"/>
        </w:rPr>
        <w:t xml:space="preserve">) </w:t>
      </w:r>
      <w:r w:rsidRPr="09A9936A" w:rsidR="00D50C9E">
        <w:rPr>
          <w:rFonts w:ascii="Arial" w:hAnsi="Arial" w:cs="Arial"/>
        </w:rPr>
        <w:t>Frente al amparo por P.L.O se argumentó que</w:t>
      </w:r>
      <w:r w:rsidRPr="09A9936A" w:rsidR="2C218E2C">
        <w:rPr>
          <w:rFonts w:ascii="Arial" w:hAnsi="Arial" w:cs="Arial"/>
        </w:rPr>
        <w:t>, el mismo opera frente a terceros ajenos y en este caso, el occiso no era ajeno toda vez que, era trabajador directo de NEXARTE SERVICIOS TEMPORALES, ultima sociedad que lo envío en misión a PULPACK LTDA, así mismo se indic</w:t>
      </w:r>
      <w:r w:rsidRPr="09A9936A" w:rsidR="43B24F92">
        <w:rPr>
          <w:rFonts w:ascii="Arial" w:hAnsi="Arial" w:cs="Arial"/>
        </w:rPr>
        <w:t>ó</w:t>
      </w:r>
      <w:r w:rsidRPr="09A9936A" w:rsidR="2C218E2C">
        <w:rPr>
          <w:rFonts w:ascii="Arial" w:hAnsi="Arial" w:cs="Arial"/>
        </w:rPr>
        <w:t xml:space="preserve"> que </w:t>
      </w:r>
      <w:r w:rsidRPr="09A9936A" w:rsidR="00D50C9E">
        <w:rPr>
          <w:rFonts w:ascii="Arial" w:hAnsi="Arial" w:cs="Arial"/>
        </w:rPr>
        <w:t xml:space="preserve">frente al </w:t>
      </w:r>
      <w:r w:rsidRPr="09A9936A" w:rsidR="3CB09D96">
        <w:rPr>
          <w:rFonts w:ascii="Arial" w:hAnsi="Arial" w:cs="Arial"/>
        </w:rPr>
        <w:t>amparo</w:t>
      </w:r>
      <w:r w:rsidRPr="09A9936A" w:rsidR="00D50C9E">
        <w:rPr>
          <w:rFonts w:ascii="Arial" w:hAnsi="Arial" w:cs="Arial"/>
        </w:rPr>
        <w:t xml:space="preserve"> opera la exclusión de los daños o Perjuicios causados por enfermedad profesional o accidente de trabajo, y </w:t>
      </w:r>
      <w:r w:rsidRPr="09A9936A" w:rsidR="05D250AA">
        <w:rPr>
          <w:rFonts w:ascii="Arial" w:hAnsi="Arial" w:cs="Arial"/>
        </w:rPr>
        <w:t>que,</w:t>
      </w:r>
      <w:r w:rsidRPr="09A9936A" w:rsidR="00D50C9E">
        <w:rPr>
          <w:rFonts w:ascii="Arial" w:hAnsi="Arial" w:cs="Arial"/>
        </w:rPr>
        <w:t xml:space="preserve"> en ese sentido, no operaría la cobertura de la póliza</w:t>
      </w:r>
      <w:r w:rsidRPr="09A9936A" w:rsidR="00D50C9E">
        <w:rPr>
          <w:rFonts w:ascii="Arial" w:hAnsi="Arial" w:cs="Arial"/>
        </w:rPr>
        <w:t>, finalmente</w:t>
      </w:r>
      <w:r w:rsidRPr="09A9936A" w:rsidR="00AC30C3">
        <w:rPr>
          <w:rFonts w:ascii="Arial" w:hAnsi="Arial" w:cs="Arial"/>
        </w:rPr>
        <w:t>,</w:t>
      </w:r>
      <w:r w:rsidRPr="09A9936A" w:rsidR="00D50C9E">
        <w:rPr>
          <w:rFonts w:ascii="Arial" w:hAnsi="Arial" w:cs="Arial"/>
        </w:rPr>
        <w:t xml:space="preserve"> (</w:t>
      </w:r>
      <w:r w:rsidRPr="09A9936A" w:rsidR="00D50C9E">
        <w:rPr>
          <w:rFonts w:ascii="Arial" w:hAnsi="Arial" w:cs="Arial"/>
        </w:rPr>
        <w:t>iii</w:t>
      </w:r>
      <w:r w:rsidRPr="09A9936A" w:rsidR="00D50C9E">
        <w:rPr>
          <w:rFonts w:ascii="Arial" w:hAnsi="Arial" w:cs="Arial"/>
        </w:rPr>
        <w:t xml:space="preserve">) Frente al amparo de RC Contratistas y Subcontratistas independientes, </w:t>
      </w:r>
      <w:r w:rsidRPr="09A9936A" w:rsidR="00AC30C3">
        <w:rPr>
          <w:rFonts w:ascii="Arial" w:hAnsi="Arial" w:cs="Arial"/>
        </w:rPr>
        <w:t xml:space="preserve">no se acreditó que el señor </w:t>
      </w:r>
      <w:r w:rsidRPr="09A9936A" w:rsidR="00AC30C3">
        <w:rPr>
          <w:rFonts w:ascii="Arial" w:hAnsi="Arial" w:cs="Arial"/>
        </w:rPr>
        <w:t>EDISON</w:t>
      </w:r>
      <w:r w:rsidRPr="09A9936A" w:rsidR="00AC30C3">
        <w:rPr>
          <w:rFonts w:ascii="Arial" w:hAnsi="Arial" w:cs="Arial"/>
        </w:rPr>
        <w:t xml:space="preserve"> </w:t>
      </w:r>
      <w:r w:rsidRPr="09A9936A" w:rsidR="00AC30C3">
        <w:rPr>
          <w:rFonts w:ascii="Arial" w:hAnsi="Arial" w:cs="Arial"/>
        </w:rPr>
        <w:t>ALEXANDER JIMÉNEZ LÓPEZ</w:t>
      </w:r>
      <w:r w:rsidRPr="09A9936A" w:rsidR="00AC30C3">
        <w:rPr>
          <w:rFonts w:ascii="Arial" w:hAnsi="Arial" w:cs="Arial"/>
        </w:rPr>
        <w:t xml:space="preserve"> fuera un subcontratista independiente, pues era un trabajador en misión con una relación laboral directa con </w:t>
      </w:r>
      <w:r w:rsidRPr="09A9936A" w:rsidR="00AC30C3">
        <w:rPr>
          <w:rFonts w:ascii="Arial" w:hAnsi="Arial" w:cs="Arial"/>
        </w:rPr>
        <w:t>NEXARTE SERVICIOS TEMPORALES</w:t>
      </w:r>
      <w:r w:rsidRPr="09A9936A" w:rsidR="00AC30C3">
        <w:rPr>
          <w:rFonts w:ascii="Arial" w:hAnsi="Arial" w:cs="Arial"/>
        </w:rPr>
        <w:t xml:space="preserve">. </w:t>
      </w:r>
    </w:p>
    <w:p w:rsidR="0067338D" w:rsidP="00D50C9E" w:rsidRDefault="0067338D" w14:paraId="224AE2B9" w14:textId="77777777">
      <w:pPr>
        <w:jc w:val="both"/>
        <w:rPr>
          <w:rFonts w:ascii="Arial" w:hAnsi="Arial" w:cs="Arial"/>
          <w:b/>
          <w:bCs/>
          <w:u w:val="single"/>
        </w:rPr>
      </w:pPr>
    </w:p>
    <w:p w:rsidRPr="0067338D" w:rsidR="00B31963" w:rsidP="00D50C9E" w:rsidRDefault="004A6294" w14:paraId="1A54EAD0" w14:textId="7689884F">
      <w:pPr>
        <w:jc w:val="both"/>
        <w:rPr>
          <w:rFonts w:ascii="Arial" w:hAnsi="Arial" w:cs="Arial"/>
          <w:b/>
          <w:bCs/>
          <w:u w:val="single"/>
        </w:rPr>
      </w:pPr>
      <w:r w:rsidRPr="0067338D">
        <w:rPr>
          <w:rFonts w:ascii="Arial" w:hAnsi="Arial" w:cs="Arial"/>
          <w:b/>
          <w:bCs/>
          <w:u w:val="single"/>
        </w:rPr>
        <w:t>LIQUIDACIÓN</w:t>
      </w:r>
      <w:r w:rsidR="0067338D">
        <w:rPr>
          <w:rFonts w:ascii="Arial" w:hAnsi="Arial" w:cs="Arial"/>
          <w:b/>
          <w:bCs/>
          <w:u w:val="single"/>
        </w:rPr>
        <w:t xml:space="preserve"> – SENTENCIA DE 1RA INSTANCIA</w:t>
      </w:r>
    </w:p>
    <w:p w:rsidRPr="00980C41" w:rsidR="00980C41" w:rsidP="00980C41" w:rsidRDefault="00980C41" w14:paraId="6CE4F915" w14:textId="3B755E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Debe indicarse sobre el lucro cesante consolidado y futuro</w:t>
      </w:r>
      <w:r w:rsidR="006501D4">
        <w:rPr>
          <w:rFonts w:ascii="Arial" w:hAnsi="Arial" w:cs="Arial"/>
        </w:rPr>
        <w:t xml:space="preserve"> pretendido por los demandantes</w:t>
      </w:r>
      <w:r>
        <w:rPr>
          <w:rFonts w:ascii="Arial" w:hAnsi="Arial" w:cs="Arial"/>
        </w:rPr>
        <w:t xml:space="preserve">, que el mismo no </w:t>
      </w:r>
      <w:r w:rsidR="00DA422D">
        <w:rPr>
          <w:rFonts w:ascii="Arial" w:hAnsi="Arial" w:cs="Arial"/>
        </w:rPr>
        <w:t>fueron</w:t>
      </w:r>
      <w:r>
        <w:rPr>
          <w:rFonts w:ascii="Arial" w:hAnsi="Arial" w:cs="Arial"/>
        </w:rPr>
        <w:t xml:space="preserve"> concedido</w:t>
      </w:r>
      <w:r w:rsidR="00DA422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por la juez de instancia como quiera que no se evidenció ni se probó un solo monto que el trabajador fallecido diese a sus padres, situación que no fue objeto de apelación</w:t>
      </w:r>
      <w:r w:rsidR="006501D4">
        <w:rPr>
          <w:rFonts w:ascii="Arial" w:hAnsi="Arial" w:cs="Arial"/>
        </w:rPr>
        <w:t>, por lo tanto, se mantiene en firme</w:t>
      </w:r>
      <w:r>
        <w:rPr>
          <w:rFonts w:ascii="Arial" w:hAnsi="Arial" w:cs="Arial"/>
        </w:rPr>
        <w:t xml:space="preserve">. Sobre los perjuicios morales, </w:t>
      </w:r>
      <w:r w:rsidRPr="00980C41">
        <w:rPr>
          <w:rFonts w:ascii="Arial" w:hAnsi="Arial" w:cs="Arial"/>
        </w:rPr>
        <w:t xml:space="preserve">la Corte Suprema de Justicia ha fijado unos límites </w:t>
      </w:r>
      <w:r w:rsidR="00DA422D">
        <w:rPr>
          <w:rFonts w:ascii="Arial" w:hAnsi="Arial" w:cs="Arial"/>
        </w:rPr>
        <w:t xml:space="preserve">para la cuantificación de estos, </w:t>
      </w:r>
      <w:r w:rsidRPr="00980C41">
        <w:rPr>
          <w:rFonts w:ascii="Arial" w:hAnsi="Arial" w:cs="Arial"/>
        </w:rPr>
        <w:t>en situaciones donde la víctima ha fallecido y los familiares pretenden el reconocimiento, de la siguiente manera:</w:t>
      </w:r>
    </w:p>
    <w:p w:rsidRPr="00980C41" w:rsidR="00980C41" w:rsidP="00980C41" w:rsidRDefault="00980C41" w14:paraId="2734864D" w14:textId="410E6CD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80C41">
        <w:rPr>
          <w:rFonts w:ascii="Arial" w:hAnsi="Arial" w:cs="Arial"/>
        </w:rPr>
        <w:t>Para la cónyuge y/o compañera permanente e hijos: 100 SMLMV</w:t>
      </w:r>
    </w:p>
    <w:p w:rsidRPr="00980C41" w:rsidR="00980C41" w:rsidP="00980C41" w:rsidRDefault="00980C41" w14:paraId="25111290" w14:textId="7301762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80C41">
        <w:rPr>
          <w:rFonts w:ascii="Arial" w:hAnsi="Arial" w:cs="Arial"/>
        </w:rPr>
        <w:t>Para los padres (dependiendo de la contribución a su sostenimiento): entre 50 a 100 SMLMV</w:t>
      </w:r>
    </w:p>
    <w:p w:rsidRPr="00980C41" w:rsidR="004A6294" w:rsidP="00980C41" w:rsidRDefault="00980C41" w14:paraId="56E08377" w14:textId="5072CC4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80C41">
        <w:rPr>
          <w:rFonts w:ascii="Arial" w:hAnsi="Arial" w:cs="Arial"/>
        </w:rPr>
        <w:t>Para familiares en segundo grado como hermanos: entre 25 a 50 SMLMV</w:t>
      </w:r>
    </w:p>
    <w:p w:rsidR="004A6294" w:rsidP="00D50C9E" w:rsidRDefault="00980C41" w14:paraId="3A8B4B6A" w14:textId="2B97A5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lo anterior, la condena realizada en primera instancia por la juez se ajusta a los lineamientos y jurisprudencia reiterada de la Corte</w:t>
      </w:r>
      <w:r w:rsidR="006501D4">
        <w:rPr>
          <w:rFonts w:ascii="Arial" w:hAnsi="Arial" w:cs="Arial"/>
        </w:rPr>
        <w:t>, que para el año 2024 asciende a la suma de $</w:t>
      </w:r>
      <w:r w:rsidR="00D62213">
        <w:rPr>
          <w:rFonts w:ascii="Arial" w:hAnsi="Arial" w:cs="Arial"/>
        </w:rPr>
        <w:t>585.000.000, sin embargo, teniendo en cuenta que hay un coaseguro en porcentaje de 50% y 50%, a ALLIANZ SEGUROS S.A. le correspondería pagar la suma de $292.500.000</w:t>
      </w:r>
      <w:r w:rsidR="00D36848">
        <w:rPr>
          <w:rFonts w:ascii="Arial" w:hAnsi="Arial" w:cs="Arial"/>
        </w:rPr>
        <w:t xml:space="preserve">, más el valor de las costas y agencias en derecho a favor de </w:t>
      </w:r>
      <w:r w:rsidRPr="00D50C9E" w:rsidR="00D36848">
        <w:rPr>
          <w:rFonts w:ascii="Arial" w:hAnsi="Arial" w:cs="Arial"/>
        </w:rPr>
        <w:t>PULPACK LTDA</w:t>
      </w:r>
      <w:r w:rsidR="00DA422D">
        <w:rPr>
          <w:rFonts w:ascii="Arial" w:hAnsi="Arial" w:cs="Arial"/>
        </w:rPr>
        <w:t>.</w:t>
      </w:r>
    </w:p>
    <w:p w:rsidR="008E456B" w:rsidP="00D50C9E" w:rsidRDefault="008E456B" w14:paraId="0D596ADD" w14:textId="77777777">
      <w:pPr>
        <w:jc w:val="both"/>
        <w:rPr>
          <w:rFonts w:ascii="Arial" w:hAnsi="Arial" w:cs="Arial"/>
        </w:rPr>
      </w:pPr>
    </w:p>
    <w:p w:rsidRPr="00D50C9E" w:rsidR="008E456B" w:rsidP="00DA422D" w:rsidRDefault="00DA422D" w14:paraId="5ECF148B" w14:textId="507D4F63">
      <w:pPr>
        <w:jc w:val="center"/>
        <w:rPr>
          <w:rFonts w:ascii="Arial" w:hAnsi="Arial" w:cs="Arial"/>
        </w:rPr>
      </w:pPr>
      <w:r w:rsidRPr="00DA422D">
        <w:rPr>
          <w:rFonts w:ascii="Arial" w:hAnsi="Arial" w:cs="Arial"/>
        </w:rPr>
        <w:lastRenderedPageBreak/>
        <w:drawing>
          <wp:inline distT="0" distB="0" distL="0" distR="0" wp14:anchorId="725B5923" wp14:editId="54F60492">
            <wp:extent cx="2781300" cy="3122864"/>
            <wp:effectExtent l="0" t="0" r="0" b="1905"/>
            <wp:docPr id="12907279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72799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3985" cy="312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D50C9E" w:rsidR="008E456B" w:rsidSect="00DD2435">
      <w:pgSz w:w="12240" w:h="15840" w:orient="portrait"/>
      <w:pgMar w:top="1417" w:right="1467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00B49"/>
    <w:multiLevelType w:val="hybridMultilevel"/>
    <w:tmpl w:val="8036381A"/>
    <w:lvl w:ilvl="0" w:tplc="3B46713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2016045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9E"/>
    <w:rsid w:val="000F46B4"/>
    <w:rsid w:val="00113296"/>
    <w:rsid w:val="001E5520"/>
    <w:rsid w:val="004A6294"/>
    <w:rsid w:val="00582E9E"/>
    <w:rsid w:val="006501D4"/>
    <w:rsid w:val="0067338D"/>
    <w:rsid w:val="006D4914"/>
    <w:rsid w:val="007666E6"/>
    <w:rsid w:val="007C0B2B"/>
    <w:rsid w:val="008314B9"/>
    <w:rsid w:val="008E456B"/>
    <w:rsid w:val="00980C41"/>
    <w:rsid w:val="00AC30C3"/>
    <w:rsid w:val="00B25451"/>
    <w:rsid w:val="00B31963"/>
    <w:rsid w:val="00D20869"/>
    <w:rsid w:val="00D36848"/>
    <w:rsid w:val="00D50C9E"/>
    <w:rsid w:val="00D62213"/>
    <w:rsid w:val="00D708A6"/>
    <w:rsid w:val="00DA422D"/>
    <w:rsid w:val="00DD2435"/>
    <w:rsid w:val="00F96AB0"/>
    <w:rsid w:val="02123C5E"/>
    <w:rsid w:val="05D250AA"/>
    <w:rsid w:val="09A9936A"/>
    <w:rsid w:val="1EF5A859"/>
    <w:rsid w:val="2C218E2C"/>
    <w:rsid w:val="33372FD8"/>
    <w:rsid w:val="398D48FF"/>
    <w:rsid w:val="3CB09D96"/>
    <w:rsid w:val="43B24F92"/>
    <w:rsid w:val="4B472AB0"/>
    <w:rsid w:val="55C0BA06"/>
    <w:rsid w:val="5A5E4F46"/>
    <w:rsid w:val="5BF42111"/>
    <w:rsid w:val="679A44B8"/>
    <w:rsid w:val="7BFED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ABD1"/>
  <w15:chartTrackingRefBased/>
  <w15:docId w15:val="{0E3C90DB-5154-4E57-86B2-B09396B3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708A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80C4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314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314B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8314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14B9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314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microsoft.com/office/2011/relationships/people" Target="people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Valentina Orozco Arce</dc:creator>
  <keywords/>
  <dc:description/>
  <lastModifiedBy>Valentina Orozco Arce</lastModifiedBy>
  <revision>11</revision>
  <dcterms:created xsi:type="dcterms:W3CDTF">2024-02-16T23:04:00.0000000Z</dcterms:created>
  <dcterms:modified xsi:type="dcterms:W3CDTF">2024-02-23T21:48:54.8177939Z</dcterms:modified>
</coreProperties>
</file>