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2A29" w14:textId="77777777" w:rsidR="00DF3F7A" w:rsidRDefault="00DF3F7A" w:rsidP="0007701A">
      <w:pPr>
        <w:spacing w:after="0" w:line="312" w:lineRule="auto"/>
        <w:jc w:val="center"/>
        <w:rPr>
          <w:rFonts w:ascii="Arial" w:hAnsi="Arial" w:cs="Arial"/>
          <w:b/>
          <w:bCs/>
          <w:u w:val="single"/>
          <w:shd w:val="clear" w:color="auto" w:fill="FFFFFF"/>
        </w:rPr>
      </w:pPr>
    </w:p>
    <w:p w14:paraId="4D3B3346" w14:textId="1A251A63" w:rsidR="0032364E" w:rsidRDefault="00DF3F7A" w:rsidP="0007701A">
      <w:pPr>
        <w:spacing w:after="0" w:line="312" w:lineRule="auto"/>
        <w:jc w:val="center"/>
        <w:rPr>
          <w:rFonts w:ascii="Arial" w:hAnsi="Arial" w:cs="Arial"/>
          <w:b/>
          <w:bCs/>
          <w:u w:val="single"/>
          <w:shd w:val="clear" w:color="auto" w:fill="FFFFFF"/>
        </w:rPr>
      </w:pPr>
      <w:r>
        <w:rPr>
          <w:rFonts w:ascii="Arial" w:hAnsi="Arial" w:cs="Arial"/>
          <w:b/>
          <w:bCs/>
          <w:u w:val="single"/>
          <w:shd w:val="clear" w:color="auto" w:fill="FFFFFF"/>
        </w:rPr>
        <w:t xml:space="preserve">ACTUALIZACIÓN DE </w:t>
      </w:r>
      <w:r w:rsidR="0032364E"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0032364E" w:rsidRPr="009A3CB8">
        <w:rPr>
          <w:rFonts w:ascii="Arial" w:hAnsi="Arial" w:cs="Arial"/>
          <w:b/>
          <w:bCs/>
          <w:u w:val="single"/>
          <w:shd w:val="clear" w:color="auto" w:fill="FFFFFF"/>
        </w:rPr>
        <w:t>DEL PROCESO</w:t>
      </w:r>
      <w:r w:rsidR="00861378">
        <w:rPr>
          <w:rFonts w:ascii="Arial" w:hAnsi="Arial" w:cs="Arial"/>
          <w:b/>
          <w:bCs/>
          <w:u w:val="single"/>
          <w:shd w:val="clear" w:color="auto" w:fill="FFFFFF"/>
        </w:rPr>
        <w:t xml:space="preserve"> POR LA ASEGURADORA SOLIDARIA DE COLOMBIA E.C.</w:t>
      </w:r>
    </w:p>
    <w:p w14:paraId="62102601" w14:textId="77777777" w:rsidR="00861378" w:rsidRPr="009A3CB8" w:rsidRDefault="00861378" w:rsidP="0007701A">
      <w:pPr>
        <w:spacing w:after="0" w:line="312" w:lineRule="auto"/>
        <w:jc w:val="center"/>
        <w:rPr>
          <w:rFonts w:ascii="Arial" w:hAnsi="Arial" w:cs="Arial"/>
          <w:b/>
          <w:bCs/>
          <w:u w:val="single"/>
          <w:shd w:val="clear" w:color="auto" w:fill="FFFFFF"/>
        </w:rPr>
      </w:pPr>
    </w:p>
    <w:p w14:paraId="732AF38C" w14:textId="77777777" w:rsidR="0032364E" w:rsidRPr="009A3CB8" w:rsidRDefault="0032364E" w:rsidP="0007701A">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7701A">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7701A">
      <w:pPr>
        <w:spacing w:after="0" w:line="312" w:lineRule="auto"/>
        <w:jc w:val="both"/>
        <w:rPr>
          <w:rFonts w:ascii="Arial" w:hAnsi="Arial" w:cs="Arial"/>
          <w:shd w:val="clear" w:color="auto" w:fill="FFFFFF"/>
        </w:rPr>
      </w:pPr>
    </w:p>
    <w:p w14:paraId="6D2E7B25" w14:textId="3806F0E2" w:rsidR="0032364E" w:rsidRPr="009A3CB8"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E7728C" w:rsidRDefault="00B21235" w:rsidP="0007701A">
      <w:pPr>
        <w:pStyle w:val="Prrafodelista"/>
        <w:spacing w:after="0" w:line="312" w:lineRule="auto"/>
        <w:ind w:left="1080"/>
        <w:jc w:val="both"/>
        <w:rPr>
          <w:rFonts w:ascii="Arial" w:hAnsi="Arial" w:cs="Arial"/>
          <w:shd w:val="clear" w:color="auto" w:fill="FFFFFF"/>
        </w:rPr>
      </w:pPr>
    </w:p>
    <w:p w14:paraId="77BEE022" w14:textId="0D479365" w:rsidR="00857FED" w:rsidRPr="00E7728C" w:rsidRDefault="00857FED" w:rsidP="0007701A">
      <w:pPr>
        <w:spacing w:after="0" w:line="312" w:lineRule="auto"/>
        <w:jc w:val="both"/>
        <w:rPr>
          <w:rFonts w:ascii="Arial" w:hAnsi="Arial" w:cs="Arial"/>
          <w:b/>
          <w:bCs/>
          <w:lang w:val="es-ES"/>
        </w:rPr>
      </w:pPr>
      <w:r w:rsidRPr="00E7728C">
        <w:rPr>
          <w:rFonts w:ascii="Arial" w:hAnsi="Arial" w:cs="Arial"/>
          <w:b/>
          <w:bCs/>
          <w:lang w:val="es-ES"/>
        </w:rPr>
        <w:t xml:space="preserve">RADICADO: </w:t>
      </w:r>
      <w:r w:rsidR="00175BD0" w:rsidRPr="00175BD0">
        <w:rPr>
          <w:rFonts w:ascii="Arial" w:hAnsi="Arial" w:cs="Arial"/>
        </w:rPr>
        <w:t>19001-33-33-003-</w:t>
      </w:r>
      <w:r w:rsidR="00175BD0" w:rsidRPr="00175BD0">
        <w:rPr>
          <w:rFonts w:ascii="Arial" w:hAnsi="Arial" w:cs="Arial"/>
          <w:b/>
          <w:bCs/>
        </w:rPr>
        <w:t>2021-00172</w:t>
      </w:r>
      <w:r w:rsidR="00175BD0" w:rsidRPr="00175BD0">
        <w:rPr>
          <w:rFonts w:ascii="Arial" w:hAnsi="Arial" w:cs="Arial"/>
        </w:rPr>
        <w:t>-01</w:t>
      </w:r>
    </w:p>
    <w:p w14:paraId="2F9CBBAE" w14:textId="77777777" w:rsidR="00857FED" w:rsidRPr="00E7728C" w:rsidRDefault="00857FED" w:rsidP="0007701A">
      <w:pPr>
        <w:spacing w:after="0" w:line="312" w:lineRule="auto"/>
        <w:jc w:val="both"/>
        <w:rPr>
          <w:rFonts w:ascii="Arial" w:hAnsi="Arial" w:cs="Arial"/>
          <w:b/>
          <w:bCs/>
          <w:lang w:val="es-ES"/>
        </w:rPr>
      </w:pPr>
    </w:p>
    <w:p w14:paraId="05F1E63B" w14:textId="2F673608" w:rsidR="0018111C" w:rsidRPr="004F6109" w:rsidRDefault="004B0B9A" w:rsidP="00AD4A4A">
      <w:pPr>
        <w:spacing w:after="0" w:line="312" w:lineRule="auto"/>
        <w:jc w:val="both"/>
        <w:rPr>
          <w:rFonts w:ascii="Arial" w:hAnsi="Arial" w:cs="Arial"/>
          <w:b/>
          <w:bCs/>
          <w:lang w:val="es-ES"/>
        </w:rPr>
      </w:pPr>
      <w:r w:rsidRPr="0018111C">
        <w:rPr>
          <w:rFonts w:ascii="Arial" w:hAnsi="Arial" w:cs="Arial"/>
          <w:b/>
          <w:bCs/>
          <w:lang w:val="es-ES"/>
        </w:rPr>
        <w:t xml:space="preserve">DESPACHO: </w:t>
      </w:r>
      <w:r w:rsidR="00175BD0" w:rsidRPr="00175BD0">
        <w:rPr>
          <w:rFonts w:ascii="Arial" w:hAnsi="Arial" w:cs="Arial"/>
          <w:lang w:val="es-ES"/>
        </w:rPr>
        <w:t>JUZGADO TERCERO (3º) ADMINISTRATIVO DE POPAYÁN, CAUCA.</w:t>
      </w:r>
    </w:p>
    <w:p w14:paraId="5910ECF4" w14:textId="2C1A231A" w:rsidR="004B0B9A" w:rsidRPr="004F6109" w:rsidRDefault="004B0B9A" w:rsidP="0007701A">
      <w:pPr>
        <w:spacing w:after="0" w:line="312" w:lineRule="auto"/>
        <w:jc w:val="both"/>
        <w:rPr>
          <w:rFonts w:ascii="Arial" w:hAnsi="Arial" w:cs="Arial"/>
          <w:b/>
          <w:bCs/>
          <w:lang w:val="es-ES"/>
        </w:rPr>
      </w:pPr>
    </w:p>
    <w:p w14:paraId="12A07193" w14:textId="5CCD613B" w:rsidR="007967DF" w:rsidRDefault="0032364E" w:rsidP="00175BD0">
      <w:pPr>
        <w:spacing w:after="0" w:line="312" w:lineRule="auto"/>
        <w:jc w:val="both"/>
        <w:rPr>
          <w:rFonts w:ascii="Arial" w:hAnsi="Arial" w:cs="Arial"/>
          <w:lang w:val="es-ES"/>
        </w:rPr>
      </w:pPr>
      <w:r w:rsidRPr="00E7728C">
        <w:rPr>
          <w:rFonts w:ascii="Arial" w:hAnsi="Arial" w:cs="Arial"/>
          <w:b/>
          <w:bCs/>
          <w:lang w:val="es-ES"/>
        </w:rPr>
        <w:t>DEMANDANTE</w:t>
      </w:r>
      <w:r w:rsidR="00175BD0">
        <w:rPr>
          <w:rFonts w:ascii="Arial" w:hAnsi="Arial" w:cs="Arial"/>
          <w:b/>
          <w:bCs/>
          <w:lang w:val="es-ES"/>
        </w:rPr>
        <w:t>S</w:t>
      </w:r>
      <w:r w:rsidRPr="00E7728C">
        <w:rPr>
          <w:rFonts w:ascii="Arial" w:hAnsi="Arial" w:cs="Arial"/>
          <w:b/>
          <w:bCs/>
          <w:lang w:val="es-ES"/>
        </w:rPr>
        <w:t xml:space="preserve">: </w:t>
      </w:r>
      <w:r w:rsidR="00175BD0" w:rsidRPr="00175BD0">
        <w:rPr>
          <w:rFonts w:ascii="Arial" w:hAnsi="Arial" w:cs="Arial"/>
          <w:lang w:val="es-ES"/>
        </w:rPr>
        <w:t>DEPARTAMENTO ADMINISTRATIVO DE LA PRESIDENCIA DE LA</w:t>
      </w:r>
      <w:r w:rsidR="00175BD0">
        <w:rPr>
          <w:rFonts w:ascii="Arial" w:hAnsi="Arial" w:cs="Arial"/>
          <w:lang w:val="es-ES"/>
        </w:rPr>
        <w:t xml:space="preserve"> </w:t>
      </w:r>
      <w:proofErr w:type="spellStart"/>
      <w:r w:rsidR="00175BD0" w:rsidRPr="00175BD0">
        <w:rPr>
          <w:rFonts w:ascii="Arial" w:hAnsi="Arial" w:cs="Arial"/>
          <w:lang w:val="es-ES"/>
        </w:rPr>
        <w:t>REPÚBLlCA</w:t>
      </w:r>
      <w:proofErr w:type="spellEnd"/>
      <w:r w:rsidR="00175BD0" w:rsidRPr="00175BD0">
        <w:rPr>
          <w:rFonts w:ascii="Arial" w:hAnsi="Arial" w:cs="Arial"/>
          <w:lang w:val="es-ES"/>
        </w:rPr>
        <w:t xml:space="preserve"> - FONDO DE PROGRAMAS ESPECIALES PARA LA PAZ- FONDO PAZ</w:t>
      </w:r>
    </w:p>
    <w:p w14:paraId="5A959909" w14:textId="77777777" w:rsidR="00175BD0" w:rsidRPr="009A3CB8" w:rsidRDefault="00175BD0" w:rsidP="00175BD0">
      <w:pPr>
        <w:spacing w:after="0" w:line="312" w:lineRule="auto"/>
        <w:jc w:val="both"/>
        <w:rPr>
          <w:rFonts w:ascii="Arial" w:hAnsi="Arial" w:cs="Arial"/>
          <w:spacing w:val="2"/>
          <w:shd w:val="clear" w:color="auto" w:fill="FFFFFF"/>
        </w:rPr>
      </w:pPr>
    </w:p>
    <w:p w14:paraId="740E55AB" w14:textId="1DBCE383" w:rsidR="00472DAF" w:rsidRDefault="0032364E" w:rsidP="00175BD0">
      <w:pPr>
        <w:spacing w:after="0" w:line="312" w:lineRule="auto"/>
        <w:jc w:val="both"/>
        <w:rPr>
          <w:rFonts w:ascii="Arial" w:hAnsi="Arial" w:cs="Arial"/>
          <w:lang w:val="es-ES"/>
        </w:rPr>
      </w:pPr>
      <w:r w:rsidRPr="009A3CB8">
        <w:rPr>
          <w:rFonts w:ascii="Arial" w:hAnsi="Arial" w:cs="Arial"/>
          <w:b/>
          <w:bCs/>
          <w:lang w:val="es-ES"/>
        </w:rPr>
        <w:t>DEMANDADO</w:t>
      </w:r>
      <w:r w:rsidR="00175BD0">
        <w:rPr>
          <w:rFonts w:ascii="Arial" w:hAnsi="Arial" w:cs="Arial"/>
          <w:b/>
          <w:bCs/>
          <w:lang w:val="es-ES"/>
        </w:rPr>
        <w:t>S</w:t>
      </w:r>
      <w:r w:rsidRPr="009A3CB8">
        <w:rPr>
          <w:rFonts w:ascii="Arial" w:hAnsi="Arial" w:cs="Arial"/>
          <w:b/>
          <w:bCs/>
          <w:lang w:val="es-ES"/>
        </w:rPr>
        <w:t xml:space="preserve">: </w:t>
      </w:r>
      <w:r w:rsidR="00175BD0" w:rsidRPr="00175BD0">
        <w:rPr>
          <w:rFonts w:ascii="Arial" w:hAnsi="Arial" w:cs="Arial"/>
          <w:lang w:val="es-ES"/>
        </w:rPr>
        <w:t>INSTRUMENTO GRUPO OBRA CONSULTOR COLOMBIA S.A.S.,</w:t>
      </w:r>
      <w:r w:rsidR="00175BD0">
        <w:rPr>
          <w:rFonts w:ascii="Arial" w:hAnsi="Arial" w:cs="Arial"/>
          <w:lang w:val="es-ES"/>
        </w:rPr>
        <w:t xml:space="preserve"> </w:t>
      </w:r>
      <w:r w:rsidR="00175BD0" w:rsidRPr="00175BD0">
        <w:rPr>
          <w:rFonts w:ascii="Arial" w:hAnsi="Arial" w:cs="Arial"/>
          <w:lang w:val="es-ES"/>
        </w:rPr>
        <w:t>ASEGURADORA SOLIDARIA DE COLOMBIA ENTIDAD COOPERATIVA</w:t>
      </w:r>
    </w:p>
    <w:p w14:paraId="2381C7EA" w14:textId="77777777" w:rsidR="00C12573" w:rsidRDefault="00C12573" w:rsidP="00175BD0">
      <w:pPr>
        <w:spacing w:after="0" w:line="312" w:lineRule="auto"/>
        <w:ind w:left="708" w:hanging="708"/>
        <w:jc w:val="both"/>
        <w:rPr>
          <w:rFonts w:ascii="Arial" w:hAnsi="Arial" w:cs="Arial"/>
          <w:b/>
          <w:bCs/>
          <w:lang w:val="es-ES"/>
        </w:rPr>
      </w:pPr>
    </w:p>
    <w:p w14:paraId="57B97167" w14:textId="0DE10E4E" w:rsidR="0032364E" w:rsidRDefault="00BF57B9" w:rsidP="0007701A">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CF6886">
        <w:rPr>
          <w:rFonts w:ascii="Arial" w:hAnsi="Arial" w:cs="Arial"/>
          <w:lang w:val="es-ES"/>
        </w:rPr>
        <w:t>un</w:t>
      </w:r>
      <w:r w:rsidR="00CE2E81">
        <w:rPr>
          <w:rFonts w:ascii="Arial" w:hAnsi="Arial" w:cs="Arial"/>
          <w:lang w:val="es-ES"/>
        </w:rPr>
        <w:t xml:space="preserve"> </w:t>
      </w:r>
      <w:r w:rsidR="0005032E" w:rsidRPr="009A3CB8">
        <w:rPr>
          <w:rFonts w:ascii="Arial" w:hAnsi="Arial" w:cs="Arial"/>
          <w:lang w:val="es-ES"/>
        </w:rPr>
        <w:t>(</w:t>
      </w:r>
      <w:r w:rsidR="00CF6886">
        <w:rPr>
          <w:rFonts w:ascii="Arial" w:hAnsi="Arial" w:cs="Arial"/>
          <w:lang w:val="es-ES"/>
        </w:rPr>
        <w:t>1</w:t>
      </w:r>
      <w:r w:rsidR="0005032E" w:rsidRPr="009A3CB8">
        <w:rPr>
          <w:rFonts w:ascii="Arial" w:hAnsi="Arial" w:cs="Arial"/>
          <w:lang w:val="es-ES"/>
        </w:rPr>
        <w:t>) contrato de seguro materializado en:</w:t>
      </w:r>
    </w:p>
    <w:p w14:paraId="2061F13A" w14:textId="77777777" w:rsidR="00C12573" w:rsidRDefault="00C12573" w:rsidP="0007701A">
      <w:pPr>
        <w:spacing w:after="0" w:line="312" w:lineRule="auto"/>
        <w:jc w:val="both"/>
        <w:rPr>
          <w:rFonts w:ascii="Arial" w:hAnsi="Arial" w:cs="Arial"/>
          <w:lang w:val="es-ES"/>
        </w:rPr>
      </w:pPr>
    </w:p>
    <w:p w14:paraId="77158165" w14:textId="267E75A5" w:rsidR="00427B79" w:rsidRDefault="00427B79" w:rsidP="00175BD0">
      <w:pPr>
        <w:pStyle w:val="Prrafodelista"/>
        <w:numPr>
          <w:ilvl w:val="0"/>
          <w:numId w:val="24"/>
        </w:numPr>
        <w:spacing w:after="0" w:line="312" w:lineRule="auto"/>
        <w:jc w:val="both"/>
        <w:rPr>
          <w:rFonts w:ascii="Arial" w:hAnsi="Arial" w:cs="Arial"/>
        </w:rPr>
      </w:pPr>
      <w:r w:rsidRPr="00175BD0">
        <w:rPr>
          <w:rFonts w:ascii="Arial" w:hAnsi="Arial" w:cs="Arial"/>
        </w:rPr>
        <w:t xml:space="preserve">Póliza </w:t>
      </w:r>
      <w:r w:rsidR="00124352" w:rsidRPr="00175BD0">
        <w:rPr>
          <w:rFonts w:ascii="Arial" w:hAnsi="Arial" w:cs="Arial"/>
        </w:rPr>
        <w:t xml:space="preserve">de </w:t>
      </w:r>
      <w:r w:rsidR="00AA14F5" w:rsidRPr="00175BD0">
        <w:rPr>
          <w:rFonts w:ascii="Arial" w:hAnsi="Arial" w:cs="Arial"/>
        </w:rPr>
        <w:t>Garantía Única de Cumplimiento en Favor de Entidades Estatales</w:t>
      </w:r>
      <w:r w:rsidR="00175BD0" w:rsidRPr="00175BD0">
        <w:rPr>
          <w:rFonts w:ascii="Arial" w:hAnsi="Arial" w:cs="Arial"/>
        </w:rPr>
        <w:t xml:space="preserve"> No.</w:t>
      </w:r>
      <w:r w:rsidR="00175BD0">
        <w:rPr>
          <w:rFonts w:ascii="Arial" w:hAnsi="Arial" w:cs="Arial"/>
        </w:rPr>
        <w:t xml:space="preserve"> </w:t>
      </w:r>
      <w:r w:rsidR="00175BD0" w:rsidRPr="00175BD0">
        <w:rPr>
          <w:rFonts w:ascii="Arial" w:hAnsi="Arial" w:cs="Arial"/>
        </w:rPr>
        <w:t>330- 47-994000017924</w:t>
      </w:r>
    </w:p>
    <w:p w14:paraId="2AAB940D" w14:textId="77777777" w:rsidR="006A218A" w:rsidRPr="00175BD0" w:rsidRDefault="006A218A" w:rsidP="006A218A">
      <w:pPr>
        <w:pStyle w:val="Prrafodelista"/>
        <w:spacing w:after="0" w:line="312" w:lineRule="auto"/>
        <w:jc w:val="both"/>
        <w:rPr>
          <w:rFonts w:ascii="Arial" w:hAnsi="Arial" w:cs="Arial"/>
        </w:rPr>
      </w:pPr>
    </w:p>
    <w:p w14:paraId="02F8B92E" w14:textId="77777777" w:rsidR="006A218A" w:rsidRPr="006A218A" w:rsidRDefault="00C12573" w:rsidP="006A218A">
      <w:pPr>
        <w:spacing w:after="0" w:line="312" w:lineRule="auto"/>
        <w:jc w:val="both"/>
        <w:rPr>
          <w:rFonts w:ascii="Arial" w:hAnsi="Arial" w:cs="Arial"/>
          <w:lang w:val="es-ES"/>
        </w:rPr>
      </w:pPr>
      <w:r>
        <w:rPr>
          <w:rFonts w:ascii="Arial" w:hAnsi="Arial" w:cs="Arial"/>
          <w:b/>
          <w:bCs/>
          <w:lang w:val="es-ES"/>
        </w:rPr>
        <w:t xml:space="preserve">ASEGURADO: </w:t>
      </w:r>
      <w:r w:rsidR="006A218A" w:rsidRPr="006A218A">
        <w:rPr>
          <w:rFonts w:ascii="Arial" w:hAnsi="Arial" w:cs="Arial"/>
          <w:lang w:val="es-ES"/>
        </w:rPr>
        <w:t>FONDO DE PROGRAMAS ESPECIALES PARA LA PAZ DEL DEPARTAMENTO</w:t>
      </w:r>
    </w:p>
    <w:p w14:paraId="2BCB7FED" w14:textId="0C229975" w:rsidR="00C12573" w:rsidRPr="009A3CB8" w:rsidRDefault="006A218A" w:rsidP="006A218A">
      <w:pPr>
        <w:spacing w:after="0" w:line="312" w:lineRule="auto"/>
        <w:jc w:val="both"/>
        <w:rPr>
          <w:rFonts w:ascii="Arial" w:hAnsi="Arial" w:cs="Arial"/>
          <w:b/>
          <w:bCs/>
          <w:lang w:val="es-ES"/>
        </w:rPr>
      </w:pPr>
      <w:r w:rsidRPr="006A218A">
        <w:rPr>
          <w:rFonts w:ascii="Arial" w:hAnsi="Arial" w:cs="Arial"/>
          <w:lang w:val="es-ES"/>
        </w:rPr>
        <w:t>ADMINISTRATIVO DE LA PRESIDENCIA DE LA</w:t>
      </w:r>
      <w:r>
        <w:rPr>
          <w:rFonts w:ascii="Arial" w:hAnsi="Arial" w:cs="Arial"/>
          <w:lang w:val="es-ES"/>
        </w:rPr>
        <w:t xml:space="preserve"> </w:t>
      </w:r>
      <w:proofErr w:type="spellStart"/>
      <w:r w:rsidRPr="00175BD0">
        <w:rPr>
          <w:rFonts w:ascii="Arial" w:hAnsi="Arial" w:cs="Arial"/>
          <w:lang w:val="es-ES"/>
        </w:rPr>
        <w:t>REP</w:t>
      </w:r>
      <w:r w:rsidR="00DE7D90">
        <w:rPr>
          <w:rFonts w:ascii="Arial" w:hAnsi="Arial" w:cs="Arial"/>
          <w:lang w:val="es-ES"/>
        </w:rPr>
        <w:t>Ú</w:t>
      </w:r>
      <w:r w:rsidRPr="00175BD0">
        <w:rPr>
          <w:rFonts w:ascii="Arial" w:hAnsi="Arial" w:cs="Arial"/>
          <w:lang w:val="es-ES"/>
        </w:rPr>
        <w:t>BLlCA</w:t>
      </w:r>
      <w:proofErr w:type="spellEnd"/>
      <w:r>
        <w:rPr>
          <w:rFonts w:ascii="Arial" w:hAnsi="Arial" w:cs="Arial"/>
          <w:lang w:val="es-ES"/>
        </w:rPr>
        <w:t>.</w:t>
      </w:r>
    </w:p>
    <w:p w14:paraId="28EFB2B8" w14:textId="1B587767" w:rsidR="0000490B" w:rsidRPr="009A3CB8" w:rsidRDefault="0000490B" w:rsidP="0007701A">
      <w:pPr>
        <w:spacing w:after="0" w:line="312" w:lineRule="auto"/>
        <w:jc w:val="both"/>
        <w:rPr>
          <w:rFonts w:ascii="Arial" w:hAnsi="Arial" w:cs="Arial"/>
          <w:lang w:val="es-ES"/>
        </w:rPr>
      </w:pPr>
    </w:p>
    <w:p w14:paraId="57292F5A" w14:textId="6699639B" w:rsidR="00665320" w:rsidRDefault="0032364E" w:rsidP="0007701A">
      <w:pPr>
        <w:spacing w:after="0" w:line="312" w:lineRule="auto"/>
        <w:jc w:val="both"/>
        <w:rPr>
          <w:rFonts w:ascii="Arial" w:hAnsi="Arial" w:cs="Arial"/>
          <w:lang w:val="es-ES"/>
        </w:rPr>
      </w:pPr>
      <w:r w:rsidRPr="009A3CB8">
        <w:rPr>
          <w:rFonts w:ascii="Arial" w:hAnsi="Arial" w:cs="Arial"/>
          <w:b/>
          <w:bCs/>
          <w:lang w:val="es-ES"/>
        </w:rPr>
        <w:t xml:space="preserve">FECHA DE LOS HECHOS: </w:t>
      </w:r>
      <w:r w:rsidR="00755E44">
        <w:rPr>
          <w:rFonts w:ascii="Arial" w:hAnsi="Arial" w:cs="Arial"/>
          <w:lang w:val="es-ES"/>
        </w:rPr>
        <w:t xml:space="preserve">6 </w:t>
      </w:r>
      <w:r w:rsidR="001F1F50">
        <w:rPr>
          <w:rFonts w:ascii="Arial" w:hAnsi="Arial" w:cs="Arial"/>
          <w:lang w:val="es-ES"/>
        </w:rPr>
        <w:t xml:space="preserve">de </w:t>
      </w:r>
      <w:r w:rsidR="00755E44">
        <w:rPr>
          <w:rFonts w:ascii="Arial" w:hAnsi="Arial" w:cs="Arial"/>
          <w:lang w:val="es-ES"/>
        </w:rPr>
        <w:t>abril</w:t>
      </w:r>
      <w:r w:rsidR="00755E44" w:rsidRPr="00074646">
        <w:rPr>
          <w:rFonts w:ascii="Arial" w:hAnsi="Arial" w:cs="Arial"/>
          <w:lang w:val="es-ES"/>
        </w:rPr>
        <w:t xml:space="preserve"> </w:t>
      </w:r>
      <w:r w:rsidR="00074646" w:rsidRPr="00074646">
        <w:rPr>
          <w:rFonts w:ascii="Arial" w:hAnsi="Arial" w:cs="Arial"/>
          <w:lang w:val="es-ES"/>
        </w:rPr>
        <w:t>de 2020: Comunicación de la interventoría sobre el presunto incumplimiento.</w:t>
      </w:r>
    </w:p>
    <w:p w14:paraId="09894581" w14:textId="77777777" w:rsidR="00074646" w:rsidRDefault="00074646" w:rsidP="0007701A">
      <w:pPr>
        <w:spacing w:after="0" w:line="312" w:lineRule="auto"/>
        <w:jc w:val="both"/>
        <w:rPr>
          <w:rFonts w:ascii="Arial" w:hAnsi="Arial" w:cs="Arial"/>
        </w:rPr>
      </w:pPr>
    </w:p>
    <w:p w14:paraId="04B96665" w14:textId="77777777" w:rsidR="00074646" w:rsidRPr="00074646" w:rsidRDefault="0032364E" w:rsidP="00074646">
      <w:pPr>
        <w:spacing w:after="0" w:line="312" w:lineRule="auto"/>
        <w:jc w:val="both"/>
        <w:rPr>
          <w:rFonts w:ascii="Arial" w:hAnsi="Arial" w:cs="Arial"/>
        </w:rPr>
      </w:pPr>
      <w:r w:rsidRPr="009A3CB8">
        <w:rPr>
          <w:rFonts w:ascii="Arial" w:hAnsi="Arial" w:cs="Arial"/>
          <w:b/>
          <w:bCs/>
          <w:lang w:val="es-ES"/>
        </w:rPr>
        <w:t>HECHOS</w:t>
      </w:r>
      <w:r w:rsidR="001D2F7C">
        <w:rPr>
          <w:rFonts w:ascii="Arial" w:hAnsi="Arial" w:cs="Arial"/>
          <w:b/>
          <w:bCs/>
          <w:lang w:val="es-ES"/>
        </w:rPr>
        <w:t xml:space="preserve">: </w:t>
      </w:r>
    </w:p>
    <w:p w14:paraId="29B7C835" w14:textId="723C0C86" w:rsidR="00E50EAF" w:rsidRPr="00E50EAF" w:rsidRDefault="004D6F5B" w:rsidP="00E50EAF">
      <w:pPr>
        <w:numPr>
          <w:ilvl w:val="0"/>
          <w:numId w:val="27"/>
        </w:numPr>
        <w:spacing w:after="0" w:line="312" w:lineRule="auto"/>
        <w:jc w:val="both"/>
        <w:rPr>
          <w:rFonts w:ascii="Arial" w:hAnsi="Arial" w:cs="Arial"/>
        </w:rPr>
      </w:pPr>
      <w:r w:rsidRPr="004D6F5B">
        <w:rPr>
          <w:rFonts w:ascii="Arial" w:hAnsi="Arial" w:cs="Arial"/>
        </w:rPr>
        <w:t>De conformidad con los hechos de la demanda</w:t>
      </w:r>
      <w:r w:rsidR="00E50EAF">
        <w:rPr>
          <w:rFonts w:ascii="Arial" w:hAnsi="Arial" w:cs="Arial"/>
        </w:rPr>
        <w:t>, e</w:t>
      </w:r>
      <w:r w:rsidR="00E50EAF" w:rsidRPr="00E50EAF">
        <w:rPr>
          <w:rFonts w:ascii="Arial" w:hAnsi="Arial" w:cs="Arial"/>
        </w:rPr>
        <w:t xml:space="preserve">l Fondo de Programas Especiales para la Paz (Fondo Paz) celebró el Contrato de Consultoría FP-262 de 2019 con Instrumento Grupo Obra Consultor Colombia S.A.S. El objeto del contrato fue la ejecución del proyecto de estudios y diseños para la construcción del Internado Escolar en la Institución Educativa </w:t>
      </w:r>
      <w:proofErr w:type="spellStart"/>
      <w:r w:rsidR="00E50EAF" w:rsidRPr="00E50EAF">
        <w:rPr>
          <w:rFonts w:ascii="Arial" w:hAnsi="Arial" w:cs="Arial"/>
        </w:rPr>
        <w:t>Satwe'sx</w:t>
      </w:r>
      <w:proofErr w:type="spellEnd"/>
      <w:r w:rsidR="00E50EAF" w:rsidRPr="00E50EAF">
        <w:rPr>
          <w:rFonts w:ascii="Arial" w:hAnsi="Arial" w:cs="Arial"/>
        </w:rPr>
        <w:t xml:space="preserve"> </w:t>
      </w:r>
      <w:proofErr w:type="spellStart"/>
      <w:r w:rsidR="00E50EAF" w:rsidRPr="00E50EAF">
        <w:rPr>
          <w:rFonts w:ascii="Arial" w:hAnsi="Arial" w:cs="Arial"/>
        </w:rPr>
        <w:t>Zuun</w:t>
      </w:r>
      <w:proofErr w:type="spellEnd"/>
      <w:r w:rsidR="00E50EAF" w:rsidRPr="00E50EAF">
        <w:rPr>
          <w:rFonts w:ascii="Arial" w:hAnsi="Arial" w:cs="Arial"/>
        </w:rPr>
        <w:t xml:space="preserve">, ubicada en el Resguardo </w:t>
      </w:r>
      <w:proofErr w:type="spellStart"/>
      <w:r w:rsidR="00E50EAF" w:rsidRPr="00E50EAF">
        <w:rPr>
          <w:rFonts w:ascii="Arial" w:hAnsi="Arial" w:cs="Arial"/>
        </w:rPr>
        <w:t>Pickwe</w:t>
      </w:r>
      <w:proofErr w:type="spellEnd"/>
      <w:r w:rsidR="00E50EAF" w:rsidRPr="00E50EAF">
        <w:rPr>
          <w:rFonts w:ascii="Arial" w:hAnsi="Arial" w:cs="Arial"/>
        </w:rPr>
        <w:t xml:space="preserve"> </w:t>
      </w:r>
      <w:proofErr w:type="spellStart"/>
      <w:r w:rsidR="00E50EAF" w:rsidRPr="00E50EAF">
        <w:rPr>
          <w:rFonts w:ascii="Arial" w:hAnsi="Arial" w:cs="Arial"/>
        </w:rPr>
        <w:t>Tha</w:t>
      </w:r>
      <w:proofErr w:type="spellEnd"/>
      <w:r w:rsidR="00E50EAF" w:rsidRPr="00E50EAF">
        <w:rPr>
          <w:rFonts w:ascii="Arial" w:hAnsi="Arial" w:cs="Arial"/>
        </w:rPr>
        <w:t xml:space="preserve"> </w:t>
      </w:r>
      <w:proofErr w:type="spellStart"/>
      <w:r w:rsidR="00E50EAF" w:rsidRPr="00E50EAF">
        <w:rPr>
          <w:rFonts w:ascii="Arial" w:hAnsi="Arial" w:cs="Arial"/>
        </w:rPr>
        <w:t>Fxiw</w:t>
      </w:r>
      <w:proofErr w:type="spellEnd"/>
      <w:r w:rsidR="00E50EAF" w:rsidRPr="00E50EAF">
        <w:rPr>
          <w:rFonts w:ascii="Arial" w:hAnsi="Arial" w:cs="Arial"/>
        </w:rPr>
        <w:t>, municipio de Páez, Cauca. El contrato se celebró el 21 de noviembre de 2019, inició el 25 de noviembre de 2019 y culminó el 6 de marzo de 2020, tras dos prórrogas (21 y 45 días respectivamente), con un valor total de $69.872.000, incluido IVA.</w:t>
      </w:r>
    </w:p>
    <w:p w14:paraId="0A8858B9"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La supervisión del contrato fue ejercida inicialmente por Hugo Bernardo Joaquín (hasta el 31 de diciembre de 2019) y luego por Andrea Patricia del Pilar Gutiérrez Esquivel (desde el 2 de enero de 2020 hasta la liquidación). La interventoría estuvo a cargo del arquitecto Jaime Orlando Acosta mediante el Contrato FP-263 de 2019.</w:t>
      </w:r>
    </w:p>
    <w:p w14:paraId="2BC05EEA"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lastRenderedPageBreak/>
        <w:t>La interventoría informó a la supervisión, mediante varias comunicaciones (INT-FP-263-024, INT-FP-263-026, INT-FP-263-028 e INT-FP-263-030), acerca de un presunto incumplimiento de las obligaciones contractuales. Los productos entregados por el contratista no cumplieron con las especificaciones técnicas establecidas en el Anexo 1 del contrato, ni se realizaron las correcciones solicitadas en cuanto a las hojas de vida del equipo de trabajo.</w:t>
      </w:r>
    </w:p>
    <w:p w14:paraId="0E060935"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La interventoría realizó varios requerimientos técnicos y administrativos para que el contratista corrigiera los productos entregados, indicando que ninguno de ellos fue aprobado.</w:t>
      </w:r>
    </w:p>
    <w:p w14:paraId="189BF3B3"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El 16 de marzo de 2020, la interventoría solicitó formalmente la corrección de los productos para el 30 de marzo de 2020. Sin embargo, la firma contratista no cumplió con la entrega en la fecha indicada, y posteriormente anunció que lo haría el 10 de abril de 2020, lo que tampoco se cumplió.</w:t>
      </w:r>
    </w:p>
    <w:p w14:paraId="31E0CB68"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El 6 de abril de 2020, la interventoría remitió un informe detallando los presuntos incumplimientos relacionados con múltiples aspectos técnicos, como levantamiento topográfico, estudios de suelos, diseños estructurales, hidráulicos, eléctricos y otros componentes del proyecto. Se recomendó notificar a la aseguradora Solidaria de Colombia y tomar acciones contractuales según el Manual de Contratación del Departamento Administrativo de la Presidencia.</w:t>
      </w:r>
    </w:p>
    <w:p w14:paraId="17E82329" w14:textId="77777777"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Se cuenta con múltiples comunicaciones y actas de comité en las que se documentaron los avances, observaciones y requerimientos realizados durante la ejecución del contrato. Entre ellas, destacan las actas que contienen observaciones sobre estudios topográficos, normatividad de servicios públicos, propuestas arquitectónicas y cumplimiento de normas técnicas.</w:t>
      </w:r>
    </w:p>
    <w:p w14:paraId="3F998F39" w14:textId="199D7EF9" w:rsidR="00E50EAF" w:rsidRPr="00E50EAF" w:rsidRDefault="00E50EAF" w:rsidP="00E50EAF">
      <w:pPr>
        <w:numPr>
          <w:ilvl w:val="0"/>
          <w:numId w:val="27"/>
        </w:numPr>
        <w:spacing w:after="0" w:line="312" w:lineRule="auto"/>
        <w:jc w:val="both"/>
        <w:rPr>
          <w:rFonts w:ascii="Arial" w:hAnsi="Arial" w:cs="Arial"/>
        </w:rPr>
      </w:pPr>
      <w:r w:rsidRPr="00E50EAF">
        <w:rPr>
          <w:rFonts w:ascii="Arial" w:hAnsi="Arial" w:cs="Arial"/>
        </w:rPr>
        <w:t xml:space="preserve">En vista de los incumplimientos documentados y la falta de entrega de los productos corregidos se </w:t>
      </w:r>
      <w:r>
        <w:rPr>
          <w:rFonts w:ascii="Arial" w:hAnsi="Arial" w:cs="Arial"/>
        </w:rPr>
        <w:t xml:space="preserve">procedió, </w:t>
      </w:r>
      <w:r w:rsidRPr="00E50EAF">
        <w:rPr>
          <w:rFonts w:ascii="Arial" w:hAnsi="Arial" w:cs="Arial"/>
        </w:rPr>
        <w:t>conforme a lo establecido en el contrato,</w:t>
      </w:r>
      <w:r>
        <w:rPr>
          <w:rFonts w:ascii="Arial" w:hAnsi="Arial" w:cs="Arial"/>
        </w:rPr>
        <w:t xml:space="preserve"> reclamar en incumplimiento </w:t>
      </w:r>
      <w:r w:rsidRPr="00E50EAF">
        <w:rPr>
          <w:rFonts w:ascii="Arial" w:hAnsi="Arial" w:cs="Arial"/>
        </w:rPr>
        <w:t>y el uso de las pólizas de garantía.</w:t>
      </w:r>
    </w:p>
    <w:p w14:paraId="4B1F1A50" w14:textId="01184172" w:rsidR="006B6DCA" w:rsidRPr="004D6F5B" w:rsidRDefault="006B6DCA" w:rsidP="00F10A5F">
      <w:pPr>
        <w:spacing w:after="0" w:line="312" w:lineRule="auto"/>
        <w:jc w:val="both"/>
        <w:rPr>
          <w:rFonts w:ascii="Arial" w:hAnsi="Arial" w:cs="Arial"/>
        </w:rPr>
      </w:pPr>
    </w:p>
    <w:p w14:paraId="2FD48545" w14:textId="77777777" w:rsidR="001D2F7C" w:rsidRPr="001D2F7C" w:rsidRDefault="001D2F7C" w:rsidP="0007701A">
      <w:pPr>
        <w:spacing w:after="0" w:line="312" w:lineRule="auto"/>
        <w:jc w:val="both"/>
        <w:rPr>
          <w:rFonts w:ascii="Arial" w:hAnsi="Arial" w:cs="Arial"/>
          <w:color w:val="5A6573"/>
          <w:spacing w:val="2"/>
          <w:shd w:val="clear" w:color="auto" w:fill="FFFFFF"/>
        </w:rPr>
      </w:pPr>
    </w:p>
    <w:p w14:paraId="57FEA836" w14:textId="18F3EE62" w:rsidR="00074646" w:rsidRDefault="0032364E" w:rsidP="0007701A">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p>
    <w:p w14:paraId="01BB69AD" w14:textId="77777777" w:rsidR="00074646" w:rsidRDefault="00074646" w:rsidP="0007701A">
      <w:pPr>
        <w:spacing w:after="0" w:line="312" w:lineRule="auto"/>
        <w:jc w:val="both"/>
        <w:rPr>
          <w:rFonts w:ascii="Arial" w:hAnsi="Arial" w:cs="Arial"/>
          <w:spacing w:val="2"/>
          <w:shd w:val="clear" w:color="auto" w:fill="FFFFFF"/>
        </w:rPr>
      </w:pPr>
    </w:p>
    <w:p w14:paraId="54FCE665" w14:textId="6E5C8850" w:rsidR="00074646" w:rsidRPr="00DE7D90" w:rsidRDefault="00074646" w:rsidP="00DE7D90">
      <w:pPr>
        <w:spacing w:after="0" w:line="312" w:lineRule="auto"/>
        <w:ind w:left="708"/>
        <w:jc w:val="both"/>
        <w:rPr>
          <w:rFonts w:ascii="Arial" w:hAnsi="Arial" w:cs="Arial"/>
          <w:i/>
          <w:iCs/>
          <w:spacing w:val="2"/>
          <w:shd w:val="clear" w:color="auto" w:fill="FFFFFF"/>
        </w:rPr>
      </w:pPr>
      <w:r w:rsidRPr="00DE7D90">
        <w:rPr>
          <w:rFonts w:ascii="Arial" w:hAnsi="Arial" w:cs="Arial"/>
          <w:b/>
          <w:bCs/>
          <w:i/>
          <w:iCs/>
          <w:spacing w:val="2"/>
          <w:shd w:val="clear" w:color="auto" w:fill="FFFFFF"/>
        </w:rPr>
        <w:t>PRIMERA:</w:t>
      </w:r>
      <w:r w:rsidRPr="00DE7D90">
        <w:rPr>
          <w:rFonts w:ascii="Arial" w:hAnsi="Arial" w:cs="Arial"/>
          <w:i/>
          <w:iCs/>
          <w:spacing w:val="2"/>
          <w:shd w:val="clear" w:color="auto" w:fill="FFFFFF"/>
        </w:rPr>
        <w:t xml:space="preserve"> Que se declare el incumplimiento de las obligaciones contractuales por parte de INSTRUMENTO GRUPO OBRA CONSULTOR COLOMBIA S.A.S., dentro del contrato de consultoría FP- 262 de 2019, suscrito con mi mandante FONDO DE PROGRAMAS ESPECIALES PARA LA PAZ –FONDO PAZ.</w:t>
      </w:r>
    </w:p>
    <w:p w14:paraId="2EC541D2" w14:textId="77777777" w:rsidR="00074646" w:rsidRPr="00DE7D90" w:rsidRDefault="00074646" w:rsidP="00DE7D90">
      <w:pPr>
        <w:spacing w:after="0" w:line="312" w:lineRule="auto"/>
        <w:ind w:left="708"/>
        <w:jc w:val="both"/>
        <w:rPr>
          <w:rFonts w:ascii="Arial" w:hAnsi="Arial" w:cs="Arial"/>
          <w:i/>
          <w:iCs/>
          <w:spacing w:val="2"/>
          <w:shd w:val="clear" w:color="auto" w:fill="FFFFFF"/>
        </w:rPr>
      </w:pPr>
    </w:p>
    <w:p w14:paraId="30BA198C" w14:textId="70BDE6D3" w:rsidR="00074646" w:rsidRPr="00DE7D90" w:rsidRDefault="00074646" w:rsidP="00DE7D90">
      <w:pPr>
        <w:spacing w:after="0" w:line="312" w:lineRule="auto"/>
        <w:ind w:left="708"/>
        <w:jc w:val="both"/>
        <w:rPr>
          <w:rFonts w:ascii="Arial" w:hAnsi="Arial" w:cs="Arial"/>
          <w:i/>
          <w:iCs/>
          <w:spacing w:val="2"/>
          <w:shd w:val="clear" w:color="auto" w:fill="FFFFFF"/>
        </w:rPr>
      </w:pPr>
      <w:r w:rsidRPr="00DE7D90">
        <w:rPr>
          <w:rFonts w:ascii="Arial" w:hAnsi="Arial" w:cs="Arial"/>
          <w:b/>
          <w:bCs/>
          <w:i/>
          <w:iCs/>
          <w:spacing w:val="2"/>
          <w:shd w:val="clear" w:color="auto" w:fill="FFFFFF"/>
        </w:rPr>
        <w:t>SEGUNDO:</w:t>
      </w:r>
      <w:r w:rsidRPr="00DE7D90">
        <w:rPr>
          <w:rFonts w:ascii="Arial" w:hAnsi="Arial" w:cs="Arial"/>
          <w:i/>
          <w:iCs/>
          <w:spacing w:val="2"/>
          <w:shd w:val="clear" w:color="auto" w:fill="FFFFFF"/>
        </w:rPr>
        <w:t xml:space="preserve"> Que se condene a la firma INSTRUMENTO GRUPO OBRA CONSULTOR COLOMBIA S.A.S. al pago de los daños causados, como consecuencia del incumplimiento parcial corresponde al 60,00 % del valor total del contrato de consultoría, valor que asciende a la suma de </w:t>
      </w:r>
      <w:bookmarkStart w:id="0" w:name="_Hlk194047981"/>
      <w:r w:rsidRPr="00DE7D90">
        <w:rPr>
          <w:rFonts w:ascii="Arial" w:hAnsi="Arial" w:cs="Arial"/>
          <w:i/>
          <w:iCs/>
          <w:spacing w:val="2"/>
          <w:shd w:val="clear" w:color="auto" w:fill="FFFFFF"/>
        </w:rPr>
        <w:t>$ 41.923.200,00</w:t>
      </w:r>
      <w:bookmarkEnd w:id="0"/>
      <w:r w:rsidRPr="00DE7D90">
        <w:rPr>
          <w:rFonts w:ascii="Arial" w:hAnsi="Arial" w:cs="Arial"/>
          <w:i/>
          <w:iCs/>
          <w:spacing w:val="2"/>
          <w:shd w:val="clear" w:color="auto" w:fill="FFFFFF"/>
        </w:rPr>
        <w:t>. y a las costas procesales.</w:t>
      </w:r>
    </w:p>
    <w:p w14:paraId="650CAF7D" w14:textId="77777777" w:rsidR="00074646" w:rsidRPr="00DE7D90" w:rsidRDefault="00074646" w:rsidP="00DE7D90">
      <w:pPr>
        <w:spacing w:after="0" w:line="312" w:lineRule="auto"/>
        <w:ind w:left="708"/>
        <w:jc w:val="both"/>
        <w:rPr>
          <w:rFonts w:ascii="Arial" w:hAnsi="Arial" w:cs="Arial"/>
          <w:i/>
          <w:iCs/>
          <w:spacing w:val="2"/>
          <w:shd w:val="clear" w:color="auto" w:fill="FFFFFF"/>
        </w:rPr>
      </w:pPr>
    </w:p>
    <w:p w14:paraId="429A5DB1" w14:textId="68C52C4A" w:rsidR="00074646" w:rsidRPr="00DE7D90" w:rsidRDefault="00074646" w:rsidP="00DE7D90">
      <w:pPr>
        <w:spacing w:after="0" w:line="312" w:lineRule="auto"/>
        <w:ind w:left="708"/>
        <w:jc w:val="both"/>
        <w:rPr>
          <w:rFonts w:ascii="Arial" w:hAnsi="Arial" w:cs="Arial"/>
          <w:i/>
          <w:iCs/>
          <w:spacing w:val="2"/>
          <w:shd w:val="clear" w:color="auto" w:fill="FFFFFF"/>
        </w:rPr>
      </w:pPr>
      <w:r w:rsidRPr="00DE7D90">
        <w:rPr>
          <w:rFonts w:ascii="Arial" w:hAnsi="Arial" w:cs="Arial"/>
          <w:b/>
          <w:bCs/>
          <w:i/>
          <w:iCs/>
          <w:spacing w:val="2"/>
          <w:shd w:val="clear" w:color="auto" w:fill="FFFFFF"/>
        </w:rPr>
        <w:t>TERCERO.</w:t>
      </w:r>
      <w:r w:rsidRPr="00DE7D90">
        <w:rPr>
          <w:rFonts w:ascii="Arial" w:hAnsi="Arial" w:cs="Arial"/>
          <w:i/>
          <w:iCs/>
          <w:spacing w:val="2"/>
          <w:shd w:val="clear" w:color="auto" w:fill="FFFFFF"/>
        </w:rPr>
        <w:t xml:space="preserve"> Se ordene a la ASEGURADORA SOLIDARIA DE COLOMBIA, el reconocimiento del monto objeto de garantía, de conformidad con lo estipulado en la póliza No. 330- 47-994000017924, que ampara el contrato en cuestión.</w:t>
      </w:r>
    </w:p>
    <w:p w14:paraId="6E69BF74" w14:textId="77777777" w:rsidR="00847C1B" w:rsidRDefault="00847C1B" w:rsidP="0007701A">
      <w:pPr>
        <w:spacing w:after="0" w:line="312" w:lineRule="auto"/>
        <w:jc w:val="both"/>
        <w:rPr>
          <w:rFonts w:ascii="Arial" w:hAnsi="Arial" w:cs="Arial"/>
          <w:spacing w:val="2"/>
          <w:shd w:val="clear" w:color="auto" w:fill="FFFFFF"/>
        </w:rPr>
      </w:pPr>
    </w:p>
    <w:p w14:paraId="388EC48C" w14:textId="4E7F5C6C" w:rsidR="00FA3F73" w:rsidRDefault="00847C1B" w:rsidP="00FA3F73">
      <w:pPr>
        <w:spacing w:after="0" w:line="312" w:lineRule="auto"/>
        <w:jc w:val="both"/>
        <w:rPr>
          <w:rFonts w:ascii="Arial" w:hAnsi="Arial" w:cs="Arial"/>
          <w:spacing w:val="2"/>
          <w:shd w:val="clear" w:color="auto" w:fill="FFFFFF"/>
        </w:rPr>
      </w:pPr>
      <w:r>
        <w:rPr>
          <w:rFonts w:ascii="Arial" w:hAnsi="Arial" w:cs="Arial"/>
          <w:spacing w:val="2"/>
          <w:shd w:val="clear" w:color="auto" w:fill="FFFFFF"/>
        </w:rPr>
        <w:lastRenderedPageBreak/>
        <w:t xml:space="preserve">Respecto a las pretensiones del proceso, es dable precisar que el extremo demandante solicita el 60% del valor del contrato, equivalente a </w:t>
      </w:r>
      <w:r w:rsidRPr="00847C1B">
        <w:rPr>
          <w:rFonts w:ascii="Arial" w:hAnsi="Arial" w:cs="Arial"/>
          <w:spacing w:val="2"/>
          <w:shd w:val="clear" w:color="auto" w:fill="FFFFFF"/>
        </w:rPr>
        <w:t>$41.923.200,00</w:t>
      </w:r>
      <w:r w:rsidR="00FA3F73" w:rsidRPr="00FA3F73">
        <w:rPr>
          <w:rFonts w:ascii="Arial" w:hAnsi="Arial" w:cs="Arial"/>
          <w:spacing w:val="2"/>
          <w:shd w:val="clear" w:color="auto" w:fill="FFFFFF"/>
        </w:rPr>
        <w:t>, por presunto incumplimiento parcial. Sin embargo, no se ha demostrado de manera efectiva la existencia de este perjuicio ni su cuantía, ya que no hay documentos contables, comprobantes de pago o egresos que lo respalden.</w:t>
      </w:r>
    </w:p>
    <w:p w14:paraId="10BD8D00" w14:textId="77777777" w:rsidR="00FA3F73" w:rsidRPr="00FA3F73" w:rsidRDefault="00FA3F73" w:rsidP="00FA3F73">
      <w:pPr>
        <w:spacing w:after="0" w:line="312" w:lineRule="auto"/>
        <w:jc w:val="both"/>
        <w:rPr>
          <w:rFonts w:ascii="Arial" w:hAnsi="Arial" w:cs="Arial"/>
          <w:spacing w:val="2"/>
          <w:shd w:val="clear" w:color="auto" w:fill="FFFFFF"/>
        </w:rPr>
      </w:pPr>
    </w:p>
    <w:p w14:paraId="58170686" w14:textId="77777777" w:rsidR="00FA3F73" w:rsidRDefault="00FA3F73" w:rsidP="00FA3F73">
      <w:pPr>
        <w:spacing w:after="0" w:line="312" w:lineRule="auto"/>
        <w:jc w:val="both"/>
        <w:rPr>
          <w:rFonts w:ascii="Arial" w:hAnsi="Arial" w:cs="Arial"/>
          <w:spacing w:val="2"/>
          <w:shd w:val="clear" w:color="auto" w:fill="FFFFFF"/>
        </w:rPr>
      </w:pPr>
      <w:r w:rsidRPr="00FA3F73">
        <w:rPr>
          <w:rFonts w:ascii="Arial" w:hAnsi="Arial" w:cs="Arial"/>
          <w:spacing w:val="2"/>
          <w:shd w:val="clear" w:color="auto" w:fill="FFFFFF"/>
        </w:rPr>
        <w:t xml:space="preserve">El contrato establecía el pago mediante actas parciales. El 27 de diciembre de 2019 se abonó el acta parcial No. 1 por </w:t>
      </w:r>
      <w:r w:rsidRPr="00FA3F73">
        <w:rPr>
          <w:rFonts w:ascii="Arial" w:hAnsi="Arial" w:cs="Arial"/>
          <w:b/>
          <w:bCs/>
          <w:spacing w:val="2"/>
          <w:shd w:val="clear" w:color="auto" w:fill="FFFFFF"/>
        </w:rPr>
        <w:t>$27.948.200</w:t>
      </w:r>
      <w:r w:rsidRPr="00FA3F73">
        <w:rPr>
          <w:rFonts w:ascii="Arial" w:hAnsi="Arial" w:cs="Arial"/>
          <w:spacing w:val="2"/>
          <w:shd w:val="clear" w:color="auto" w:fill="FFFFFF"/>
        </w:rPr>
        <w:t xml:space="preserve"> (40% del contrato), quedando pendiente el 60% para el acta final. Este saldo no fue pagado a </w:t>
      </w:r>
      <w:r w:rsidRPr="00FA3F73">
        <w:rPr>
          <w:rFonts w:ascii="Arial" w:hAnsi="Arial" w:cs="Arial"/>
          <w:b/>
          <w:bCs/>
          <w:spacing w:val="2"/>
          <w:shd w:val="clear" w:color="auto" w:fill="FFFFFF"/>
        </w:rPr>
        <w:t>INSTRUMENTO GRUPO OBRA CONSULTOR COLOMBIA S.A.S.</w:t>
      </w:r>
      <w:r w:rsidRPr="00FA3F73">
        <w:rPr>
          <w:rFonts w:ascii="Arial" w:hAnsi="Arial" w:cs="Arial"/>
          <w:spacing w:val="2"/>
          <w:shd w:val="clear" w:color="auto" w:fill="FFFFFF"/>
        </w:rPr>
        <w:t>, debido a observaciones de la interventoría, por lo que los recursos permanecen en FONDO PAZ.</w:t>
      </w:r>
    </w:p>
    <w:p w14:paraId="1B34EABE" w14:textId="77777777" w:rsidR="00FA3F73" w:rsidRDefault="00FA3F73" w:rsidP="00FA3F73">
      <w:pPr>
        <w:spacing w:after="0" w:line="312" w:lineRule="auto"/>
        <w:jc w:val="both"/>
        <w:rPr>
          <w:rFonts w:ascii="Arial" w:hAnsi="Arial" w:cs="Arial"/>
          <w:spacing w:val="2"/>
          <w:shd w:val="clear" w:color="auto" w:fill="FFFFFF"/>
        </w:rPr>
      </w:pPr>
    </w:p>
    <w:p w14:paraId="7FE98996" w14:textId="32A80B58" w:rsidR="00FA3F73" w:rsidRDefault="00FA3F73" w:rsidP="00FA3F73">
      <w:pPr>
        <w:spacing w:after="0" w:line="312" w:lineRule="auto"/>
        <w:jc w:val="both"/>
        <w:rPr>
          <w:rFonts w:ascii="Arial" w:hAnsi="Arial" w:cs="Arial"/>
          <w:spacing w:val="2"/>
          <w:shd w:val="clear" w:color="auto" w:fill="FFFFFF"/>
        </w:rPr>
      </w:pPr>
      <w:r>
        <w:rPr>
          <w:rFonts w:ascii="Arial" w:hAnsi="Arial" w:cs="Arial"/>
          <w:spacing w:val="2"/>
          <w:shd w:val="clear" w:color="auto" w:fill="FFFFFF"/>
        </w:rPr>
        <w:t xml:space="preserve">Aunado a ello, y en el mismo sentido, </w:t>
      </w:r>
      <w:r w:rsidRPr="00FA3F73">
        <w:rPr>
          <w:rFonts w:ascii="Arial" w:hAnsi="Arial" w:cs="Arial"/>
          <w:spacing w:val="2"/>
          <w:shd w:val="clear" w:color="auto" w:fill="FFFFFF"/>
        </w:rPr>
        <w:t>La Contraloría General de la Nación, en el oficio No. 88112, concluyó que no hubo detrimento del patrimonio público ni gestión fiscal indebida, indicando que el recurso permanece en el fondo y que no existe perjuicio que deba indemnizarse.</w:t>
      </w:r>
      <w:r>
        <w:rPr>
          <w:rFonts w:ascii="Arial" w:hAnsi="Arial" w:cs="Arial"/>
          <w:spacing w:val="2"/>
          <w:shd w:val="clear" w:color="auto" w:fill="FFFFFF"/>
        </w:rPr>
        <w:t xml:space="preserve"> </w:t>
      </w:r>
      <w:r w:rsidRPr="00FA3F73">
        <w:rPr>
          <w:rFonts w:ascii="Arial" w:hAnsi="Arial" w:cs="Arial"/>
          <w:spacing w:val="2"/>
          <w:shd w:val="clear" w:color="auto" w:fill="FFFFFF"/>
        </w:rPr>
        <w:t>En este contexto, era responsabilidad de FONDO PAZ probar el perjuicio alegado en cuanto a su existencia y monto, lo cual no logró hacer de manera eficaz. No existe constancia de un pago adicional al acta parcial No. 1</w:t>
      </w:r>
      <w:r>
        <w:rPr>
          <w:rFonts w:ascii="Arial" w:hAnsi="Arial" w:cs="Arial"/>
          <w:spacing w:val="2"/>
          <w:shd w:val="clear" w:color="auto" w:fill="FFFFFF"/>
        </w:rPr>
        <w:t xml:space="preserve">. </w:t>
      </w:r>
    </w:p>
    <w:p w14:paraId="59325F76" w14:textId="77777777" w:rsidR="00FA3F73" w:rsidRDefault="00FA3F73" w:rsidP="00FA3F73">
      <w:pPr>
        <w:spacing w:after="0" w:line="312" w:lineRule="auto"/>
        <w:jc w:val="both"/>
        <w:rPr>
          <w:rFonts w:ascii="Arial" w:hAnsi="Arial" w:cs="Arial"/>
          <w:spacing w:val="2"/>
          <w:shd w:val="clear" w:color="auto" w:fill="FFFFFF"/>
        </w:rPr>
      </w:pPr>
    </w:p>
    <w:p w14:paraId="0DA8B3DF" w14:textId="602B1E30" w:rsidR="00FA3F73" w:rsidRDefault="00FA3F73" w:rsidP="00FA3F73">
      <w:pPr>
        <w:spacing w:after="0" w:line="312" w:lineRule="auto"/>
        <w:jc w:val="both"/>
        <w:rPr>
          <w:rFonts w:ascii="Arial" w:hAnsi="Arial" w:cs="Arial"/>
          <w:spacing w:val="2"/>
          <w:shd w:val="clear" w:color="auto" w:fill="FFFFFF"/>
        </w:rPr>
      </w:pPr>
      <w:r>
        <w:rPr>
          <w:rFonts w:ascii="Arial" w:hAnsi="Arial" w:cs="Arial"/>
          <w:spacing w:val="2"/>
          <w:shd w:val="clear" w:color="auto" w:fill="FFFFFF"/>
        </w:rPr>
        <w:t xml:space="preserve">En ese orden, </w:t>
      </w:r>
      <w:r w:rsidR="00687B25">
        <w:rPr>
          <w:rFonts w:ascii="Arial" w:hAnsi="Arial" w:cs="Arial"/>
          <w:spacing w:val="2"/>
          <w:shd w:val="clear" w:color="auto" w:fill="FFFFFF"/>
        </w:rPr>
        <w:t xml:space="preserve">dentro de sub judice lo que podría proceder en el evento en que se declare el incumplimiento del contrato, lo que procede es la afectación de la cláusula penal pactada dentro del </w:t>
      </w:r>
      <w:r w:rsidR="00687B25" w:rsidRPr="00E50EAF">
        <w:rPr>
          <w:rFonts w:ascii="Arial" w:hAnsi="Arial" w:cs="Arial"/>
        </w:rPr>
        <w:t xml:space="preserve">Contrato de Consultoría FP-262 de 2019 </w:t>
      </w:r>
      <w:r w:rsidR="00687B25">
        <w:rPr>
          <w:rFonts w:ascii="Arial" w:hAnsi="Arial" w:cs="Arial"/>
        </w:rPr>
        <w:t>del 20% del valor total del contrato, equivalente a $</w:t>
      </w:r>
      <w:r w:rsidR="00687B25">
        <w:rPr>
          <w:rFonts w:ascii="Arial" w:eastAsia="Times New Roman" w:hAnsi="Arial" w:cs="Arial"/>
          <w:spacing w:val="2"/>
          <w:lang w:eastAsia="es-CO"/>
        </w:rPr>
        <w:t>13.974.400, mismo que se deriva</w:t>
      </w:r>
      <w:r w:rsidR="00687B25">
        <w:rPr>
          <w:rFonts w:ascii="Arial" w:hAnsi="Arial" w:cs="Arial"/>
          <w:spacing w:val="2"/>
          <w:shd w:val="clear" w:color="auto" w:fill="FFFFFF"/>
        </w:rPr>
        <w:t xml:space="preserve"> del incumplimiento del contratista, incumplimiento que si afecta gravemente los intereses de la administración, por cuanto no se desarrolló el objeto contractual. </w:t>
      </w:r>
    </w:p>
    <w:p w14:paraId="59DBC114" w14:textId="77777777" w:rsidR="00FA3F73" w:rsidRDefault="00FA3F73" w:rsidP="0007701A">
      <w:pPr>
        <w:spacing w:after="0" w:line="312" w:lineRule="auto"/>
        <w:jc w:val="both"/>
        <w:rPr>
          <w:rFonts w:ascii="Arial" w:hAnsi="Arial" w:cs="Arial"/>
          <w:spacing w:val="2"/>
          <w:shd w:val="clear" w:color="auto" w:fill="FFFFFF"/>
        </w:rPr>
      </w:pPr>
    </w:p>
    <w:p w14:paraId="7385C213" w14:textId="77777777" w:rsidR="008E7D73" w:rsidRPr="009A3CB8" w:rsidRDefault="008E7D73" w:rsidP="0007701A">
      <w:pPr>
        <w:spacing w:after="0" w:line="312" w:lineRule="auto"/>
        <w:jc w:val="both"/>
        <w:rPr>
          <w:rFonts w:ascii="Arial" w:hAnsi="Arial" w:cs="Arial"/>
          <w:lang w:val="es-ES"/>
        </w:rPr>
      </w:pPr>
    </w:p>
    <w:p w14:paraId="3A62D97F" w14:textId="77777777" w:rsidR="00B23AFD" w:rsidRPr="009A3CB8"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C41B05">
      <w:pPr>
        <w:spacing w:after="0" w:line="312" w:lineRule="auto"/>
        <w:jc w:val="both"/>
        <w:rPr>
          <w:rFonts w:ascii="Arial" w:hAnsi="Arial" w:cs="Arial"/>
          <w:b/>
          <w:bCs/>
          <w:lang w:val="es-ES"/>
        </w:rPr>
      </w:pPr>
    </w:p>
    <w:p w14:paraId="0840DEF7" w14:textId="6CFBA74F" w:rsidR="007B780C" w:rsidRDefault="00B23AFD" w:rsidP="00A255B1">
      <w:pPr>
        <w:spacing w:after="0" w:line="312" w:lineRule="auto"/>
        <w:jc w:val="both"/>
        <w:rPr>
          <w:rFonts w:ascii="Arial" w:eastAsia="Times New Roman" w:hAnsi="Arial" w:cs="Arial"/>
          <w:bdr w:val="none" w:sz="0" w:space="0" w:color="auto" w:frame="1"/>
          <w:lang w:eastAsia="es-CO"/>
        </w:rPr>
      </w:pPr>
      <w:r w:rsidRPr="009A3CB8">
        <w:rPr>
          <w:rFonts w:ascii="Arial" w:eastAsia="Times New Roman" w:hAnsi="Arial" w:cs="Arial"/>
          <w:b/>
          <w:bCs/>
          <w:u w:val="single"/>
          <w:bdr w:val="none" w:sz="0" w:space="0" w:color="auto" w:frame="1"/>
          <w:lang w:eastAsia="es-CO"/>
        </w:rPr>
        <w:t>CALIFICACIÓN:</w:t>
      </w:r>
      <w:r w:rsidR="004E5E2E">
        <w:rPr>
          <w:rFonts w:ascii="Arial" w:eastAsia="Times New Roman" w:hAnsi="Arial" w:cs="Arial"/>
          <w:b/>
          <w:bCs/>
          <w:bdr w:val="none" w:sz="0" w:space="0" w:color="auto" w:frame="1"/>
          <w:lang w:eastAsia="es-CO"/>
        </w:rPr>
        <w:t xml:space="preserve"> </w:t>
      </w:r>
      <w:r w:rsidR="00291177">
        <w:rPr>
          <w:rFonts w:ascii="Arial" w:eastAsia="Times New Roman" w:hAnsi="Arial" w:cs="Arial"/>
          <w:bdr w:val="none" w:sz="0" w:space="0" w:color="auto" w:frame="1"/>
          <w:lang w:eastAsia="es-CO"/>
        </w:rPr>
        <w:t>L</w:t>
      </w:r>
      <w:r w:rsidR="00A255B1" w:rsidRPr="00A255B1">
        <w:rPr>
          <w:rFonts w:ascii="Arial" w:eastAsia="Times New Roman" w:hAnsi="Arial" w:cs="Arial"/>
          <w:bdr w:val="none" w:sz="0" w:space="0" w:color="auto" w:frame="1"/>
          <w:lang w:eastAsia="es-CO"/>
        </w:rPr>
        <w:t xml:space="preserve">a contingencia se </w:t>
      </w:r>
      <w:r w:rsidR="00DD1FF4">
        <w:rPr>
          <w:rFonts w:ascii="Arial" w:eastAsia="Times New Roman" w:hAnsi="Arial" w:cs="Arial"/>
          <w:bdr w:val="none" w:sz="0" w:space="0" w:color="auto" w:frame="1"/>
          <w:lang w:eastAsia="es-CO"/>
        </w:rPr>
        <w:t>mantiene</w:t>
      </w:r>
      <w:r w:rsidR="00A255B1" w:rsidRPr="00A255B1">
        <w:rPr>
          <w:rFonts w:ascii="Arial" w:eastAsia="Times New Roman" w:hAnsi="Arial" w:cs="Arial"/>
          <w:bdr w:val="none" w:sz="0" w:space="0" w:color="auto" w:frame="1"/>
          <w:lang w:eastAsia="es-CO"/>
        </w:rPr>
        <w:t xml:space="preserve"> como </w:t>
      </w:r>
      <w:r w:rsidR="00A255B1" w:rsidRPr="00397418">
        <w:rPr>
          <w:rFonts w:ascii="Arial" w:eastAsia="Times New Roman" w:hAnsi="Arial" w:cs="Arial"/>
          <w:b/>
          <w:bCs/>
          <w:bdr w:val="none" w:sz="0" w:space="0" w:color="auto" w:frame="1"/>
          <w:lang w:eastAsia="es-CO"/>
        </w:rPr>
        <w:t>PROBABLE</w:t>
      </w:r>
      <w:r w:rsidR="00A255B1" w:rsidRPr="00A255B1">
        <w:rPr>
          <w:rFonts w:ascii="Arial" w:eastAsia="Times New Roman" w:hAnsi="Arial" w:cs="Arial"/>
          <w:bdr w:val="none" w:sz="0" w:space="0" w:color="auto" w:frame="1"/>
          <w:lang w:eastAsia="es-CO"/>
        </w:rPr>
        <w:t xml:space="preserve"> en cuanto</w:t>
      </w:r>
      <w:r w:rsidR="007B780C">
        <w:rPr>
          <w:rFonts w:ascii="Arial" w:eastAsia="Times New Roman" w:hAnsi="Arial" w:cs="Arial"/>
          <w:bdr w:val="none" w:sz="0" w:space="0" w:color="auto" w:frame="1"/>
          <w:lang w:eastAsia="es-CO"/>
        </w:rPr>
        <w:t xml:space="preserve"> póliza de seguro </w:t>
      </w:r>
      <w:r w:rsidR="007B780C" w:rsidRPr="007B780C">
        <w:rPr>
          <w:rFonts w:ascii="Arial" w:eastAsia="Times New Roman" w:hAnsi="Arial" w:cs="Arial"/>
          <w:bdr w:val="none" w:sz="0" w:space="0" w:color="auto" w:frame="1"/>
          <w:lang w:eastAsia="es-CO"/>
        </w:rPr>
        <w:t>No. 330- 47-994000017924</w:t>
      </w:r>
      <w:r w:rsidR="007B780C">
        <w:rPr>
          <w:rFonts w:ascii="Arial" w:eastAsia="Times New Roman" w:hAnsi="Arial" w:cs="Arial"/>
          <w:bdr w:val="none" w:sz="0" w:space="0" w:color="auto" w:frame="1"/>
          <w:lang w:eastAsia="es-CO"/>
        </w:rPr>
        <w:t xml:space="preserve"> otorga cobertura material y temporal, además de que se evidenció que </w:t>
      </w:r>
      <w:r w:rsidR="007B780C" w:rsidRPr="007B780C">
        <w:rPr>
          <w:rFonts w:ascii="Arial" w:eastAsia="Times New Roman" w:hAnsi="Arial" w:cs="Arial"/>
          <w:bdr w:val="none" w:sz="0" w:space="0" w:color="auto" w:frame="1"/>
          <w:lang w:eastAsia="es-CO"/>
        </w:rPr>
        <w:t>el contratista incumplió con las obligaciones establecidas en el contrato</w:t>
      </w:r>
      <w:r w:rsidR="007B780C">
        <w:rPr>
          <w:rFonts w:ascii="Arial" w:eastAsia="Times New Roman" w:hAnsi="Arial" w:cs="Arial"/>
          <w:bdr w:val="none" w:sz="0" w:space="0" w:color="auto" w:frame="1"/>
          <w:lang w:eastAsia="es-CO"/>
        </w:rPr>
        <w:t xml:space="preserve">. </w:t>
      </w:r>
    </w:p>
    <w:p w14:paraId="5CAFBC9B" w14:textId="77777777" w:rsidR="007B780C" w:rsidRDefault="007B780C" w:rsidP="00A255B1">
      <w:pPr>
        <w:spacing w:after="0" w:line="312" w:lineRule="auto"/>
        <w:jc w:val="both"/>
        <w:rPr>
          <w:rFonts w:ascii="Arial" w:eastAsia="Times New Roman" w:hAnsi="Arial" w:cs="Arial"/>
          <w:bdr w:val="none" w:sz="0" w:space="0" w:color="auto" w:frame="1"/>
          <w:lang w:eastAsia="es-CO"/>
        </w:rPr>
      </w:pPr>
    </w:p>
    <w:p w14:paraId="43BC9967" w14:textId="2374CAA4" w:rsidR="007B780C" w:rsidRDefault="007B780C" w:rsidP="00A255B1">
      <w:pPr>
        <w:spacing w:after="0" w:line="312" w:lineRule="auto"/>
        <w:jc w:val="both"/>
        <w:rPr>
          <w:rFonts w:ascii="Arial" w:eastAsia="Times New Roman" w:hAnsi="Arial" w:cs="Arial"/>
          <w:bdr w:val="none" w:sz="0" w:space="0" w:color="auto" w:frame="1"/>
          <w:lang w:eastAsia="es-CO"/>
        </w:rPr>
      </w:pPr>
      <w:r w:rsidRPr="007B780C">
        <w:rPr>
          <w:rFonts w:ascii="Arial" w:eastAsia="Times New Roman" w:hAnsi="Arial" w:cs="Arial"/>
          <w:bdr w:val="none" w:sz="0" w:space="0" w:color="auto" w:frame="1"/>
          <w:lang w:eastAsia="es-CO"/>
        </w:rPr>
        <w:t>P</w:t>
      </w:r>
      <w:r>
        <w:rPr>
          <w:rFonts w:ascii="Arial" w:eastAsia="Times New Roman" w:hAnsi="Arial" w:cs="Arial"/>
          <w:bdr w:val="none" w:sz="0" w:space="0" w:color="auto" w:frame="1"/>
          <w:lang w:eastAsia="es-CO"/>
        </w:rPr>
        <w:t>o</w:t>
      </w:r>
      <w:r w:rsidRPr="007B780C">
        <w:rPr>
          <w:rFonts w:ascii="Arial" w:eastAsia="Times New Roman" w:hAnsi="Arial" w:cs="Arial"/>
          <w:bdr w:val="none" w:sz="0" w:space="0" w:color="auto" w:frame="1"/>
          <w:lang w:eastAsia="es-CO"/>
        </w:rPr>
        <w:t>r un lado, la póliza de seguro No. 330- 47-994000017924</w:t>
      </w:r>
      <w:r w:rsidR="001F1F50">
        <w:rPr>
          <w:rFonts w:ascii="Arial" w:eastAsia="Times New Roman" w:hAnsi="Arial" w:cs="Arial"/>
          <w:bdr w:val="none" w:sz="0" w:space="0" w:color="auto" w:frame="1"/>
          <w:lang w:eastAsia="es-CO"/>
        </w:rPr>
        <w:t xml:space="preserve">, </w:t>
      </w:r>
      <w:r w:rsidRPr="007B780C">
        <w:rPr>
          <w:rFonts w:ascii="Arial" w:eastAsia="Times New Roman" w:hAnsi="Arial" w:cs="Arial"/>
          <w:bdr w:val="none" w:sz="0" w:space="0" w:color="auto" w:frame="1"/>
          <w:lang w:eastAsia="es-CO"/>
        </w:rPr>
        <w:t>brinda cobertura material y temporal conforme a los hechos expuestos en la demanda. Respecto a la cobertura temporal, la póliza</w:t>
      </w:r>
      <w:r w:rsidR="001F1F50">
        <w:rPr>
          <w:rFonts w:ascii="Arial" w:eastAsia="Times New Roman" w:hAnsi="Arial" w:cs="Arial"/>
          <w:bdr w:val="none" w:sz="0" w:space="0" w:color="auto" w:frame="1"/>
          <w:lang w:eastAsia="es-CO"/>
        </w:rPr>
        <w:t xml:space="preserve"> con vigencia del 21 de noviembre de 2019 al 21 de julio de 2020</w:t>
      </w:r>
      <w:r w:rsidRPr="007B780C">
        <w:rPr>
          <w:rFonts w:ascii="Arial" w:eastAsia="Times New Roman" w:hAnsi="Arial" w:cs="Arial"/>
          <w:bdr w:val="none" w:sz="0" w:space="0" w:color="auto" w:frame="1"/>
          <w:lang w:eastAsia="es-CO"/>
        </w:rPr>
        <w:t xml:space="preserve"> opera bajo la modalidad de </w:t>
      </w:r>
      <w:r w:rsidRPr="007B780C">
        <w:rPr>
          <w:rFonts w:ascii="Arial" w:eastAsia="Times New Roman" w:hAnsi="Arial" w:cs="Arial"/>
          <w:b/>
          <w:bCs/>
          <w:bdr w:val="none" w:sz="0" w:space="0" w:color="auto" w:frame="1"/>
          <w:lang w:eastAsia="es-CO"/>
        </w:rPr>
        <w:t>ocurrencia</w:t>
      </w:r>
      <w:r w:rsidR="001F1F50" w:rsidRPr="001F1F50">
        <w:rPr>
          <w:rFonts w:ascii="Arial" w:eastAsia="Times New Roman" w:hAnsi="Arial" w:cs="Arial"/>
          <w:bdr w:val="none" w:sz="0" w:space="0" w:color="auto" w:frame="1"/>
          <w:lang w:eastAsia="es-CO"/>
        </w:rPr>
        <w:t>, lo que significa que cubre todos los daños ocasionados por el incumplimiento de las obligaciones asumidas por el contratista en el marco del contrato No. FP-262-2019, siempre que dichos perjuicios ocurran durante la vigencia del seguro. Para el</w:t>
      </w:r>
      <w:r w:rsidR="00057C21">
        <w:rPr>
          <w:rFonts w:ascii="Arial" w:eastAsia="Times New Roman" w:hAnsi="Arial" w:cs="Arial"/>
          <w:bdr w:val="none" w:sz="0" w:space="0" w:color="auto" w:frame="1"/>
          <w:lang w:eastAsia="es-CO"/>
        </w:rPr>
        <w:t xml:space="preserve"> 06 de abril de 2020, fecha en la que se conoció el incumplimiento en virtud de la comunicación del informe de interventoría,</w:t>
      </w:r>
      <w:r w:rsidR="001F1F50" w:rsidRPr="001F1F50">
        <w:rPr>
          <w:rFonts w:ascii="Arial" w:eastAsia="Times New Roman" w:hAnsi="Arial" w:cs="Arial"/>
          <w:bdr w:val="none" w:sz="0" w:space="0" w:color="auto" w:frame="1"/>
          <w:lang w:eastAsia="es-CO"/>
        </w:rPr>
        <w:t xml:space="preserve"> la póliza estaba vigente, lo que garantiza que la cobertura temporal esté activa.</w:t>
      </w:r>
      <w:r w:rsidR="001F1F50">
        <w:rPr>
          <w:rFonts w:ascii="Arial" w:eastAsia="Times New Roman" w:hAnsi="Arial" w:cs="Arial"/>
          <w:bdr w:val="none" w:sz="0" w:space="0" w:color="auto" w:frame="1"/>
          <w:lang w:eastAsia="es-CO"/>
        </w:rPr>
        <w:t xml:space="preserve"> </w:t>
      </w:r>
      <w:r w:rsidRPr="007B780C">
        <w:rPr>
          <w:rFonts w:ascii="Arial" w:eastAsia="Times New Roman" w:hAnsi="Arial" w:cs="Arial"/>
          <w:bdr w:val="none" w:sz="0" w:space="0" w:color="auto" w:frame="1"/>
          <w:lang w:eastAsia="es-CO"/>
        </w:rPr>
        <w:t xml:space="preserve">Por otro lado, la póliza </w:t>
      </w:r>
      <w:r w:rsidR="001F1F50">
        <w:rPr>
          <w:rFonts w:ascii="Arial" w:eastAsia="Times New Roman" w:hAnsi="Arial" w:cs="Arial"/>
          <w:bdr w:val="none" w:sz="0" w:space="0" w:color="auto" w:frame="1"/>
          <w:lang w:eastAsia="es-CO"/>
        </w:rPr>
        <w:t xml:space="preserve">contratada de igual forma </w:t>
      </w:r>
      <w:r w:rsidRPr="007B780C">
        <w:rPr>
          <w:rFonts w:ascii="Arial" w:eastAsia="Times New Roman" w:hAnsi="Arial" w:cs="Arial"/>
          <w:bdr w:val="none" w:sz="0" w:space="0" w:color="auto" w:frame="1"/>
          <w:lang w:eastAsia="es-CO"/>
        </w:rPr>
        <w:t>presta cobertura material</w:t>
      </w:r>
      <w:r w:rsidR="001F1F50">
        <w:rPr>
          <w:rFonts w:ascii="Arial" w:eastAsia="Times New Roman" w:hAnsi="Arial" w:cs="Arial"/>
          <w:bdr w:val="none" w:sz="0" w:space="0" w:color="auto" w:frame="1"/>
          <w:lang w:eastAsia="es-CO"/>
        </w:rPr>
        <w:t>, dado que e</w:t>
      </w:r>
      <w:r w:rsidR="001F1F50" w:rsidRPr="001F1F50">
        <w:rPr>
          <w:rFonts w:ascii="Arial" w:eastAsia="Times New Roman" w:hAnsi="Arial" w:cs="Arial"/>
          <w:bdr w:val="none" w:sz="0" w:space="0" w:color="auto" w:frame="1"/>
          <w:lang w:eastAsia="es-CO"/>
        </w:rPr>
        <w:t xml:space="preserve">l contrato de seguro contempla protección específicamente para el amparo de </w:t>
      </w:r>
      <w:r w:rsidR="001F1F50" w:rsidRPr="001F1F50">
        <w:rPr>
          <w:rFonts w:ascii="Arial" w:eastAsia="Times New Roman" w:hAnsi="Arial" w:cs="Arial"/>
          <w:b/>
          <w:bCs/>
          <w:bdr w:val="none" w:sz="0" w:space="0" w:color="auto" w:frame="1"/>
          <w:lang w:eastAsia="es-CO"/>
        </w:rPr>
        <w:t>cumplimiento</w:t>
      </w:r>
      <w:r w:rsidR="001F1F50" w:rsidRPr="001F1F50">
        <w:rPr>
          <w:rFonts w:ascii="Arial" w:eastAsia="Times New Roman" w:hAnsi="Arial" w:cs="Arial"/>
          <w:bdr w:val="none" w:sz="0" w:space="0" w:color="auto" w:frame="1"/>
          <w:lang w:eastAsia="es-CO"/>
        </w:rPr>
        <w:t xml:space="preserve"> relacionado con el Contrato No. FP-262-2019</w:t>
      </w:r>
      <w:r w:rsidR="001F1F50">
        <w:rPr>
          <w:rFonts w:ascii="Arial" w:eastAsia="Times New Roman" w:hAnsi="Arial" w:cs="Arial"/>
          <w:bdr w:val="none" w:sz="0" w:space="0" w:color="auto" w:frame="1"/>
          <w:lang w:eastAsia="es-CO"/>
        </w:rPr>
        <w:t xml:space="preserve">. </w:t>
      </w:r>
    </w:p>
    <w:p w14:paraId="37CC97B7" w14:textId="77777777" w:rsidR="007B780C" w:rsidRDefault="007B780C" w:rsidP="00A255B1">
      <w:pPr>
        <w:spacing w:after="0" w:line="312" w:lineRule="auto"/>
        <w:jc w:val="both"/>
        <w:rPr>
          <w:rFonts w:ascii="Arial" w:eastAsia="Times New Roman" w:hAnsi="Arial" w:cs="Arial"/>
          <w:bdr w:val="none" w:sz="0" w:space="0" w:color="auto" w:frame="1"/>
          <w:lang w:eastAsia="es-CO"/>
        </w:rPr>
      </w:pPr>
    </w:p>
    <w:p w14:paraId="6A8B3460" w14:textId="65AEFC8C" w:rsidR="00ED450F" w:rsidRPr="00397418" w:rsidRDefault="00A255B1" w:rsidP="00D13F11">
      <w:pPr>
        <w:spacing w:after="0" w:line="312" w:lineRule="auto"/>
        <w:jc w:val="both"/>
        <w:rPr>
          <w:rFonts w:ascii="Arial" w:hAnsi="Arial" w:cs="Arial"/>
          <w:spacing w:val="2"/>
          <w:shd w:val="clear" w:color="auto" w:fill="FFFFFF"/>
        </w:rPr>
      </w:pPr>
      <w:r w:rsidRPr="00A255B1">
        <w:rPr>
          <w:rFonts w:ascii="Arial" w:eastAsia="Times New Roman" w:hAnsi="Arial" w:cs="Arial"/>
          <w:bdr w:val="none" w:sz="0" w:space="0" w:color="auto" w:frame="1"/>
          <w:lang w:eastAsia="es-CO"/>
        </w:rPr>
        <w:t xml:space="preserve">En relación la responsabilidad </w:t>
      </w:r>
      <w:r w:rsidR="00397418">
        <w:rPr>
          <w:rFonts w:ascii="Arial" w:eastAsia="Times New Roman" w:hAnsi="Arial" w:cs="Arial"/>
          <w:bdr w:val="none" w:sz="0" w:space="0" w:color="auto" w:frame="1"/>
          <w:lang w:eastAsia="es-CO"/>
        </w:rPr>
        <w:t xml:space="preserve">de </w:t>
      </w:r>
      <w:r w:rsidR="00397418" w:rsidRPr="00074646">
        <w:rPr>
          <w:rFonts w:ascii="Arial" w:hAnsi="Arial" w:cs="Arial"/>
          <w:spacing w:val="2"/>
          <w:shd w:val="clear" w:color="auto" w:fill="FFFFFF"/>
        </w:rPr>
        <w:t xml:space="preserve">INSTRUMENTO GRUPO OBRA CONSULTOR COLOMBIA S.A.S., </w:t>
      </w:r>
      <w:r w:rsidR="00397418" w:rsidRPr="00397418">
        <w:rPr>
          <w:rFonts w:ascii="Arial" w:hAnsi="Arial" w:cs="Arial"/>
          <w:spacing w:val="2"/>
          <w:shd w:val="clear" w:color="auto" w:fill="FFFFFF"/>
        </w:rPr>
        <w:t>est</w:t>
      </w:r>
      <w:r w:rsidR="00397418">
        <w:rPr>
          <w:rFonts w:ascii="Arial" w:hAnsi="Arial" w:cs="Arial"/>
          <w:spacing w:val="2"/>
          <w:shd w:val="clear" w:color="auto" w:fill="FFFFFF"/>
        </w:rPr>
        <w:t xml:space="preserve">a se encuentra </w:t>
      </w:r>
      <w:r w:rsidR="00397418" w:rsidRPr="00397418">
        <w:rPr>
          <w:rFonts w:ascii="Arial" w:hAnsi="Arial" w:cs="Arial"/>
          <w:spacing w:val="2"/>
          <w:shd w:val="clear" w:color="auto" w:fill="FFFFFF"/>
        </w:rPr>
        <w:t xml:space="preserve">comprometida, dado que no cumplió con la entrega de los productos en la fecha límite establecida, el 30 de marzo de 2020, plazo otorgado para que el consultor </w:t>
      </w:r>
      <w:r w:rsidR="00397418" w:rsidRPr="00397418">
        <w:rPr>
          <w:rFonts w:ascii="Arial" w:hAnsi="Arial" w:cs="Arial"/>
          <w:spacing w:val="2"/>
          <w:shd w:val="clear" w:color="auto" w:fill="FFFFFF"/>
        </w:rPr>
        <w:lastRenderedPageBreak/>
        <w:t>presentara el producto final con todas las observaciones y recomendaciones realizadas por la interventoría.</w:t>
      </w:r>
      <w:r w:rsidR="00397418">
        <w:rPr>
          <w:rFonts w:ascii="Arial" w:hAnsi="Arial" w:cs="Arial"/>
          <w:spacing w:val="2"/>
          <w:shd w:val="clear" w:color="auto" w:fill="FFFFFF"/>
        </w:rPr>
        <w:t xml:space="preserve"> </w:t>
      </w:r>
      <w:r w:rsidR="00DE7D90">
        <w:rPr>
          <w:rFonts w:ascii="Arial" w:hAnsi="Arial" w:cs="Arial"/>
          <w:spacing w:val="2"/>
          <w:shd w:val="clear" w:color="auto" w:fill="FFFFFF"/>
        </w:rPr>
        <w:t>Dentro d</w:t>
      </w:r>
      <w:r w:rsidR="00397418">
        <w:rPr>
          <w:rFonts w:ascii="Arial" w:hAnsi="Arial" w:cs="Arial"/>
          <w:spacing w:val="2"/>
          <w:shd w:val="clear" w:color="auto" w:fill="FFFFFF"/>
        </w:rPr>
        <w:t>e</w:t>
      </w:r>
      <w:r w:rsidR="00DE7D90">
        <w:rPr>
          <w:rFonts w:ascii="Arial" w:hAnsi="Arial" w:cs="Arial"/>
          <w:spacing w:val="2"/>
          <w:shd w:val="clear" w:color="auto" w:fill="FFFFFF"/>
        </w:rPr>
        <w:t>l proceso se pudo identificar</w:t>
      </w:r>
      <w:r w:rsidR="00397418">
        <w:rPr>
          <w:rFonts w:ascii="Arial" w:hAnsi="Arial" w:cs="Arial"/>
          <w:spacing w:val="2"/>
          <w:shd w:val="clear" w:color="auto" w:fill="FFFFFF"/>
        </w:rPr>
        <w:t xml:space="preserve"> incumplimientos relacionados a la falta de </w:t>
      </w:r>
      <w:r w:rsidR="00397418" w:rsidRPr="00847C1B">
        <w:rPr>
          <w:rFonts w:ascii="Arial" w:hAnsi="Arial" w:cs="Arial"/>
          <w:spacing w:val="2"/>
          <w:shd w:val="clear" w:color="auto" w:fill="FFFFFF"/>
        </w:rPr>
        <w:t>aprobación</w:t>
      </w:r>
      <w:r w:rsidR="00DE7D90" w:rsidRPr="00847C1B">
        <w:rPr>
          <w:rFonts w:ascii="Arial" w:hAnsi="Arial" w:cs="Arial"/>
          <w:spacing w:val="2"/>
          <w:shd w:val="clear" w:color="auto" w:fill="FFFFFF"/>
        </w:rPr>
        <w:t xml:space="preserve"> </w:t>
      </w:r>
      <w:r w:rsidR="00397418" w:rsidRPr="00397418">
        <w:rPr>
          <w:rFonts w:ascii="Arial" w:hAnsi="Arial" w:cs="Arial"/>
          <w:spacing w:val="2"/>
          <w:shd w:val="clear" w:color="auto" w:fill="FFFFFF"/>
        </w:rPr>
        <w:t xml:space="preserve">de los productos entregados por la consultoría, </w:t>
      </w:r>
      <w:r w:rsidR="00397418" w:rsidRPr="00847C1B">
        <w:rPr>
          <w:rFonts w:ascii="Arial" w:hAnsi="Arial" w:cs="Arial"/>
          <w:spacing w:val="2"/>
          <w:shd w:val="clear" w:color="auto" w:fill="FFFFFF"/>
        </w:rPr>
        <w:t xml:space="preserve">debido a que </w:t>
      </w:r>
      <w:r w:rsidR="00397418" w:rsidRPr="00397418">
        <w:rPr>
          <w:rFonts w:ascii="Arial" w:hAnsi="Arial" w:cs="Arial"/>
          <w:spacing w:val="2"/>
          <w:shd w:val="clear" w:color="auto" w:fill="FFFFFF"/>
        </w:rPr>
        <w:t>no cumplieron con los requisitos técnicos especificados</w:t>
      </w:r>
      <w:r w:rsidR="00397418" w:rsidRPr="00847C1B">
        <w:rPr>
          <w:rFonts w:ascii="Arial" w:hAnsi="Arial" w:cs="Arial"/>
          <w:spacing w:val="2"/>
          <w:shd w:val="clear" w:color="auto" w:fill="FFFFFF"/>
        </w:rPr>
        <w:t>, además se evidenciaron o</w:t>
      </w:r>
      <w:r w:rsidR="00397418" w:rsidRPr="00397418">
        <w:rPr>
          <w:rFonts w:ascii="Arial" w:hAnsi="Arial" w:cs="Arial"/>
          <w:spacing w:val="2"/>
          <w:shd w:val="clear" w:color="auto" w:fill="FFFFFF"/>
        </w:rPr>
        <w:t>bservaciones realizadas por la interventoría</w:t>
      </w:r>
      <w:r w:rsidR="00397418" w:rsidRPr="00847C1B">
        <w:rPr>
          <w:rFonts w:ascii="Arial" w:hAnsi="Arial" w:cs="Arial"/>
          <w:spacing w:val="2"/>
          <w:shd w:val="clear" w:color="auto" w:fill="FFFFFF"/>
        </w:rPr>
        <w:t xml:space="preserve"> en la que se incluyen</w:t>
      </w:r>
      <w:r w:rsidR="00397418" w:rsidRPr="00397418">
        <w:rPr>
          <w:rFonts w:ascii="Arial" w:hAnsi="Arial" w:cs="Arial"/>
          <w:spacing w:val="2"/>
          <w:shd w:val="clear" w:color="auto" w:fill="FFFFFF"/>
        </w:rPr>
        <w:t xml:space="preserve"> el incumplimiento en múltiples productos y componentes del proyecto, tales como levantamiento topográfico, estudio de suelos, diseño arquitectónico, diseño estructural, diseño hidrosanitario, diseño eléctrico, presupuesto, plan de manejo ambiental, plan de gestión social, entre otros</w:t>
      </w:r>
      <w:r w:rsidR="00397418" w:rsidRPr="00847C1B">
        <w:rPr>
          <w:rFonts w:ascii="Arial" w:hAnsi="Arial" w:cs="Arial"/>
          <w:spacing w:val="2"/>
          <w:shd w:val="clear" w:color="auto" w:fill="FFFFFF"/>
        </w:rPr>
        <w:t>, además, no se</w:t>
      </w:r>
      <w:r w:rsidR="00DE7D90" w:rsidRPr="00847C1B">
        <w:rPr>
          <w:rFonts w:ascii="Arial" w:hAnsi="Arial" w:cs="Arial"/>
          <w:spacing w:val="2"/>
          <w:shd w:val="clear" w:color="auto" w:fill="FFFFFF"/>
        </w:rPr>
        <w:t xml:space="preserve"> obra en el expediente entrega por</w:t>
      </w:r>
      <w:r w:rsidR="00687B25">
        <w:rPr>
          <w:rFonts w:ascii="Arial" w:hAnsi="Arial" w:cs="Arial"/>
          <w:spacing w:val="2"/>
          <w:shd w:val="clear" w:color="auto" w:fill="FFFFFF"/>
        </w:rPr>
        <w:t xml:space="preserve"> </w:t>
      </w:r>
      <w:r w:rsidR="00DE7D90" w:rsidRPr="00847C1B">
        <w:rPr>
          <w:rFonts w:ascii="Arial" w:hAnsi="Arial" w:cs="Arial"/>
          <w:spacing w:val="2"/>
          <w:shd w:val="clear" w:color="auto" w:fill="FFFFFF"/>
        </w:rPr>
        <w:t>parte del contratista de</w:t>
      </w:r>
      <w:r w:rsidR="00397418" w:rsidRPr="00847C1B">
        <w:rPr>
          <w:rFonts w:ascii="Arial" w:hAnsi="Arial" w:cs="Arial"/>
          <w:spacing w:val="2"/>
          <w:shd w:val="clear" w:color="auto" w:fill="FFFFFF"/>
        </w:rPr>
        <w:t xml:space="preserve"> los productos  </w:t>
      </w:r>
      <w:r w:rsidR="00397418" w:rsidRPr="00397418">
        <w:rPr>
          <w:rFonts w:ascii="Arial" w:hAnsi="Arial" w:cs="Arial"/>
          <w:spacing w:val="2"/>
          <w:shd w:val="clear" w:color="auto" w:fill="FFFFFF"/>
        </w:rPr>
        <w:t>corregidos en las fechas indicadas, a pesar de haber solicitado prórrogas</w:t>
      </w:r>
      <w:r w:rsidR="00397418" w:rsidRPr="00847C1B">
        <w:rPr>
          <w:rFonts w:ascii="Arial" w:hAnsi="Arial" w:cs="Arial"/>
          <w:spacing w:val="2"/>
          <w:shd w:val="clear" w:color="auto" w:fill="FFFFFF"/>
        </w:rPr>
        <w:t>,</w:t>
      </w:r>
      <w:r w:rsidR="00DE7D90" w:rsidRPr="00847C1B">
        <w:rPr>
          <w:rFonts w:ascii="Arial" w:hAnsi="Arial" w:cs="Arial"/>
          <w:spacing w:val="2"/>
          <w:shd w:val="clear" w:color="auto" w:fill="FFFFFF"/>
        </w:rPr>
        <w:t xml:space="preserve"> por último, no se acreditó en el expediente que el contratista cumplió en relación con la observación relacionada a la</w:t>
      </w:r>
      <w:r w:rsidR="00397418" w:rsidRPr="00847C1B">
        <w:rPr>
          <w:rFonts w:ascii="Arial" w:hAnsi="Arial" w:cs="Arial"/>
          <w:spacing w:val="2"/>
          <w:shd w:val="clear" w:color="auto" w:fill="FFFFFF"/>
        </w:rPr>
        <w:t xml:space="preserve"> </w:t>
      </w:r>
      <w:r w:rsidR="00397418" w:rsidRPr="00397418">
        <w:rPr>
          <w:rFonts w:ascii="Arial" w:hAnsi="Arial" w:cs="Arial"/>
          <w:spacing w:val="2"/>
          <w:shd w:val="clear" w:color="auto" w:fill="FFFFFF"/>
        </w:rPr>
        <w:t>Falta de cumplimiento en el equipo de trabajo, al no presentar hojas de vida actualizadas y conformes a los perfiles requeridos</w:t>
      </w:r>
      <w:r w:rsidR="00687B25">
        <w:rPr>
          <w:rFonts w:ascii="Arial" w:hAnsi="Arial" w:cs="Arial"/>
          <w:spacing w:val="2"/>
          <w:shd w:val="clear" w:color="auto" w:fill="FFFFFF"/>
        </w:rPr>
        <w:t xml:space="preserve">, si bien, el </w:t>
      </w:r>
      <w:r w:rsidR="00D13F11">
        <w:rPr>
          <w:rFonts w:ascii="Arial" w:hAnsi="Arial" w:cs="Arial"/>
          <w:spacing w:val="2"/>
          <w:shd w:val="clear" w:color="auto" w:fill="FFFFFF"/>
        </w:rPr>
        <w:t xml:space="preserve">contratista afirma haber radicado de forma virtual el </w:t>
      </w:r>
      <w:r w:rsidR="00D13F11" w:rsidRPr="00D13F11">
        <w:rPr>
          <w:rFonts w:ascii="Arial" w:hAnsi="Arial" w:cs="Arial"/>
          <w:spacing w:val="2"/>
          <w:shd w:val="clear" w:color="auto" w:fill="FFFFFF"/>
        </w:rPr>
        <w:t xml:space="preserve"> 7 de julio de</w:t>
      </w:r>
      <w:r w:rsidR="00D13F11">
        <w:rPr>
          <w:rFonts w:ascii="Arial" w:hAnsi="Arial" w:cs="Arial"/>
          <w:spacing w:val="2"/>
          <w:shd w:val="clear" w:color="auto" w:fill="FFFFFF"/>
        </w:rPr>
        <w:t xml:space="preserve"> </w:t>
      </w:r>
      <w:r w:rsidR="00D13F11" w:rsidRPr="00D13F11">
        <w:rPr>
          <w:rFonts w:ascii="Arial" w:hAnsi="Arial" w:cs="Arial"/>
          <w:spacing w:val="2"/>
          <w:shd w:val="clear" w:color="auto" w:fill="FFFFFF"/>
        </w:rPr>
        <w:t>2020</w:t>
      </w:r>
      <w:r w:rsidR="00D13F11">
        <w:rPr>
          <w:rFonts w:ascii="Arial" w:hAnsi="Arial" w:cs="Arial"/>
          <w:spacing w:val="2"/>
          <w:shd w:val="clear" w:color="auto" w:fill="FFFFFF"/>
        </w:rPr>
        <w:t xml:space="preserve"> la totalidad de los productos pactados, no es posible determinar el cumplimento total de los pactado con sus especificaciones técnicas, y que en todo caso no se hizo dentro del periodo contractual. </w:t>
      </w:r>
      <w:r w:rsidR="00ED450F">
        <w:rPr>
          <w:rFonts w:ascii="Arial" w:hAnsi="Arial" w:cs="Arial"/>
          <w:spacing w:val="2"/>
          <w:shd w:val="clear" w:color="auto" w:fill="FFFFFF"/>
        </w:rPr>
        <w:t xml:space="preserve">Por lo anterior, es altamente probable que se emita una sentencia condenatoria porque del material probatorio que obra en el plenario hasta este momento se acredita el incumplimiento del contratista. </w:t>
      </w:r>
    </w:p>
    <w:p w14:paraId="2805A477" w14:textId="37C76EEF" w:rsidR="00397418" w:rsidRDefault="00397418" w:rsidP="00A255B1">
      <w:pPr>
        <w:spacing w:after="0" w:line="312" w:lineRule="auto"/>
        <w:jc w:val="both"/>
        <w:rPr>
          <w:rFonts w:ascii="Arial" w:hAnsi="Arial" w:cs="Arial"/>
          <w:spacing w:val="2"/>
          <w:shd w:val="clear" w:color="auto" w:fill="FFFFFF"/>
        </w:rPr>
      </w:pPr>
    </w:p>
    <w:p w14:paraId="4DFB4CA5" w14:textId="55A4E048" w:rsidR="00A852C4" w:rsidRDefault="00A852C4" w:rsidP="00A255B1">
      <w:pPr>
        <w:spacing w:after="0" w:line="312" w:lineRule="auto"/>
        <w:jc w:val="both"/>
        <w:rPr>
          <w:rFonts w:ascii="Arial" w:eastAsia="Times New Roman" w:hAnsi="Arial" w:cs="Arial"/>
          <w:bdr w:val="none" w:sz="0" w:space="0" w:color="auto" w:frame="1"/>
          <w:lang w:eastAsia="es-CO"/>
        </w:rPr>
      </w:pPr>
    </w:p>
    <w:p w14:paraId="75D0709D" w14:textId="77777777" w:rsidR="001F5E8F" w:rsidRPr="009A3CB8" w:rsidRDefault="001F5E8F" w:rsidP="0007701A">
      <w:pPr>
        <w:pStyle w:val="Prrafodelista"/>
        <w:numPr>
          <w:ilvl w:val="0"/>
          <w:numId w:val="5"/>
        </w:numPr>
        <w:spacing w:after="0" w:line="312" w:lineRule="auto"/>
        <w:ind w:left="284"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17936F2B" w14:textId="732E6CF1" w:rsidR="00DE7D90" w:rsidRDefault="00006FF3" w:rsidP="00DE7D90">
      <w:pPr>
        <w:spacing w:after="0" w:line="300" w:lineRule="atLeast"/>
        <w:jc w:val="both"/>
        <w:rPr>
          <w:rFonts w:ascii="Arial" w:eastAsia="Times New Roman" w:hAnsi="Arial" w:cs="Arial"/>
          <w:spacing w:val="2"/>
          <w:lang w:eastAsia="es-CO"/>
        </w:rPr>
      </w:pPr>
      <w:r w:rsidRPr="00006FF3">
        <w:rPr>
          <w:rFonts w:ascii="Open Sans" w:eastAsia="Times New Roman" w:hAnsi="Open Sans" w:cs="Open Sans"/>
          <w:color w:val="5A6573"/>
          <w:spacing w:val="2"/>
          <w:sz w:val="18"/>
          <w:szCs w:val="18"/>
          <w:lang w:eastAsia="es-CO"/>
        </w:rPr>
        <w:br/>
      </w:r>
      <w:r w:rsidRPr="00006FF3">
        <w:rPr>
          <w:rFonts w:ascii="Arial" w:eastAsia="Times New Roman" w:hAnsi="Arial" w:cs="Arial"/>
          <w:spacing w:val="2"/>
          <w:lang w:eastAsia="es-CO"/>
        </w:rPr>
        <w:t xml:space="preserve">En caso de que la demanda promovida por </w:t>
      </w:r>
      <w:r w:rsidR="00DE7D90">
        <w:rPr>
          <w:rFonts w:ascii="Arial" w:eastAsia="Times New Roman" w:hAnsi="Arial" w:cs="Arial"/>
          <w:spacing w:val="2"/>
          <w:lang w:eastAsia="es-CO"/>
        </w:rPr>
        <w:t>el extremo demandante pro</w:t>
      </w:r>
      <w:r w:rsidRPr="00006FF3">
        <w:rPr>
          <w:rFonts w:ascii="Arial" w:eastAsia="Times New Roman" w:hAnsi="Arial" w:cs="Arial"/>
          <w:spacing w:val="2"/>
          <w:lang w:eastAsia="es-CO"/>
        </w:rPr>
        <w:t xml:space="preserve">spere, la ASEGURADORA SOLIDARIA DE COLOMBIA deberá pagar la suma </w:t>
      </w:r>
      <w:r w:rsidR="00DE7D90" w:rsidRPr="00006FF3">
        <w:rPr>
          <w:rFonts w:ascii="Arial" w:eastAsia="Times New Roman" w:hAnsi="Arial" w:cs="Arial"/>
          <w:spacing w:val="2"/>
          <w:lang w:eastAsia="es-CO"/>
        </w:rPr>
        <w:t>de</w:t>
      </w:r>
      <w:r w:rsidR="00DE7D90">
        <w:rPr>
          <w:rFonts w:ascii="Arial" w:eastAsia="Times New Roman" w:hAnsi="Arial" w:cs="Arial"/>
          <w:spacing w:val="2"/>
          <w:lang w:eastAsia="es-CO"/>
        </w:rPr>
        <w:t xml:space="preserve"> TRECE MILLONES NOVECIENTOS SETENTA Y CUATRO MIL CUATROCIENTOS PESOS</w:t>
      </w:r>
      <w:r w:rsidR="00DE7D90" w:rsidRPr="00006FF3">
        <w:rPr>
          <w:rFonts w:ascii="Arial" w:eastAsia="Times New Roman" w:hAnsi="Arial" w:cs="Arial"/>
          <w:spacing w:val="2"/>
          <w:lang w:eastAsia="es-CO"/>
        </w:rPr>
        <w:t xml:space="preserve"> </w:t>
      </w:r>
      <w:r w:rsidRPr="00006FF3">
        <w:rPr>
          <w:rFonts w:ascii="Arial" w:eastAsia="Times New Roman" w:hAnsi="Arial" w:cs="Arial"/>
          <w:spacing w:val="2"/>
          <w:lang w:eastAsia="es-CO"/>
        </w:rPr>
        <w:t>MCTE (</w:t>
      </w:r>
      <w:r w:rsidR="00054C07">
        <w:rPr>
          <w:rFonts w:ascii="Arial" w:eastAsia="Times New Roman" w:hAnsi="Arial" w:cs="Arial"/>
          <w:spacing w:val="2"/>
          <w:lang w:eastAsia="es-CO"/>
        </w:rPr>
        <w:t>$</w:t>
      </w:r>
      <w:r w:rsidR="00DE7D90">
        <w:rPr>
          <w:rFonts w:ascii="Arial" w:eastAsia="Times New Roman" w:hAnsi="Arial" w:cs="Arial"/>
          <w:spacing w:val="2"/>
          <w:lang w:eastAsia="es-CO"/>
        </w:rPr>
        <w:t>13.974.400</w:t>
      </w:r>
      <w:r w:rsidRPr="00006FF3">
        <w:rPr>
          <w:rFonts w:ascii="Arial" w:eastAsia="Times New Roman" w:hAnsi="Arial" w:cs="Arial"/>
          <w:spacing w:val="2"/>
          <w:lang w:eastAsia="es-CO"/>
        </w:rPr>
        <w:t>)</w:t>
      </w:r>
      <w:r w:rsidR="00DE7D90">
        <w:rPr>
          <w:rFonts w:ascii="Arial" w:eastAsia="Times New Roman" w:hAnsi="Arial" w:cs="Arial"/>
          <w:spacing w:val="2"/>
          <w:lang w:eastAsia="es-CO"/>
        </w:rPr>
        <w:t>, como quiera que e</w:t>
      </w:r>
      <w:r w:rsidR="00DE7D90" w:rsidRPr="00DE7D90">
        <w:rPr>
          <w:rFonts w:ascii="Arial" w:eastAsia="Times New Roman" w:hAnsi="Arial" w:cs="Arial"/>
          <w:spacing w:val="2"/>
          <w:lang w:eastAsia="es-CO"/>
        </w:rPr>
        <w:t>l amparo de cumplimiento para el caso que nos ocupa tiene un tope</w:t>
      </w:r>
      <w:r w:rsidR="00DE7D90">
        <w:rPr>
          <w:rFonts w:ascii="Arial" w:eastAsia="Times New Roman" w:hAnsi="Arial" w:cs="Arial"/>
          <w:spacing w:val="2"/>
          <w:lang w:eastAsia="es-CO"/>
        </w:rPr>
        <w:t xml:space="preserve"> </w:t>
      </w:r>
      <w:r w:rsidR="00DE7D90" w:rsidRPr="00DE7D90">
        <w:rPr>
          <w:rFonts w:ascii="Arial" w:eastAsia="Times New Roman" w:hAnsi="Arial" w:cs="Arial"/>
          <w:spacing w:val="2"/>
          <w:lang w:eastAsia="es-CO"/>
        </w:rPr>
        <w:t>máximo de $13.974.400, por evento y vigencia.</w:t>
      </w:r>
    </w:p>
    <w:p w14:paraId="2FE5C03E" w14:textId="77777777" w:rsidR="00ED450F" w:rsidRDefault="00ED450F" w:rsidP="00DE7D90">
      <w:pPr>
        <w:spacing w:after="0" w:line="300" w:lineRule="atLeast"/>
        <w:jc w:val="both"/>
        <w:rPr>
          <w:rFonts w:ascii="Arial" w:eastAsia="Times New Roman" w:hAnsi="Arial" w:cs="Arial"/>
          <w:spacing w:val="2"/>
          <w:lang w:eastAsia="es-CO"/>
        </w:rPr>
      </w:pPr>
    </w:p>
    <w:p w14:paraId="12758768" w14:textId="464B2453" w:rsidR="00067931" w:rsidRDefault="00ED450F" w:rsidP="00ED450F">
      <w:pPr>
        <w:spacing w:after="0" w:line="300" w:lineRule="atLeast"/>
        <w:jc w:val="both"/>
        <w:rPr>
          <w:rFonts w:ascii="Arial" w:eastAsia="Times New Roman" w:hAnsi="Arial" w:cs="Arial"/>
          <w:spacing w:val="2"/>
          <w:lang w:eastAsia="es-CO"/>
        </w:rPr>
      </w:pPr>
      <w:r>
        <w:rPr>
          <w:rFonts w:ascii="Arial" w:eastAsia="Times New Roman" w:hAnsi="Arial" w:cs="Arial"/>
          <w:spacing w:val="2"/>
          <w:lang w:eastAsia="es-CO"/>
        </w:rPr>
        <w:t>Cabe mencionar, que el demandante formuló como pretensión el 60% del valor del contrato,</w:t>
      </w:r>
      <w:r w:rsidR="00DB440C">
        <w:rPr>
          <w:rFonts w:ascii="Arial" w:eastAsia="Times New Roman" w:hAnsi="Arial" w:cs="Arial"/>
          <w:spacing w:val="2"/>
          <w:lang w:eastAsia="es-CO"/>
        </w:rPr>
        <w:t xml:space="preserve"> sin </w:t>
      </w:r>
      <w:r w:rsidR="00317E5F">
        <w:rPr>
          <w:rFonts w:ascii="Arial" w:eastAsia="Times New Roman" w:hAnsi="Arial" w:cs="Arial"/>
          <w:spacing w:val="2"/>
          <w:lang w:eastAsia="es-CO"/>
        </w:rPr>
        <w:t>embargo,</w:t>
      </w:r>
      <w:r w:rsidR="00DB440C">
        <w:rPr>
          <w:rFonts w:ascii="Arial" w:eastAsia="Times New Roman" w:hAnsi="Arial" w:cs="Arial"/>
          <w:spacing w:val="2"/>
          <w:lang w:eastAsia="es-CO"/>
        </w:rPr>
        <w:t xml:space="preserve"> este nunca fue cancelado al contratista por lo que no se afectó el patrimonio de la Administración</w:t>
      </w:r>
      <w:r w:rsidR="00067931">
        <w:rPr>
          <w:rFonts w:ascii="Arial" w:eastAsia="Times New Roman" w:hAnsi="Arial" w:cs="Arial"/>
          <w:spacing w:val="2"/>
          <w:lang w:eastAsia="es-CO"/>
        </w:rPr>
        <w:t xml:space="preserve">. </w:t>
      </w:r>
      <w:r w:rsidR="00067931">
        <w:rPr>
          <w:rFonts w:ascii="Arial" w:hAnsi="Arial" w:cs="Arial"/>
          <w:spacing w:val="2"/>
          <w:shd w:val="clear" w:color="auto" w:fill="FFFFFF"/>
        </w:rPr>
        <w:t xml:space="preserve">En ese orden, dentro de sub judice lo que podría proceder en el evento en que se declare el incumplimiento del contrato, es la afectación de la cláusula penal pactada dentro del </w:t>
      </w:r>
      <w:r w:rsidR="00067931" w:rsidRPr="00E50EAF">
        <w:rPr>
          <w:rFonts w:ascii="Arial" w:hAnsi="Arial" w:cs="Arial"/>
        </w:rPr>
        <w:t xml:space="preserve">Contrato de Consultoría FP-262 de 2019 </w:t>
      </w:r>
      <w:r w:rsidR="00067931">
        <w:rPr>
          <w:rFonts w:ascii="Arial" w:hAnsi="Arial" w:cs="Arial"/>
        </w:rPr>
        <w:t>del 20% del valor total del contrato, equivalente a $</w:t>
      </w:r>
      <w:r w:rsidR="00067931">
        <w:rPr>
          <w:rFonts w:ascii="Arial" w:eastAsia="Times New Roman" w:hAnsi="Arial" w:cs="Arial"/>
          <w:spacing w:val="2"/>
          <w:lang w:eastAsia="es-CO"/>
        </w:rPr>
        <w:t xml:space="preserve">13.974.400, Por lo que no se recomienda conciliar toda vez que </w:t>
      </w:r>
      <w:r w:rsidR="00317E5F">
        <w:rPr>
          <w:rFonts w:ascii="Arial" w:eastAsia="Times New Roman" w:hAnsi="Arial" w:cs="Arial"/>
          <w:spacing w:val="2"/>
          <w:lang w:eastAsia="es-CO"/>
        </w:rPr>
        <w:t xml:space="preserve">las pretensiones no se encuentran debidamente formuladas y dependerá del despacho si las niega por improcedentes o en su defecto las modula e indica que procede por vía de clausula penal. </w:t>
      </w:r>
    </w:p>
    <w:p w14:paraId="128A2BF8" w14:textId="69F9C46D" w:rsidR="00EA6851" w:rsidRPr="00006FF3" w:rsidRDefault="00EA6851" w:rsidP="00317E5F">
      <w:pPr>
        <w:spacing w:after="0" w:line="300" w:lineRule="atLeast"/>
        <w:jc w:val="both"/>
        <w:rPr>
          <w:rFonts w:ascii="Arial" w:hAnsi="Arial" w:cs="Arial"/>
          <w:b/>
          <w:bCs/>
        </w:rPr>
      </w:pPr>
      <w:r>
        <w:rPr>
          <w:rFonts w:ascii="Arial" w:eastAsia="Times New Roman" w:hAnsi="Arial" w:cs="Arial"/>
          <w:spacing w:val="2"/>
          <w:lang w:eastAsia="es-CO"/>
        </w:rPr>
        <w:t xml:space="preserve"> </w:t>
      </w:r>
    </w:p>
    <w:sectPr w:rsidR="00EA6851" w:rsidRPr="00006FF3"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9D95" w14:textId="77777777" w:rsidR="00F445C1" w:rsidRDefault="00F445C1" w:rsidP="0025591F">
      <w:r>
        <w:separator/>
      </w:r>
    </w:p>
  </w:endnote>
  <w:endnote w:type="continuationSeparator" w:id="0">
    <w:p w14:paraId="70183C7B" w14:textId="77777777" w:rsidR="00F445C1" w:rsidRDefault="00F445C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7A91B930" w:rsidR="00416F84" w:rsidRPr="0032364E" w:rsidRDefault="00847C1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" filled="f" stroked="f" strokeweight="1pt">
              <v:textbox>
                <w:txbxContent>
                  <w:p w14:paraId="627FDD4D" w14:textId="7A91B930" w:rsidR="00416F84" w:rsidRPr="0032364E" w:rsidRDefault="00847C1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E697F" w14:textId="77777777" w:rsidR="00F445C1" w:rsidRDefault="00F445C1" w:rsidP="0025591F">
      <w:r>
        <w:separator/>
      </w:r>
    </w:p>
  </w:footnote>
  <w:footnote w:type="continuationSeparator" w:id="0">
    <w:p w14:paraId="715DEB92" w14:textId="77777777" w:rsidR="00F445C1" w:rsidRDefault="00F445C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393455"/>
    <w:multiLevelType w:val="hybridMultilevel"/>
    <w:tmpl w:val="87C62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6479EC"/>
    <w:multiLevelType w:val="hybridMultilevel"/>
    <w:tmpl w:val="DB86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BD09C2"/>
    <w:multiLevelType w:val="multilevel"/>
    <w:tmpl w:val="375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753DF"/>
    <w:multiLevelType w:val="multilevel"/>
    <w:tmpl w:val="AD8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BB0BFA"/>
    <w:multiLevelType w:val="hybridMultilevel"/>
    <w:tmpl w:val="4F06249A"/>
    <w:lvl w:ilvl="0" w:tplc="7F206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5735DA"/>
    <w:multiLevelType w:val="multilevel"/>
    <w:tmpl w:val="67E4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229919">
    <w:abstractNumId w:val="4"/>
  </w:num>
  <w:num w:numId="2" w16cid:durableId="1369451507">
    <w:abstractNumId w:val="27"/>
  </w:num>
  <w:num w:numId="3" w16cid:durableId="1412392136">
    <w:abstractNumId w:val="15"/>
  </w:num>
  <w:num w:numId="4" w16cid:durableId="1468737793">
    <w:abstractNumId w:val="6"/>
  </w:num>
  <w:num w:numId="5" w16cid:durableId="2032486527">
    <w:abstractNumId w:val="12"/>
  </w:num>
  <w:num w:numId="6" w16cid:durableId="444152281">
    <w:abstractNumId w:val="11"/>
  </w:num>
  <w:num w:numId="7" w16cid:durableId="987783139">
    <w:abstractNumId w:val="10"/>
  </w:num>
  <w:num w:numId="8" w16cid:durableId="300699395">
    <w:abstractNumId w:val="7"/>
  </w:num>
  <w:num w:numId="9" w16cid:durableId="155537631">
    <w:abstractNumId w:val="28"/>
  </w:num>
  <w:num w:numId="10" w16cid:durableId="1812743485">
    <w:abstractNumId w:val="23"/>
  </w:num>
  <w:num w:numId="11" w16cid:durableId="1016543532">
    <w:abstractNumId w:val="25"/>
  </w:num>
  <w:num w:numId="12" w16cid:durableId="401412960">
    <w:abstractNumId w:val="2"/>
  </w:num>
  <w:num w:numId="13" w16cid:durableId="1960212707">
    <w:abstractNumId w:val="1"/>
  </w:num>
  <w:num w:numId="14" w16cid:durableId="2019892373">
    <w:abstractNumId w:val="5"/>
  </w:num>
  <w:num w:numId="15" w16cid:durableId="1420249371">
    <w:abstractNumId w:val="14"/>
  </w:num>
  <w:num w:numId="16" w16cid:durableId="774864844">
    <w:abstractNumId w:val="13"/>
  </w:num>
  <w:num w:numId="17" w16cid:durableId="797380313">
    <w:abstractNumId w:val="8"/>
  </w:num>
  <w:num w:numId="18" w16cid:durableId="1968273128">
    <w:abstractNumId w:val="0"/>
  </w:num>
  <w:num w:numId="19" w16cid:durableId="591668195">
    <w:abstractNumId w:val="17"/>
  </w:num>
  <w:num w:numId="20" w16cid:durableId="1036273686">
    <w:abstractNumId w:val="3"/>
  </w:num>
  <w:num w:numId="21" w16cid:durableId="801733144">
    <w:abstractNumId w:val="18"/>
  </w:num>
  <w:num w:numId="22" w16cid:durableId="590049377">
    <w:abstractNumId w:val="22"/>
  </w:num>
  <w:num w:numId="23" w16cid:durableId="1939022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5093">
    <w:abstractNumId w:val="24"/>
  </w:num>
  <w:num w:numId="25" w16cid:durableId="485978454">
    <w:abstractNumId w:val="16"/>
  </w:num>
  <w:num w:numId="26" w16cid:durableId="1723750459">
    <w:abstractNumId w:val="9"/>
  </w:num>
  <w:num w:numId="27" w16cid:durableId="1938171166">
    <w:abstractNumId w:val="26"/>
  </w:num>
  <w:num w:numId="28" w16cid:durableId="586378493">
    <w:abstractNumId w:val="19"/>
  </w:num>
  <w:num w:numId="29" w16cid:durableId="2246048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880"/>
    <w:rsid w:val="00000B13"/>
    <w:rsid w:val="000017D4"/>
    <w:rsid w:val="000023BE"/>
    <w:rsid w:val="00002902"/>
    <w:rsid w:val="0000490B"/>
    <w:rsid w:val="00006FF3"/>
    <w:rsid w:val="0000707A"/>
    <w:rsid w:val="00012EE5"/>
    <w:rsid w:val="0001364B"/>
    <w:rsid w:val="00014CE7"/>
    <w:rsid w:val="000171A6"/>
    <w:rsid w:val="00017BE6"/>
    <w:rsid w:val="00017E9F"/>
    <w:rsid w:val="00022B56"/>
    <w:rsid w:val="00025B16"/>
    <w:rsid w:val="00026148"/>
    <w:rsid w:val="0002669F"/>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0889"/>
    <w:rsid w:val="0005124C"/>
    <w:rsid w:val="00051995"/>
    <w:rsid w:val="00053F6F"/>
    <w:rsid w:val="00054C07"/>
    <w:rsid w:val="00054D2C"/>
    <w:rsid w:val="00055C56"/>
    <w:rsid w:val="00057153"/>
    <w:rsid w:val="00057C21"/>
    <w:rsid w:val="0006010D"/>
    <w:rsid w:val="00065862"/>
    <w:rsid w:val="00065DE7"/>
    <w:rsid w:val="00067931"/>
    <w:rsid w:val="00073620"/>
    <w:rsid w:val="00074646"/>
    <w:rsid w:val="0007701A"/>
    <w:rsid w:val="00082532"/>
    <w:rsid w:val="0008727D"/>
    <w:rsid w:val="0008780B"/>
    <w:rsid w:val="00091330"/>
    <w:rsid w:val="000914E4"/>
    <w:rsid w:val="0009217D"/>
    <w:rsid w:val="000937BF"/>
    <w:rsid w:val="00095BF8"/>
    <w:rsid w:val="000963CD"/>
    <w:rsid w:val="000A1496"/>
    <w:rsid w:val="000A15D9"/>
    <w:rsid w:val="000A2660"/>
    <w:rsid w:val="000A4B28"/>
    <w:rsid w:val="000A5CE5"/>
    <w:rsid w:val="000B43AC"/>
    <w:rsid w:val="000B66C2"/>
    <w:rsid w:val="000B6A8D"/>
    <w:rsid w:val="000B7F12"/>
    <w:rsid w:val="000C0D81"/>
    <w:rsid w:val="000C15D5"/>
    <w:rsid w:val="000C1954"/>
    <w:rsid w:val="000C2815"/>
    <w:rsid w:val="000C41BE"/>
    <w:rsid w:val="000C7A2F"/>
    <w:rsid w:val="000C7BF6"/>
    <w:rsid w:val="000D0A88"/>
    <w:rsid w:val="000D6562"/>
    <w:rsid w:val="000E1F3E"/>
    <w:rsid w:val="000E309F"/>
    <w:rsid w:val="000E438D"/>
    <w:rsid w:val="000E4441"/>
    <w:rsid w:val="000E72C6"/>
    <w:rsid w:val="000F0685"/>
    <w:rsid w:val="000F288C"/>
    <w:rsid w:val="000F3B70"/>
    <w:rsid w:val="000F5A69"/>
    <w:rsid w:val="000F5B68"/>
    <w:rsid w:val="0010107D"/>
    <w:rsid w:val="0010777D"/>
    <w:rsid w:val="001078D2"/>
    <w:rsid w:val="00112819"/>
    <w:rsid w:val="00115D71"/>
    <w:rsid w:val="001237B8"/>
    <w:rsid w:val="00124217"/>
    <w:rsid w:val="00124352"/>
    <w:rsid w:val="00124466"/>
    <w:rsid w:val="00124A68"/>
    <w:rsid w:val="00124C46"/>
    <w:rsid w:val="00124F2D"/>
    <w:rsid w:val="00125C46"/>
    <w:rsid w:val="0012615E"/>
    <w:rsid w:val="001315AD"/>
    <w:rsid w:val="00132042"/>
    <w:rsid w:val="00134369"/>
    <w:rsid w:val="001362C3"/>
    <w:rsid w:val="00137734"/>
    <w:rsid w:val="00144A98"/>
    <w:rsid w:val="00145051"/>
    <w:rsid w:val="00145CFF"/>
    <w:rsid w:val="001475A7"/>
    <w:rsid w:val="00150148"/>
    <w:rsid w:val="001513A6"/>
    <w:rsid w:val="0015283A"/>
    <w:rsid w:val="00152E4B"/>
    <w:rsid w:val="001540ED"/>
    <w:rsid w:val="00156A6B"/>
    <w:rsid w:val="00156E70"/>
    <w:rsid w:val="001577F4"/>
    <w:rsid w:val="001602F5"/>
    <w:rsid w:val="00160E03"/>
    <w:rsid w:val="0016323D"/>
    <w:rsid w:val="001635F1"/>
    <w:rsid w:val="00166F69"/>
    <w:rsid w:val="00172E69"/>
    <w:rsid w:val="001737D6"/>
    <w:rsid w:val="00175BD0"/>
    <w:rsid w:val="00180BE7"/>
    <w:rsid w:val="00181030"/>
    <w:rsid w:val="0018111C"/>
    <w:rsid w:val="001822D6"/>
    <w:rsid w:val="0019051C"/>
    <w:rsid w:val="00190799"/>
    <w:rsid w:val="001925A0"/>
    <w:rsid w:val="00193406"/>
    <w:rsid w:val="0019487B"/>
    <w:rsid w:val="00194DAC"/>
    <w:rsid w:val="0019650B"/>
    <w:rsid w:val="0019688A"/>
    <w:rsid w:val="001A1037"/>
    <w:rsid w:val="001A1934"/>
    <w:rsid w:val="001A4BCD"/>
    <w:rsid w:val="001B1B49"/>
    <w:rsid w:val="001B2356"/>
    <w:rsid w:val="001B385C"/>
    <w:rsid w:val="001B4032"/>
    <w:rsid w:val="001B5F8B"/>
    <w:rsid w:val="001B710F"/>
    <w:rsid w:val="001B7F85"/>
    <w:rsid w:val="001C0188"/>
    <w:rsid w:val="001C0B9D"/>
    <w:rsid w:val="001C5991"/>
    <w:rsid w:val="001C7171"/>
    <w:rsid w:val="001D1E00"/>
    <w:rsid w:val="001D2F7C"/>
    <w:rsid w:val="001D4466"/>
    <w:rsid w:val="001D79DA"/>
    <w:rsid w:val="001E1369"/>
    <w:rsid w:val="001E2408"/>
    <w:rsid w:val="001E330C"/>
    <w:rsid w:val="001E451C"/>
    <w:rsid w:val="001E75F0"/>
    <w:rsid w:val="001F13F3"/>
    <w:rsid w:val="001F1F50"/>
    <w:rsid w:val="001F5E8F"/>
    <w:rsid w:val="001F6647"/>
    <w:rsid w:val="001F6B08"/>
    <w:rsid w:val="001F7AD3"/>
    <w:rsid w:val="001F7FC8"/>
    <w:rsid w:val="002001FB"/>
    <w:rsid w:val="00200EA7"/>
    <w:rsid w:val="0020156D"/>
    <w:rsid w:val="00203C34"/>
    <w:rsid w:val="00205459"/>
    <w:rsid w:val="00205C17"/>
    <w:rsid w:val="00206267"/>
    <w:rsid w:val="002075E3"/>
    <w:rsid w:val="002113BD"/>
    <w:rsid w:val="002133E5"/>
    <w:rsid w:val="0021365A"/>
    <w:rsid w:val="00213834"/>
    <w:rsid w:val="00214BAA"/>
    <w:rsid w:val="00216FB9"/>
    <w:rsid w:val="0021706B"/>
    <w:rsid w:val="00220E62"/>
    <w:rsid w:val="00225B6A"/>
    <w:rsid w:val="002260E3"/>
    <w:rsid w:val="00231B9E"/>
    <w:rsid w:val="00234E5A"/>
    <w:rsid w:val="00234F3F"/>
    <w:rsid w:val="00236FF0"/>
    <w:rsid w:val="00241016"/>
    <w:rsid w:val="00241F5A"/>
    <w:rsid w:val="00242AE1"/>
    <w:rsid w:val="00245EF4"/>
    <w:rsid w:val="00250C1E"/>
    <w:rsid w:val="00250C47"/>
    <w:rsid w:val="002518D3"/>
    <w:rsid w:val="0025215F"/>
    <w:rsid w:val="00252534"/>
    <w:rsid w:val="002529D9"/>
    <w:rsid w:val="00254E27"/>
    <w:rsid w:val="0025591F"/>
    <w:rsid w:val="002575D4"/>
    <w:rsid w:val="002619F4"/>
    <w:rsid w:val="00263EDD"/>
    <w:rsid w:val="00264F38"/>
    <w:rsid w:val="0026526A"/>
    <w:rsid w:val="002678DC"/>
    <w:rsid w:val="00267DDC"/>
    <w:rsid w:val="00274885"/>
    <w:rsid w:val="00275D02"/>
    <w:rsid w:val="00281D90"/>
    <w:rsid w:val="00287171"/>
    <w:rsid w:val="00291177"/>
    <w:rsid w:val="00291E04"/>
    <w:rsid w:val="0029645D"/>
    <w:rsid w:val="00297658"/>
    <w:rsid w:val="002A5538"/>
    <w:rsid w:val="002A62D5"/>
    <w:rsid w:val="002A64A5"/>
    <w:rsid w:val="002A6794"/>
    <w:rsid w:val="002A67E9"/>
    <w:rsid w:val="002B0482"/>
    <w:rsid w:val="002B2698"/>
    <w:rsid w:val="002B4F2C"/>
    <w:rsid w:val="002B559C"/>
    <w:rsid w:val="002B5E76"/>
    <w:rsid w:val="002C2DF9"/>
    <w:rsid w:val="002C63C3"/>
    <w:rsid w:val="002D4715"/>
    <w:rsid w:val="002E01B1"/>
    <w:rsid w:val="002F0868"/>
    <w:rsid w:val="002F23D3"/>
    <w:rsid w:val="002F2A89"/>
    <w:rsid w:val="002F45C5"/>
    <w:rsid w:val="002F4EFC"/>
    <w:rsid w:val="002F5A28"/>
    <w:rsid w:val="002F6808"/>
    <w:rsid w:val="00310E06"/>
    <w:rsid w:val="00317E5F"/>
    <w:rsid w:val="0032096D"/>
    <w:rsid w:val="0032364E"/>
    <w:rsid w:val="00323E78"/>
    <w:rsid w:val="00323F91"/>
    <w:rsid w:val="00325B5A"/>
    <w:rsid w:val="003316F2"/>
    <w:rsid w:val="00335397"/>
    <w:rsid w:val="00335CDA"/>
    <w:rsid w:val="00340888"/>
    <w:rsid w:val="00344862"/>
    <w:rsid w:val="00346291"/>
    <w:rsid w:val="00347348"/>
    <w:rsid w:val="003534B3"/>
    <w:rsid w:val="00353DA4"/>
    <w:rsid w:val="00361931"/>
    <w:rsid w:val="00364C71"/>
    <w:rsid w:val="003655D8"/>
    <w:rsid w:val="00366EFB"/>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97418"/>
    <w:rsid w:val="003A437A"/>
    <w:rsid w:val="003A4DCD"/>
    <w:rsid w:val="003A5EDE"/>
    <w:rsid w:val="003A7566"/>
    <w:rsid w:val="003B07A6"/>
    <w:rsid w:val="003B136D"/>
    <w:rsid w:val="003B24E1"/>
    <w:rsid w:val="003B34F9"/>
    <w:rsid w:val="003B3F29"/>
    <w:rsid w:val="003B43FD"/>
    <w:rsid w:val="003B522A"/>
    <w:rsid w:val="003B6456"/>
    <w:rsid w:val="003C0BA8"/>
    <w:rsid w:val="003C215E"/>
    <w:rsid w:val="003C51A3"/>
    <w:rsid w:val="003C5BCE"/>
    <w:rsid w:val="003D0D35"/>
    <w:rsid w:val="003D6324"/>
    <w:rsid w:val="003D719A"/>
    <w:rsid w:val="003E481D"/>
    <w:rsid w:val="003E4B3A"/>
    <w:rsid w:val="003E7C1D"/>
    <w:rsid w:val="003F26B0"/>
    <w:rsid w:val="003F2B48"/>
    <w:rsid w:val="003F6740"/>
    <w:rsid w:val="003F6859"/>
    <w:rsid w:val="003F6EF1"/>
    <w:rsid w:val="00400318"/>
    <w:rsid w:val="0040300C"/>
    <w:rsid w:val="00404E15"/>
    <w:rsid w:val="004051C2"/>
    <w:rsid w:val="00407F39"/>
    <w:rsid w:val="0041095F"/>
    <w:rsid w:val="004117A0"/>
    <w:rsid w:val="0041398D"/>
    <w:rsid w:val="00414CA3"/>
    <w:rsid w:val="00414D5C"/>
    <w:rsid w:val="00415253"/>
    <w:rsid w:val="00415DE4"/>
    <w:rsid w:val="00416C87"/>
    <w:rsid w:val="00416F84"/>
    <w:rsid w:val="00420544"/>
    <w:rsid w:val="00423180"/>
    <w:rsid w:val="00423AA7"/>
    <w:rsid w:val="0042497F"/>
    <w:rsid w:val="00426021"/>
    <w:rsid w:val="004266F0"/>
    <w:rsid w:val="00427B79"/>
    <w:rsid w:val="00427DD5"/>
    <w:rsid w:val="0043157D"/>
    <w:rsid w:val="00434348"/>
    <w:rsid w:val="0043481D"/>
    <w:rsid w:val="00435077"/>
    <w:rsid w:val="004354F5"/>
    <w:rsid w:val="00437A9D"/>
    <w:rsid w:val="00441E11"/>
    <w:rsid w:val="00450502"/>
    <w:rsid w:val="00450732"/>
    <w:rsid w:val="004521EA"/>
    <w:rsid w:val="00455162"/>
    <w:rsid w:val="004629F9"/>
    <w:rsid w:val="004648A8"/>
    <w:rsid w:val="00470810"/>
    <w:rsid w:val="00471F7E"/>
    <w:rsid w:val="00472DAF"/>
    <w:rsid w:val="00473827"/>
    <w:rsid w:val="00475CD7"/>
    <w:rsid w:val="0047651F"/>
    <w:rsid w:val="00476D03"/>
    <w:rsid w:val="00483B2D"/>
    <w:rsid w:val="00491657"/>
    <w:rsid w:val="004933F1"/>
    <w:rsid w:val="00494E38"/>
    <w:rsid w:val="004973D2"/>
    <w:rsid w:val="004979F9"/>
    <w:rsid w:val="004A01FD"/>
    <w:rsid w:val="004A0DA0"/>
    <w:rsid w:val="004A2873"/>
    <w:rsid w:val="004A356B"/>
    <w:rsid w:val="004A41E7"/>
    <w:rsid w:val="004A5506"/>
    <w:rsid w:val="004A64EA"/>
    <w:rsid w:val="004A6BD9"/>
    <w:rsid w:val="004B0B9A"/>
    <w:rsid w:val="004B66CD"/>
    <w:rsid w:val="004B7FC9"/>
    <w:rsid w:val="004C01CE"/>
    <w:rsid w:val="004C2C14"/>
    <w:rsid w:val="004C37CD"/>
    <w:rsid w:val="004C3F58"/>
    <w:rsid w:val="004C46ED"/>
    <w:rsid w:val="004C7C3A"/>
    <w:rsid w:val="004D3696"/>
    <w:rsid w:val="004D38F5"/>
    <w:rsid w:val="004D62C2"/>
    <w:rsid w:val="004D6F5B"/>
    <w:rsid w:val="004E01D1"/>
    <w:rsid w:val="004E3F74"/>
    <w:rsid w:val="004E40E0"/>
    <w:rsid w:val="004E5E2E"/>
    <w:rsid w:val="004E6431"/>
    <w:rsid w:val="004F0523"/>
    <w:rsid w:val="004F0794"/>
    <w:rsid w:val="004F07B4"/>
    <w:rsid w:val="004F1AEA"/>
    <w:rsid w:val="004F277D"/>
    <w:rsid w:val="004F44B9"/>
    <w:rsid w:val="004F547D"/>
    <w:rsid w:val="004F605B"/>
    <w:rsid w:val="004F6109"/>
    <w:rsid w:val="004F6C5E"/>
    <w:rsid w:val="004F6CBF"/>
    <w:rsid w:val="004F6DF7"/>
    <w:rsid w:val="00500CF5"/>
    <w:rsid w:val="00505F3C"/>
    <w:rsid w:val="00510061"/>
    <w:rsid w:val="00510C6F"/>
    <w:rsid w:val="00510E64"/>
    <w:rsid w:val="005156AE"/>
    <w:rsid w:val="00515F47"/>
    <w:rsid w:val="00531D5B"/>
    <w:rsid w:val="00532EF3"/>
    <w:rsid w:val="00542502"/>
    <w:rsid w:val="0054360C"/>
    <w:rsid w:val="00543F6F"/>
    <w:rsid w:val="00547F32"/>
    <w:rsid w:val="00551F32"/>
    <w:rsid w:val="005533FD"/>
    <w:rsid w:val="0055756D"/>
    <w:rsid w:val="00560BF1"/>
    <w:rsid w:val="00563A6D"/>
    <w:rsid w:val="00563CF8"/>
    <w:rsid w:val="00564D83"/>
    <w:rsid w:val="00565A9E"/>
    <w:rsid w:val="00565E2F"/>
    <w:rsid w:val="00566329"/>
    <w:rsid w:val="00566B52"/>
    <w:rsid w:val="00566E21"/>
    <w:rsid w:val="00571650"/>
    <w:rsid w:val="00571F29"/>
    <w:rsid w:val="0057260D"/>
    <w:rsid w:val="005835CC"/>
    <w:rsid w:val="00584B87"/>
    <w:rsid w:val="005860C3"/>
    <w:rsid w:val="00587791"/>
    <w:rsid w:val="005923B4"/>
    <w:rsid w:val="005936C4"/>
    <w:rsid w:val="00594CE5"/>
    <w:rsid w:val="00595D9B"/>
    <w:rsid w:val="00595F06"/>
    <w:rsid w:val="005A16F9"/>
    <w:rsid w:val="005A3F2C"/>
    <w:rsid w:val="005A464A"/>
    <w:rsid w:val="005A5123"/>
    <w:rsid w:val="005A519D"/>
    <w:rsid w:val="005A6ED4"/>
    <w:rsid w:val="005B3F70"/>
    <w:rsid w:val="005B6D2E"/>
    <w:rsid w:val="005C17DC"/>
    <w:rsid w:val="005C18FC"/>
    <w:rsid w:val="005C1F2D"/>
    <w:rsid w:val="005C6CF5"/>
    <w:rsid w:val="005D1BF8"/>
    <w:rsid w:val="005D60E1"/>
    <w:rsid w:val="005D7117"/>
    <w:rsid w:val="005D7327"/>
    <w:rsid w:val="005E0440"/>
    <w:rsid w:val="005E2E7D"/>
    <w:rsid w:val="005E3082"/>
    <w:rsid w:val="005E5C31"/>
    <w:rsid w:val="005F1535"/>
    <w:rsid w:val="005F413A"/>
    <w:rsid w:val="005F4527"/>
    <w:rsid w:val="005F5E31"/>
    <w:rsid w:val="006001B7"/>
    <w:rsid w:val="0060781C"/>
    <w:rsid w:val="00612D74"/>
    <w:rsid w:val="006147B4"/>
    <w:rsid w:val="006167FF"/>
    <w:rsid w:val="00623382"/>
    <w:rsid w:val="00625704"/>
    <w:rsid w:val="006306B7"/>
    <w:rsid w:val="0063095B"/>
    <w:rsid w:val="00630C20"/>
    <w:rsid w:val="00630ED9"/>
    <w:rsid w:val="00632030"/>
    <w:rsid w:val="00635B1A"/>
    <w:rsid w:val="00637020"/>
    <w:rsid w:val="006371DC"/>
    <w:rsid w:val="00640DD7"/>
    <w:rsid w:val="00644A45"/>
    <w:rsid w:val="006468B3"/>
    <w:rsid w:val="0065115A"/>
    <w:rsid w:val="00653910"/>
    <w:rsid w:val="006573E2"/>
    <w:rsid w:val="00657B8F"/>
    <w:rsid w:val="0066002E"/>
    <w:rsid w:val="00664F7B"/>
    <w:rsid w:val="00665320"/>
    <w:rsid w:val="0066553A"/>
    <w:rsid w:val="006669F5"/>
    <w:rsid w:val="00666A2C"/>
    <w:rsid w:val="006670DA"/>
    <w:rsid w:val="0067008E"/>
    <w:rsid w:val="00671611"/>
    <w:rsid w:val="006716CA"/>
    <w:rsid w:val="006755E9"/>
    <w:rsid w:val="006766E1"/>
    <w:rsid w:val="00677588"/>
    <w:rsid w:val="00677E50"/>
    <w:rsid w:val="00680943"/>
    <w:rsid w:val="0068381C"/>
    <w:rsid w:val="00684399"/>
    <w:rsid w:val="00685BEE"/>
    <w:rsid w:val="00687B25"/>
    <w:rsid w:val="0069244F"/>
    <w:rsid w:val="0069382F"/>
    <w:rsid w:val="006960CD"/>
    <w:rsid w:val="006A218A"/>
    <w:rsid w:val="006A22E4"/>
    <w:rsid w:val="006A460C"/>
    <w:rsid w:val="006A60EE"/>
    <w:rsid w:val="006B25C3"/>
    <w:rsid w:val="006B4D16"/>
    <w:rsid w:val="006B60AF"/>
    <w:rsid w:val="006B6167"/>
    <w:rsid w:val="006B6B0A"/>
    <w:rsid w:val="006B6DCA"/>
    <w:rsid w:val="006C0C2D"/>
    <w:rsid w:val="006C0D34"/>
    <w:rsid w:val="006C1171"/>
    <w:rsid w:val="006C498E"/>
    <w:rsid w:val="006C775C"/>
    <w:rsid w:val="006D286E"/>
    <w:rsid w:val="006E0CB5"/>
    <w:rsid w:val="006E20C7"/>
    <w:rsid w:val="006E2365"/>
    <w:rsid w:val="006E43C8"/>
    <w:rsid w:val="006E4570"/>
    <w:rsid w:val="006E67DC"/>
    <w:rsid w:val="006F0163"/>
    <w:rsid w:val="006F3F7B"/>
    <w:rsid w:val="006F6A75"/>
    <w:rsid w:val="00704175"/>
    <w:rsid w:val="00707281"/>
    <w:rsid w:val="00707E46"/>
    <w:rsid w:val="0071048F"/>
    <w:rsid w:val="00712A62"/>
    <w:rsid w:val="00714106"/>
    <w:rsid w:val="00715EED"/>
    <w:rsid w:val="00717AF7"/>
    <w:rsid w:val="00717FD8"/>
    <w:rsid w:val="007270A9"/>
    <w:rsid w:val="00733341"/>
    <w:rsid w:val="00735B9F"/>
    <w:rsid w:val="00737DF1"/>
    <w:rsid w:val="0074448D"/>
    <w:rsid w:val="00746684"/>
    <w:rsid w:val="00746CE8"/>
    <w:rsid w:val="00747BCA"/>
    <w:rsid w:val="0075046B"/>
    <w:rsid w:val="00751B5A"/>
    <w:rsid w:val="007551A8"/>
    <w:rsid w:val="00755E44"/>
    <w:rsid w:val="00757743"/>
    <w:rsid w:val="007579AE"/>
    <w:rsid w:val="00770630"/>
    <w:rsid w:val="00770B85"/>
    <w:rsid w:val="00774328"/>
    <w:rsid w:val="007757E1"/>
    <w:rsid w:val="007778C4"/>
    <w:rsid w:val="007805DF"/>
    <w:rsid w:val="00784A7B"/>
    <w:rsid w:val="007857DB"/>
    <w:rsid w:val="007861C4"/>
    <w:rsid w:val="00787140"/>
    <w:rsid w:val="0079221C"/>
    <w:rsid w:val="00793C8E"/>
    <w:rsid w:val="00794059"/>
    <w:rsid w:val="00795A70"/>
    <w:rsid w:val="007967DF"/>
    <w:rsid w:val="00797441"/>
    <w:rsid w:val="007A200A"/>
    <w:rsid w:val="007A611E"/>
    <w:rsid w:val="007A708E"/>
    <w:rsid w:val="007B09A1"/>
    <w:rsid w:val="007B4DAB"/>
    <w:rsid w:val="007B7164"/>
    <w:rsid w:val="007B730F"/>
    <w:rsid w:val="007B780C"/>
    <w:rsid w:val="007C1A65"/>
    <w:rsid w:val="007C2758"/>
    <w:rsid w:val="007C5FAD"/>
    <w:rsid w:val="007C6FC5"/>
    <w:rsid w:val="007D19F7"/>
    <w:rsid w:val="007D397F"/>
    <w:rsid w:val="007D4574"/>
    <w:rsid w:val="007D4A4C"/>
    <w:rsid w:val="007D4F72"/>
    <w:rsid w:val="007E0B49"/>
    <w:rsid w:val="007E0B9C"/>
    <w:rsid w:val="007E0E92"/>
    <w:rsid w:val="007E1A8D"/>
    <w:rsid w:val="007E2113"/>
    <w:rsid w:val="007E524E"/>
    <w:rsid w:val="007F081F"/>
    <w:rsid w:val="007F0EE9"/>
    <w:rsid w:val="007F4808"/>
    <w:rsid w:val="007F632D"/>
    <w:rsid w:val="007F6660"/>
    <w:rsid w:val="007F6A39"/>
    <w:rsid w:val="007F78E7"/>
    <w:rsid w:val="007F7EF1"/>
    <w:rsid w:val="008013D1"/>
    <w:rsid w:val="00803EEE"/>
    <w:rsid w:val="00804320"/>
    <w:rsid w:val="00805708"/>
    <w:rsid w:val="008108E0"/>
    <w:rsid w:val="008124FB"/>
    <w:rsid w:val="00813A66"/>
    <w:rsid w:val="008147F3"/>
    <w:rsid w:val="00814994"/>
    <w:rsid w:val="00815CA1"/>
    <w:rsid w:val="00822C26"/>
    <w:rsid w:val="0082310B"/>
    <w:rsid w:val="00823819"/>
    <w:rsid w:val="00823B61"/>
    <w:rsid w:val="00824967"/>
    <w:rsid w:val="0082498D"/>
    <w:rsid w:val="008249D8"/>
    <w:rsid w:val="0082556C"/>
    <w:rsid w:val="00825745"/>
    <w:rsid w:val="00827812"/>
    <w:rsid w:val="00831BE9"/>
    <w:rsid w:val="00831D58"/>
    <w:rsid w:val="00832AD3"/>
    <w:rsid w:val="008341B4"/>
    <w:rsid w:val="00844718"/>
    <w:rsid w:val="008456C9"/>
    <w:rsid w:val="0084611F"/>
    <w:rsid w:val="00847C1B"/>
    <w:rsid w:val="008504DB"/>
    <w:rsid w:val="00855C20"/>
    <w:rsid w:val="00857FED"/>
    <w:rsid w:val="008601B9"/>
    <w:rsid w:val="008609E8"/>
    <w:rsid w:val="00860A79"/>
    <w:rsid w:val="00861378"/>
    <w:rsid w:val="00863FAF"/>
    <w:rsid w:val="00864742"/>
    <w:rsid w:val="0086650B"/>
    <w:rsid w:val="008812DB"/>
    <w:rsid w:val="00882F9A"/>
    <w:rsid w:val="008830A7"/>
    <w:rsid w:val="008848CE"/>
    <w:rsid w:val="00890ADF"/>
    <w:rsid w:val="00890B88"/>
    <w:rsid w:val="008935F6"/>
    <w:rsid w:val="00894C4C"/>
    <w:rsid w:val="0089527D"/>
    <w:rsid w:val="008A0BC3"/>
    <w:rsid w:val="008A35DE"/>
    <w:rsid w:val="008A3EE5"/>
    <w:rsid w:val="008A4D15"/>
    <w:rsid w:val="008A6451"/>
    <w:rsid w:val="008B1A85"/>
    <w:rsid w:val="008B1D19"/>
    <w:rsid w:val="008B2132"/>
    <w:rsid w:val="008B2E89"/>
    <w:rsid w:val="008B2F14"/>
    <w:rsid w:val="008B409F"/>
    <w:rsid w:val="008B5A27"/>
    <w:rsid w:val="008B67AA"/>
    <w:rsid w:val="008B6B34"/>
    <w:rsid w:val="008C0694"/>
    <w:rsid w:val="008C0F5F"/>
    <w:rsid w:val="008C102A"/>
    <w:rsid w:val="008C1F6B"/>
    <w:rsid w:val="008C5502"/>
    <w:rsid w:val="008D7B7F"/>
    <w:rsid w:val="008E0AF6"/>
    <w:rsid w:val="008E2604"/>
    <w:rsid w:val="008E3D10"/>
    <w:rsid w:val="008E4E08"/>
    <w:rsid w:val="008E7170"/>
    <w:rsid w:val="008E79D5"/>
    <w:rsid w:val="008E7D73"/>
    <w:rsid w:val="008F1000"/>
    <w:rsid w:val="008F1E2F"/>
    <w:rsid w:val="008F32AD"/>
    <w:rsid w:val="008F61D6"/>
    <w:rsid w:val="00901AEF"/>
    <w:rsid w:val="009029CD"/>
    <w:rsid w:val="009029F2"/>
    <w:rsid w:val="00904321"/>
    <w:rsid w:val="009075E5"/>
    <w:rsid w:val="00910426"/>
    <w:rsid w:val="00911004"/>
    <w:rsid w:val="009178DC"/>
    <w:rsid w:val="009208AF"/>
    <w:rsid w:val="0092123D"/>
    <w:rsid w:val="009235E5"/>
    <w:rsid w:val="00930E03"/>
    <w:rsid w:val="00931244"/>
    <w:rsid w:val="00932ACB"/>
    <w:rsid w:val="00940691"/>
    <w:rsid w:val="009426AD"/>
    <w:rsid w:val="009454B3"/>
    <w:rsid w:val="0094563F"/>
    <w:rsid w:val="00950872"/>
    <w:rsid w:val="00950A88"/>
    <w:rsid w:val="009514AF"/>
    <w:rsid w:val="0095192D"/>
    <w:rsid w:val="0095250D"/>
    <w:rsid w:val="0095599C"/>
    <w:rsid w:val="00962EDC"/>
    <w:rsid w:val="0096678A"/>
    <w:rsid w:val="00967069"/>
    <w:rsid w:val="009744E7"/>
    <w:rsid w:val="00976AD3"/>
    <w:rsid w:val="009836FE"/>
    <w:rsid w:val="00983C2F"/>
    <w:rsid w:val="00983D38"/>
    <w:rsid w:val="0098585F"/>
    <w:rsid w:val="009858BF"/>
    <w:rsid w:val="00994ED3"/>
    <w:rsid w:val="00997C0E"/>
    <w:rsid w:val="009A2C56"/>
    <w:rsid w:val="009A3CB8"/>
    <w:rsid w:val="009A6862"/>
    <w:rsid w:val="009B002B"/>
    <w:rsid w:val="009B0C2C"/>
    <w:rsid w:val="009B0E28"/>
    <w:rsid w:val="009B15C9"/>
    <w:rsid w:val="009B2A22"/>
    <w:rsid w:val="009B2D03"/>
    <w:rsid w:val="009B59A7"/>
    <w:rsid w:val="009B5E15"/>
    <w:rsid w:val="009B5EC2"/>
    <w:rsid w:val="009B78B1"/>
    <w:rsid w:val="009C0A95"/>
    <w:rsid w:val="009C3744"/>
    <w:rsid w:val="009C430A"/>
    <w:rsid w:val="009C444A"/>
    <w:rsid w:val="009C4649"/>
    <w:rsid w:val="009C5D54"/>
    <w:rsid w:val="009C6DBB"/>
    <w:rsid w:val="009C74E6"/>
    <w:rsid w:val="009D0812"/>
    <w:rsid w:val="009D1B93"/>
    <w:rsid w:val="009D3F73"/>
    <w:rsid w:val="009D4062"/>
    <w:rsid w:val="009D41D8"/>
    <w:rsid w:val="009D4CBE"/>
    <w:rsid w:val="009D5C46"/>
    <w:rsid w:val="009E08BE"/>
    <w:rsid w:val="009E2024"/>
    <w:rsid w:val="009E21F9"/>
    <w:rsid w:val="009E2D5D"/>
    <w:rsid w:val="009F1B44"/>
    <w:rsid w:val="009F34DF"/>
    <w:rsid w:val="009F44F6"/>
    <w:rsid w:val="00A00C2F"/>
    <w:rsid w:val="00A033AA"/>
    <w:rsid w:val="00A03ABF"/>
    <w:rsid w:val="00A068DD"/>
    <w:rsid w:val="00A07614"/>
    <w:rsid w:val="00A1032B"/>
    <w:rsid w:val="00A1046C"/>
    <w:rsid w:val="00A14DE6"/>
    <w:rsid w:val="00A1504C"/>
    <w:rsid w:val="00A16840"/>
    <w:rsid w:val="00A21466"/>
    <w:rsid w:val="00A23B2D"/>
    <w:rsid w:val="00A255B1"/>
    <w:rsid w:val="00A316EB"/>
    <w:rsid w:val="00A3518A"/>
    <w:rsid w:val="00A40685"/>
    <w:rsid w:val="00A40B20"/>
    <w:rsid w:val="00A42902"/>
    <w:rsid w:val="00A457A0"/>
    <w:rsid w:val="00A4672B"/>
    <w:rsid w:val="00A47DFD"/>
    <w:rsid w:val="00A50300"/>
    <w:rsid w:val="00A54693"/>
    <w:rsid w:val="00A56953"/>
    <w:rsid w:val="00A571B4"/>
    <w:rsid w:val="00A61930"/>
    <w:rsid w:val="00A65A42"/>
    <w:rsid w:val="00A72CCC"/>
    <w:rsid w:val="00A7408E"/>
    <w:rsid w:val="00A741AF"/>
    <w:rsid w:val="00A74884"/>
    <w:rsid w:val="00A756A4"/>
    <w:rsid w:val="00A757B3"/>
    <w:rsid w:val="00A758CE"/>
    <w:rsid w:val="00A7635F"/>
    <w:rsid w:val="00A779EA"/>
    <w:rsid w:val="00A77D4E"/>
    <w:rsid w:val="00A8116E"/>
    <w:rsid w:val="00A852C4"/>
    <w:rsid w:val="00A877E6"/>
    <w:rsid w:val="00A92DC4"/>
    <w:rsid w:val="00A946BB"/>
    <w:rsid w:val="00A96FCB"/>
    <w:rsid w:val="00AA14F5"/>
    <w:rsid w:val="00AA5A4F"/>
    <w:rsid w:val="00AA5E37"/>
    <w:rsid w:val="00AA747A"/>
    <w:rsid w:val="00AB3A2C"/>
    <w:rsid w:val="00AB4269"/>
    <w:rsid w:val="00AB5600"/>
    <w:rsid w:val="00AB759B"/>
    <w:rsid w:val="00AC096F"/>
    <w:rsid w:val="00AC4B15"/>
    <w:rsid w:val="00AD03AA"/>
    <w:rsid w:val="00AD1C1D"/>
    <w:rsid w:val="00AD2A85"/>
    <w:rsid w:val="00AD3052"/>
    <w:rsid w:val="00AD4A4A"/>
    <w:rsid w:val="00AD4BDE"/>
    <w:rsid w:val="00AD524C"/>
    <w:rsid w:val="00AD5D0C"/>
    <w:rsid w:val="00AD6C8A"/>
    <w:rsid w:val="00AD7EAE"/>
    <w:rsid w:val="00AE1659"/>
    <w:rsid w:val="00AE21C1"/>
    <w:rsid w:val="00AF5136"/>
    <w:rsid w:val="00B07AB8"/>
    <w:rsid w:val="00B12DF6"/>
    <w:rsid w:val="00B13254"/>
    <w:rsid w:val="00B17E22"/>
    <w:rsid w:val="00B20189"/>
    <w:rsid w:val="00B2065D"/>
    <w:rsid w:val="00B21235"/>
    <w:rsid w:val="00B217FE"/>
    <w:rsid w:val="00B22164"/>
    <w:rsid w:val="00B22740"/>
    <w:rsid w:val="00B23AFD"/>
    <w:rsid w:val="00B264C5"/>
    <w:rsid w:val="00B411FD"/>
    <w:rsid w:val="00B45700"/>
    <w:rsid w:val="00B503AE"/>
    <w:rsid w:val="00B52936"/>
    <w:rsid w:val="00B53211"/>
    <w:rsid w:val="00B54DCC"/>
    <w:rsid w:val="00B61EBF"/>
    <w:rsid w:val="00B658C2"/>
    <w:rsid w:val="00B65BBE"/>
    <w:rsid w:val="00B67E2A"/>
    <w:rsid w:val="00B717B5"/>
    <w:rsid w:val="00B71ABB"/>
    <w:rsid w:val="00B71AC6"/>
    <w:rsid w:val="00B7771E"/>
    <w:rsid w:val="00B779E1"/>
    <w:rsid w:val="00B80E55"/>
    <w:rsid w:val="00B819F7"/>
    <w:rsid w:val="00B82B8C"/>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FC1"/>
    <w:rsid w:val="00BB3437"/>
    <w:rsid w:val="00BB37BA"/>
    <w:rsid w:val="00BB48E3"/>
    <w:rsid w:val="00BB7105"/>
    <w:rsid w:val="00BB7624"/>
    <w:rsid w:val="00BC0321"/>
    <w:rsid w:val="00BC0E1A"/>
    <w:rsid w:val="00BC1CFE"/>
    <w:rsid w:val="00BC2105"/>
    <w:rsid w:val="00BC247C"/>
    <w:rsid w:val="00BC2FBE"/>
    <w:rsid w:val="00BE1B31"/>
    <w:rsid w:val="00BE6214"/>
    <w:rsid w:val="00BE6D7D"/>
    <w:rsid w:val="00BF1A90"/>
    <w:rsid w:val="00BF2EC8"/>
    <w:rsid w:val="00BF57B9"/>
    <w:rsid w:val="00C00D06"/>
    <w:rsid w:val="00C0234A"/>
    <w:rsid w:val="00C12573"/>
    <w:rsid w:val="00C16F79"/>
    <w:rsid w:val="00C172AD"/>
    <w:rsid w:val="00C20684"/>
    <w:rsid w:val="00C23F14"/>
    <w:rsid w:val="00C246C0"/>
    <w:rsid w:val="00C31A7D"/>
    <w:rsid w:val="00C3543E"/>
    <w:rsid w:val="00C417C5"/>
    <w:rsid w:val="00C41B05"/>
    <w:rsid w:val="00C421DB"/>
    <w:rsid w:val="00C43269"/>
    <w:rsid w:val="00C45659"/>
    <w:rsid w:val="00C46DEA"/>
    <w:rsid w:val="00C51476"/>
    <w:rsid w:val="00C516A3"/>
    <w:rsid w:val="00C53500"/>
    <w:rsid w:val="00C53CA3"/>
    <w:rsid w:val="00C5604A"/>
    <w:rsid w:val="00C564BF"/>
    <w:rsid w:val="00C62762"/>
    <w:rsid w:val="00C64002"/>
    <w:rsid w:val="00C65FE5"/>
    <w:rsid w:val="00C7098B"/>
    <w:rsid w:val="00C70FF5"/>
    <w:rsid w:val="00C72A30"/>
    <w:rsid w:val="00C73504"/>
    <w:rsid w:val="00C73AF0"/>
    <w:rsid w:val="00C74FE6"/>
    <w:rsid w:val="00C847E5"/>
    <w:rsid w:val="00C87E4F"/>
    <w:rsid w:val="00C90BE8"/>
    <w:rsid w:val="00C911DE"/>
    <w:rsid w:val="00C95481"/>
    <w:rsid w:val="00C974C1"/>
    <w:rsid w:val="00CA1A9D"/>
    <w:rsid w:val="00CA2E58"/>
    <w:rsid w:val="00CA454C"/>
    <w:rsid w:val="00CA500D"/>
    <w:rsid w:val="00CA7FA3"/>
    <w:rsid w:val="00CB159D"/>
    <w:rsid w:val="00CB68F5"/>
    <w:rsid w:val="00CC0CA5"/>
    <w:rsid w:val="00CC16C0"/>
    <w:rsid w:val="00CD7CB2"/>
    <w:rsid w:val="00CE183A"/>
    <w:rsid w:val="00CE2E81"/>
    <w:rsid w:val="00CE3D31"/>
    <w:rsid w:val="00CE3DAE"/>
    <w:rsid w:val="00CE419A"/>
    <w:rsid w:val="00CF07E8"/>
    <w:rsid w:val="00CF2895"/>
    <w:rsid w:val="00CF3BD4"/>
    <w:rsid w:val="00CF4AE4"/>
    <w:rsid w:val="00CF53D3"/>
    <w:rsid w:val="00CF6886"/>
    <w:rsid w:val="00CF6F53"/>
    <w:rsid w:val="00D015AB"/>
    <w:rsid w:val="00D02C15"/>
    <w:rsid w:val="00D03231"/>
    <w:rsid w:val="00D0654B"/>
    <w:rsid w:val="00D10D78"/>
    <w:rsid w:val="00D11C15"/>
    <w:rsid w:val="00D13F11"/>
    <w:rsid w:val="00D14E92"/>
    <w:rsid w:val="00D159DB"/>
    <w:rsid w:val="00D163A7"/>
    <w:rsid w:val="00D205E5"/>
    <w:rsid w:val="00D20EE3"/>
    <w:rsid w:val="00D23A48"/>
    <w:rsid w:val="00D24051"/>
    <w:rsid w:val="00D3088A"/>
    <w:rsid w:val="00D35E0D"/>
    <w:rsid w:val="00D4060A"/>
    <w:rsid w:val="00D44306"/>
    <w:rsid w:val="00D462B6"/>
    <w:rsid w:val="00D46CDC"/>
    <w:rsid w:val="00D51457"/>
    <w:rsid w:val="00D54343"/>
    <w:rsid w:val="00D54841"/>
    <w:rsid w:val="00D54D45"/>
    <w:rsid w:val="00D56B72"/>
    <w:rsid w:val="00D60970"/>
    <w:rsid w:val="00D61A4F"/>
    <w:rsid w:val="00D74B0A"/>
    <w:rsid w:val="00D755BE"/>
    <w:rsid w:val="00D75F7E"/>
    <w:rsid w:val="00D82394"/>
    <w:rsid w:val="00D86522"/>
    <w:rsid w:val="00D90A00"/>
    <w:rsid w:val="00D90F95"/>
    <w:rsid w:val="00D932AE"/>
    <w:rsid w:val="00D939A9"/>
    <w:rsid w:val="00DA17E7"/>
    <w:rsid w:val="00DA1BFB"/>
    <w:rsid w:val="00DA3E11"/>
    <w:rsid w:val="00DA3E1A"/>
    <w:rsid w:val="00DA628F"/>
    <w:rsid w:val="00DA761D"/>
    <w:rsid w:val="00DB21F7"/>
    <w:rsid w:val="00DB2815"/>
    <w:rsid w:val="00DB440C"/>
    <w:rsid w:val="00DB4B47"/>
    <w:rsid w:val="00DB6CC5"/>
    <w:rsid w:val="00DC0770"/>
    <w:rsid w:val="00DC1C14"/>
    <w:rsid w:val="00DC22B5"/>
    <w:rsid w:val="00DC2BD6"/>
    <w:rsid w:val="00DC4DC6"/>
    <w:rsid w:val="00DC5596"/>
    <w:rsid w:val="00DD00C5"/>
    <w:rsid w:val="00DD05CC"/>
    <w:rsid w:val="00DD1FF4"/>
    <w:rsid w:val="00DD638E"/>
    <w:rsid w:val="00DE0381"/>
    <w:rsid w:val="00DE2D87"/>
    <w:rsid w:val="00DE6417"/>
    <w:rsid w:val="00DE7553"/>
    <w:rsid w:val="00DE7D90"/>
    <w:rsid w:val="00DF18B6"/>
    <w:rsid w:val="00DF3F7A"/>
    <w:rsid w:val="00DF47CC"/>
    <w:rsid w:val="00DF4B75"/>
    <w:rsid w:val="00E0508B"/>
    <w:rsid w:val="00E055CC"/>
    <w:rsid w:val="00E064A0"/>
    <w:rsid w:val="00E06CB8"/>
    <w:rsid w:val="00E10A83"/>
    <w:rsid w:val="00E1204F"/>
    <w:rsid w:val="00E137CB"/>
    <w:rsid w:val="00E17B20"/>
    <w:rsid w:val="00E2059E"/>
    <w:rsid w:val="00E23DED"/>
    <w:rsid w:val="00E25480"/>
    <w:rsid w:val="00E26BA3"/>
    <w:rsid w:val="00E3075F"/>
    <w:rsid w:val="00E41AE1"/>
    <w:rsid w:val="00E4330A"/>
    <w:rsid w:val="00E43BA7"/>
    <w:rsid w:val="00E447BD"/>
    <w:rsid w:val="00E50EAF"/>
    <w:rsid w:val="00E52776"/>
    <w:rsid w:val="00E54000"/>
    <w:rsid w:val="00E5585E"/>
    <w:rsid w:val="00E560BD"/>
    <w:rsid w:val="00E56640"/>
    <w:rsid w:val="00E63CC0"/>
    <w:rsid w:val="00E64C9F"/>
    <w:rsid w:val="00E66C19"/>
    <w:rsid w:val="00E70EB7"/>
    <w:rsid w:val="00E7494E"/>
    <w:rsid w:val="00E7728C"/>
    <w:rsid w:val="00E84B92"/>
    <w:rsid w:val="00E91BA1"/>
    <w:rsid w:val="00E927DF"/>
    <w:rsid w:val="00E9335A"/>
    <w:rsid w:val="00E957EC"/>
    <w:rsid w:val="00EA1546"/>
    <w:rsid w:val="00EA38AE"/>
    <w:rsid w:val="00EA6851"/>
    <w:rsid w:val="00EB06B6"/>
    <w:rsid w:val="00EC0BD1"/>
    <w:rsid w:val="00EC199E"/>
    <w:rsid w:val="00EC2918"/>
    <w:rsid w:val="00EC3437"/>
    <w:rsid w:val="00EC434B"/>
    <w:rsid w:val="00EC6FF2"/>
    <w:rsid w:val="00ED322C"/>
    <w:rsid w:val="00ED450F"/>
    <w:rsid w:val="00ED4A2C"/>
    <w:rsid w:val="00ED573C"/>
    <w:rsid w:val="00ED57DA"/>
    <w:rsid w:val="00ED730A"/>
    <w:rsid w:val="00EE0DC0"/>
    <w:rsid w:val="00EE4097"/>
    <w:rsid w:val="00EE40E3"/>
    <w:rsid w:val="00EE41F3"/>
    <w:rsid w:val="00EE7002"/>
    <w:rsid w:val="00EE7CAA"/>
    <w:rsid w:val="00EF02E9"/>
    <w:rsid w:val="00EF153A"/>
    <w:rsid w:val="00EF2345"/>
    <w:rsid w:val="00EF41F8"/>
    <w:rsid w:val="00EF6B53"/>
    <w:rsid w:val="00EF76D6"/>
    <w:rsid w:val="00F006F5"/>
    <w:rsid w:val="00F01397"/>
    <w:rsid w:val="00F043C0"/>
    <w:rsid w:val="00F0734E"/>
    <w:rsid w:val="00F10A5F"/>
    <w:rsid w:val="00F12634"/>
    <w:rsid w:val="00F14331"/>
    <w:rsid w:val="00F145E6"/>
    <w:rsid w:val="00F15DF7"/>
    <w:rsid w:val="00F21F71"/>
    <w:rsid w:val="00F2351A"/>
    <w:rsid w:val="00F240B2"/>
    <w:rsid w:val="00F25687"/>
    <w:rsid w:val="00F2635D"/>
    <w:rsid w:val="00F26DA8"/>
    <w:rsid w:val="00F27105"/>
    <w:rsid w:val="00F31873"/>
    <w:rsid w:val="00F33BC1"/>
    <w:rsid w:val="00F34593"/>
    <w:rsid w:val="00F40F3B"/>
    <w:rsid w:val="00F445C1"/>
    <w:rsid w:val="00F45156"/>
    <w:rsid w:val="00F51923"/>
    <w:rsid w:val="00F56EC1"/>
    <w:rsid w:val="00F576F2"/>
    <w:rsid w:val="00F6240D"/>
    <w:rsid w:val="00F63D0A"/>
    <w:rsid w:val="00F64036"/>
    <w:rsid w:val="00F64671"/>
    <w:rsid w:val="00F65F9B"/>
    <w:rsid w:val="00F66149"/>
    <w:rsid w:val="00F71BBF"/>
    <w:rsid w:val="00F809AC"/>
    <w:rsid w:val="00F814DF"/>
    <w:rsid w:val="00F8458E"/>
    <w:rsid w:val="00F84EF6"/>
    <w:rsid w:val="00F868B0"/>
    <w:rsid w:val="00F940D9"/>
    <w:rsid w:val="00F95354"/>
    <w:rsid w:val="00F95B19"/>
    <w:rsid w:val="00F967C1"/>
    <w:rsid w:val="00F97B03"/>
    <w:rsid w:val="00FA3F73"/>
    <w:rsid w:val="00FA4ACD"/>
    <w:rsid w:val="00FA4FFB"/>
    <w:rsid w:val="00FA6281"/>
    <w:rsid w:val="00FA66B7"/>
    <w:rsid w:val="00FB205A"/>
    <w:rsid w:val="00FB3C01"/>
    <w:rsid w:val="00FB48D4"/>
    <w:rsid w:val="00FB4B0C"/>
    <w:rsid w:val="00FB766E"/>
    <w:rsid w:val="00FC0A6D"/>
    <w:rsid w:val="00FC2887"/>
    <w:rsid w:val="00FC50F3"/>
    <w:rsid w:val="00FC7789"/>
    <w:rsid w:val="00FC7B22"/>
    <w:rsid w:val="00FD01BC"/>
    <w:rsid w:val="00FD02F6"/>
    <w:rsid w:val="00FD0598"/>
    <w:rsid w:val="00FD1C0E"/>
    <w:rsid w:val="00FD1E53"/>
    <w:rsid w:val="00FD25A6"/>
    <w:rsid w:val="00FD2A05"/>
    <w:rsid w:val="00FD3B61"/>
    <w:rsid w:val="00FD5AFE"/>
    <w:rsid w:val="00FD7DE2"/>
    <w:rsid w:val="00FE02F7"/>
    <w:rsid w:val="00FE0953"/>
    <w:rsid w:val="00FE10B5"/>
    <w:rsid w:val="00FE31D7"/>
    <w:rsid w:val="00FE4101"/>
    <w:rsid w:val="00FE4B20"/>
    <w:rsid w:val="00FE5DF7"/>
    <w:rsid w:val="00FE5E2E"/>
    <w:rsid w:val="00FE68BE"/>
    <w:rsid w:val="00FE7C11"/>
    <w:rsid w:val="00FF1027"/>
    <w:rsid w:val="00FF2739"/>
    <w:rsid w:val="00FF3E94"/>
    <w:rsid w:val="00FF5F69"/>
    <w:rsid w:val="00FF6193"/>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C8"/>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7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7E9"/>
    <w:rPr>
      <w:rFonts w:ascii="Segoe UI" w:hAnsi="Segoe UI" w:cs="Segoe UI"/>
      <w:sz w:val="18"/>
      <w:szCs w:val="18"/>
    </w:rPr>
  </w:style>
  <w:style w:type="paragraph" w:styleId="Revisin">
    <w:name w:val="Revision"/>
    <w:hidden/>
    <w:uiPriority w:val="99"/>
    <w:semiHidden/>
    <w:rsid w:val="00F00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031">
      <w:bodyDiv w:val="1"/>
      <w:marLeft w:val="0"/>
      <w:marRight w:val="0"/>
      <w:marTop w:val="0"/>
      <w:marBottom w:val="0"/>
      <w:divBdr>
        <w:top w:val="none" w:sz="0" w:space="0" w:color="auto"/>
        <w:left w:val="none" w:sz="0" w:space="0" w:color="auto"/>
        <w:bottom w:val="none" w:sz="0" w:space="0" w:color="auto"/>
        <w:right w:val="none" w:sz="0" w:space="0" w:color="auto"/>
      </w:divBdr>
    </w:div>
    <w:div w:id="135683567">
      <w:bodyDiv w:val="1"/>
      <w:marLeft w:val="0"/>
      <w:marRight w:val="0"/>
      <w:marTop w:val="0"/>
      <w:marBottom w:val="0"/>
      <w:divBdr>
        <w:top w:val="none" w:sz="0" w:space="0" w:color="auto"/>
        <w:left w:val="none" w:sz="0" w:space="0" w:color="auto"/>
        <w:bottom w:val="none" w:sz="0" w:space="0" w:color="auto"/>
        <w:right w:val="none" w:sz="0" w:space="0" w:color="auto"/>
      </w:divBdr>
    </w:div>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79647020">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75273015">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426774874">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072199322">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2375345">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350139085">
      <w:bodyDiv w:val="1"/>
      <w:marLeft w:val="0"/>
      <w:marRight w:val="0"/>
      <w:marTop w:val="0"/>
      <w:marBottom w:val="0"/>
      <w:divBdr>
        <w:top w:val="none" w:sz="0" w:space="0" w:color="auto"/>
        <w:left w:val="none" w:sz="0" w:space="0" w:color="auto"/>
        <w:bottom w:val="none" w:sz="0" w:space="0" w:color="auto"/>
        <w:right w:val="none" w:sz="0" w:space="0" w:color="auto"/>
      </w:divBdr>
    </w:div>
    <w:div w:id="1470441970">
      <w:bodyDiv w:val="1"/>
      <w:marLeft w:val="0"/>
      <w:marRight w:val="0"/>
      <w:marTop w:val="0"/>
      <w:marBottom w:val="0"/>
      <w:divBdr>
        <w:top w:val="none" w:sz="0" w:space="0" w:color="auto"/>
        <w:left w:val="none" w:sz="0" w:space="0" w:color="auto"/>
        <w:bottom w:val="none" w:sz="0" w:space="0" w:color="auto"/>
        <w:right w:val="none" w:sz="0" w:space="0" w:color="auto"/>
      </w:divBdr>
    </w:div>
    <w:div w:id="1640525425">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708409656">
      <w:bodyDiv w:val="1"/>
      <w:marLeft w:val="0"/>
      <w:marRight w:val="0"/>
      <w:marTop w:val="0"/>
      <w:marBottom w:val="0"/>
      <w:divBdr>
        <w:top w:val="none" w:sz="0" w:space="0" w:color="auto"/>
        <w:left w:val="none" w:sz="0" w:space="0" w:color="auto"/>
        <w:bottom w:val="none" w:sz="0" w:space="0" w:color="auto"/>
        <w:right w:val="none" w:sz="0" w:space="0" w:color="auto"/>
      </w:divBdr>
    </w:div>
    <w:div w:id="1747533791">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0797586">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1923952448">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06891149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F476-BE6E-4732-BAC8-A3578EAC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TotalTime>
  <Pages>4</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Diana Carolina Benitez Freyre</cp:lastModifiedBy>
  <cp:revision>2</cp:revision>
  <dcterms:created xsi:type="dcterms:W3CDTF">2025-03-28T16:30:00Z</dcterms:created>
  <dcterms:modified xsi:type="dcterms:W3CDTF">2025-03-28T16:30:00Z</dcterms:modified>
</cp:coreProperties>
</file>