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D273" w14:textId="60A9A2F2" w:rsidR="00E40014" w:rsidRDefault="00EC14E4" w:rsidP="00EC14E4">
      <w:pPr>
        <w:jc w:val="both"/>
      </w:pPr>
      <w:r>
        <w:t xml:space="preserve">A continuación, se modifica la liquidación objetiva teniendo en cuenta los criterios tenidos en cuenta en la sentencia de primera instancia. </w:t>
      </w:r>
    </w:p>
    <w:p w14:paraId="45C05CCB" w14:textId="77777777" w:rsidR="00EC14E4" w:rsidRDefault="00EC14E4" w:rsidP="00EC14E4">
      <w:pPr>
        <w:jc w:val="both"/>
      </w:pPr>
    </w:p>
    <w:p w14:paraId="5F272F03" w14:textId="77777777" w:rsidR="00EC14E4" w:rsidRPr="00EC14E4" w:rsidRDefault="00EC14E4" w:rsidP="00EC14E4">
      <w:pPr>
        <w:jc w:val="both"/>
        <w:rPr>
          <w:b/>
        </w:rPr>
      </w:pPr>
      <w:r w:rsidRPr="00EC14E4">
        <w:rPr>
          <w:b/>
        </w:rPr>
        <w:t>LIQUIDACIÓN OBJETIVA.</w:t>
      </w:r>
    </w:p>
    <w:p w14:paraId="1E196ED8" w14:textId="77777777" w:rsidR="00163B7D" w:rsidRDefault="00163B7D" w:rsidP="00EC14E4">
      <w:pPr>
        <w:jc w:val="both"/>
        <w:rPr>
          <w:bCs/>
        </w:rPr>
      </w:pPr>
      <w:r w:rsidRPr="00EC14E4">
        <w:rPr>
          <w:b/>
          <w:u w:val="single"/>
        </w:rPr>
        <w:t>$</w:t>
      </w:r>
      <w:r>
        <w:rPr>
          <w:b/>
          <w:u w:val="single"/>
        </w:rPr>
        <w:t>54.606.144</w:t>
      </w:r>
      <w:r w:rsidRPr="00EC14E4">
        <w:rPr>
          <w:b/>
          <w:u w:val="single"/>
        </w:rPr>
        <w:t>.</w:t>
      </w:r>
      <w:r w:rsidRPr="00EC14E4">
        <w:rPr>
          <w:bCs/>
        </w:rPr>
        <w:t xml:space="preserve"> </w:t>
      </w:r>
    </w:p>
    <w:p w14:paraId="76A77EAD" w14:textId="166E3CA6" w:rsidR="00EC14E4" w:rsidRPr="00EC14E4" w:rsidRDefault="00EC14E4" w:rsidP="00EC14E4">
      <w:pPr>
        <w:jc w:val="both"/>
        <w:rPr>
          <w:bCs/>
        </w:rPr>
      </w:pPr>
      <w:r w:rsidRPr="00EC14E4">
        <w:rPr>
          <w:bCs/>
        </w:rPr>
        <w:t xml:space="preserve">Se llega a este valor de la siguiente forma: </w:t>
      </w:r>
    </w:p>
    <w:p w14:paraId="12B3B1A1" w14:textId="7D565F14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Daño emergente: </w:t>
      </w:r>
      <w:r>
        <w:rPr>
          <w:bCs/>
        </w:rPr>
        <w:t xml:space="preserve">No se reconoce la suma solicitada, debido a que no se acreditó lo solicitado por la parte actora. </w:t>
      </w:r>
    </w:p>
    <w:p w14:paraId="12B22DDB" w14:textId="5EABEB12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Perjuicios morales: </w:t>
      </w:r>
      <w:r w:rsidRPr="00EC14E4">
        <w:rPr>
          <w:bCs/>
        </w:rPr>
        <w:t>Teniendo en cuenta el dictamen de PCL de un 13,20%;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80 SMLMV; equivalentes, a fecha de este informe, a la suma de $104.000.000. El valor se distribuye de la siguiente manera entre los demandantes: </w:t>
      </w:r>
    </w:p>
    <w:p w14:paraId="5895DF28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Adriana Ramírez Camargo en calidad de víctima directa: 20 SMLMV </w:t>
      </w:r>
    </w:p>
    <w:p w14:paraId="089EEF0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Álvaro Trujillo de la Cadena en calidad de compañero permanente: 20 SMLMV </w:t>
      </w:r>
    </w:p>
    <w:p w14:paraId="5443BB4D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Carolina Trujillo Ramírez en calidad de hija: 20 SMLMV </w:t>
      </w:r>
    </w:p>
    <w:p w14:paraId="45754CD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Mariana Trujillo Ramírez en calidad de hija: 20 SMLMV. </w:t>
      </w:r>
    </w:p>
    <w:p w14:paraId="4010D195" w14:textId="1C3D1AB8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Daño a la salud:</w:t>
      </w:r>
      <w:r w:rsidRPr="00EC14E4">
        <w:rPr>
          <w:bCs/>
        </w:rPr>
        <w:t xml:space="preserve">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20 SMLMV; equivalentes, a fecha de este informe, a la suma de $26.000.000. Esta suma se reconoce en favor de Adriana Ramírez Camargo en calidad de víctima directa </w:t>
      </w:r>
    </w:p>
    <w:p w14:paraId="60450AEE" w14:textId="66435052" w:rsid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Lucro Cesante:</w:t>
      </w:r>
      <w:r w:rsidRPr="00EC14E4">
        <w:rPr>
          <w:bCs/>
        </w:rPr>
        <w:t xml:space="preserve"> </w:t>
      </w:r>
      <w:r>
        <w:rPr>
          <w:bCs/>
        </w:rPr>
        <w:t>Pese a que no se acreditaron los ingresos de la demandante al momento de los hechos, el Juez reconoce el lucro cesante, presumiendo un ingreso de 1 SMLMV, razón por la cual, se reconoció un valor ascendente a $</w:t>
      </w:r>
      <w:r w:rsidRPr="00EC14E4">
        <w:rPr>
          <w:bCs/>
        </w:rPr>
        <w:t>53.859.074.</w:t>
      </w:r>
    </w:p>
    <w:p w14:paraId="65407B58" w14:textId="6AD4FAC3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proofErr w:type="gramStart"/>
      <w:r>
        <w:rPr>
          <w:b/>
        </w:rPr>
        <w:t>Total</w:t>
      </w:r>
      <w:proofErr w:type="gramEnd"/>
      <w:r>
        <w:rPr>
          <w:b/>
        </w:rPr>
        <w:t xml:space="preserve"> del valor de la condena:</w:t>
      </w:r>
      <w:r>
        <w:rPr>
          <w:bCs/>
        </w:rPr>
        <w:t xml:space="preserve"> $183.859.074</w:t>
      </w:r>
    </w:p>
    <w:p w14:paraId="392B4CFE" w14:textId="2CB47FB5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Deducible: </w:t>
      </w:r>
      <w:r w:rsidRPr="00EC14E4">
        <w:rPr>
          <w:bCs/>
        </w:rPr>
        <w:t xml:space="preserve">Se pactó un deducible a cargo del asegurado equivalente a la suma de un 1% de la pérdida – mínimo 1 SMLMV. En este caso se aplicará la reducción en </w:t>
      </w:r>
      <w:r>
        <w:rPr>
          <w:bCs/>
        </w:rPr>
        <w:t>un 1% del valor de la pérdida, equivalente a la suma de $1.838.591</w:t>
      </w:r>
      <w:r w:rsidRPr="00EC14E4">
        <w:rPr>
          <w:bCs/>
        </w:rPr>
        <w:t>; por lo que la contingencia se reduce a $</w:t>
      </w:r>
      <w:r>
        <w:rPr>
          <w:bCs/>
        </w:rPr>
        <w:t>182.020.483</w:t>
      </w:r>
      <w:r w:rsidRPr="00EC14E4">
        <w:rPr>
          <w:bCs/>
        </w:rPr>
        <w:t xml:space="preserve">. </w:t>
      </w:r>
    </w:p>
    <w:p w14:paraId="4D35770D" w14:textId="3A0523B1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Coaseguro: </w:t>
      </w:r>
      <w:r w:rsidRPr="00EC14E4">
        <w:rPr>
          <w:bCs/>
        </w:rPr>
        <w:t xml:space="preserve">El porcentaje de participación de la aseguradora CHUBB es del 30%, por lo que ese porcentaje se aplica al valor final de la contingencia. De esta forma, llegamos al valor de </w:t>
      </w:r>
      <w:r w:rsidRPr="00EC14E4">
        <w:rPr>
          <w:b/>
          <w:u w:val="single"/>
        </w:rPr>
        <w:t>$</w:t>
      </w:r>
      <w:r>
        <w:rPr>
          <w:b/>
          <w:u w:val="single"/>
        </w:rPr>
        <w:t>54.606.144</w:t>
      </w:r>
      <w:r w:rsidRPr="00EC14E4">
        <w:rPr>
          <w:b/>
          <w:u w:val="single"/>
        </w:rPr>
        <w:t>.</w:t>
      </w:r>
      <w:r w:rsidRPr="00EC14E4">
        <w:rPr>
          <w:bCs/>
        </w:rPr>
        <w:t xml:space="preserve"> </w:t>
      </w:r>
    </w:p>
    <w:p w14:paraId="53E22415" w14:textId="77777777" w:rsidR="00EC14E4" w:rsidRDefault="00EC14E4" w:rsidP="00EC14E4">
      <w:pPr>
        <w:jc w:val="both"/>
      </w:pPr>
    </w:p>
    <w:sectPr w:rsidR="00EC1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3169"/>
    <w:multiLevelType w:val="hybridMultilevel"/>
    <w:tmpl w:val="2DFEEFC4"/>
    <w:lvl w:ilvl="0" w:tplc="68422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2A6"/>
    <w:multiLevelType w:val="hybridMultilevel"/>
    <w:tmpl w:val="1EC243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038583">
    <w:abstractNumId w:val="1"/>
  </w:num>
  <w:num w:numId="2" w16cid:durableId="14977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B"/>
    <w:rsid w:val="00163B7D"/>
    <w:rsid w:val="004A53D4"/>
    <w:rsid w:val="004F062B"/>
    <w:rsid w:val="00555313"/>
    <w:rsid w:val="00E40014"/>
    <w:rsid w:val="00EA70D8"/>
    <w:rsid w:val="00E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3A9"/>
  <w15:chartTrackingRefBased/>
  <w15:docId w15:val="{F937B55A-B08B-40EA-A07E-91EEFA1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2024-11-26T20:52:00Z</dcterms:created>
  <dcterms:modified xsi:type="dcterms:W3CDTF">2024-11-26T22:23:00Z</dcterms:modified>
</cp:coreProperties>
</file>