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88BF" w14:textId="77777777" w:rsidR="00AD7C22" w:rsidRDefault="00AD7C22" w:rsidP="00A07CF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O"/>
        </w:rPr>
        <w:t>JUZGADO CINCUENTA Y CINCO CIVIL DEL CIRCUITO DE BOGOTÁ</w:t>
      </w:r>
    </w:p>
    <w:p w14:paraId="457DEA24" w14:textId="77777777" w:rsidR="00AD7C22" w:rsidRDefault="00AD7C22" w:rsidP="00A07CF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lang w:val="es-CO"/>
        </w:rPr>
      </w:pPr>
      <w:r>
        <w:rPr>
          <w:rFonts w:ascii="Calibri" w:hAnsi="Calibri" w:cs="Calibri"/>
          <w:color w:val="000000"/>
          <w:kern w:val="0"/>
          <w:lang w:val="es-CO"/>
        </w:rPr>
        <w:t>Bogotá D.C., nueve (09) de febrero de dos mil veinticuatro (2024)</w:t>
      </w:r>
    </w:p>
    <w:p w14:paraId="5F1B081E" w14:textId="77777777" w:rsidR="00A07CF5" w:rsidRDefault="00A07CF5" w:rsidP="00A07CF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lang w:val="es-CO"/>
        </w:rPr>
      </w:pPr>
    </w:p>
    <w:p w14:paraId="0A8C505B" w14:textId="25203196" w:rsidR="00AD7C22" w:rsidRDefault="00AD7C22" w:rsidP="00A07CF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lang w:val="es-CO"/>
        </w:rPr>
      </w:pPr>
      <w:r>
        <w:rPr>
          <w:rFonts w:ascii="Calibri" w:hAnsi="Calibri" w:cs="Calibri"/>
          <w:color w:val="000000"/>
          <w:kern w:val="0"/>
          <w:lang w:val="es-CO"/>
        </w:rPr>
        <w:t>11001-3103-045-</w:t>
      </w:r>
      <w:r>
        <w:rPr>
          <w:rFonts w:ascii="Calibri-Bold" w:hAnsi="Calibri-Bold" w:cs="Calibri-Bold"/>
          <w:b/>
          <w:bCs/>
          <w:color w:val="000000"/>
          <w:kern w:val="0"/>
          <w:lang w:val="es-CO"/>
        </w:rPr>
        <w:t>2023-00151</w:t>
      </w:r>
      <w:r>
        <w:rPr>
          <w:rFonts w:ascii="Calibri" w:hAnsi="Calibri" w:cs="Calibri"/>
          <w:color w:val="000000"/>
          <w:kern w:val="0"/>
          <w:lang w:val="es-CO"/>
        </w:rPr>
        <w:t>-00</w:t>
      </w:r>
    </w:p>
    <w:p w14:paraId="6CA13DD8" w14:textId="77777777" w:rsidR="00A07CF5" w:rsidRDefault="00A07CF5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lang w:val="es-CO"/>
        </w:rPr>
      </w:pPr>
    </w:p>
    <w:p w14:paraId="0DB64921" w14:textId="77777777" w:rsidR="00A07CF5" w:rsidRDefault="00A07CF5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O"/>
        </w:rPr>
      </w:pPr>
    </w:p>
    <w:p w14:paraId="1B4129B8" w14:textId="41A059E3" w:rsidR="00AD7C22" w:rsidRDefault="00AD7C22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O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El Despacho NO REPONE el numeral 2.5 del auto de 16 de enero de 2024, mediante</w:t>
      </w:r>
      <w:r w:rsidR="00A07CF5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el cual se negó el decreto de los testimonios solicitados por la Sociedad de Cirugía de Bogotá</w:t>
      </w:r>
      <w:r w:rsidR="00A07CF5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- Hospital San José (PDF 035), por cuanto no encuentra de recibo los reparos que dicha</w:t>
      </w:r>
      <w:r w:rsidR="00A07CF5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convocada le formuló a esa decisión (PDF 040).</w:t>
      </w:r>
    </w:p>
    <w:p w14:paraId="402103D6" w14:textId="77777777" w:rsidR="00A07CF5" w:rsidRDefault="00A07CF5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O"/>
        </w:rPr>
      </w:pPr>
    </w:p>
    <w:p w14:paraId="5BCC1BCC" w14:textId="63E2CC04" w:rsidR="00AD7C22" w:rsidRDefault="00AD7C22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O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Es importante insistir en que el decreto de la prueba testimonial solo tiene cabida si</w:t>
      </w:r>
      <w:r w:rsidR="00A07CF5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se satisfacen las exigencias especiales contempladas en el artículo 212 del Código General</w:t>
      </w:r>
      <w:r w:rsidR="00A07CF5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del Proceso, esto es, el nombre del testigo, su domicilio y residencia y la enunciación</w:t>
      </w:r>
      <w:r w:rsidR="00A07CF5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concreta de los hechos sobre los cuales declarará, sin que sea suficiente una exposición</w:t>
      </w:r>
      <w:r w:rsidR="00A07CF5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genérica e indeterminada de los supuestos sobre los cual versa la prueba, sino que se debe</w:t>
      </w:r>
      <w:r w:rsidR="00A07CF5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identificar de manera clara y concreta el objeto de la misma.</w:t>
      </w:r>
    </w:p>
    <w:p w14:paraId="03CE72FA" w14:textId="77777777" w:rsidR="00A07CF5" w:rsidRDefault="00A07CF5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O"/>
        </w:rPr>
      </w:pPr>
    </w:p>
    <w:p w14:paraId="54B8A60F" w14:textId="63C659AB" w:rsidR="00AD7C22" w:rsidRDefault="00AD7C22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O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Sobre el particular, la Corte Suprema de Justicia en un caso muy similar a este, en el</w:t>
      </w:r>
      <w:r w:rsidR="00A07CF5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que halló razonable la denegación de unos testimonios, sostuvo lo siguiente:</w:t>
      </w:r>
    </w:p>
    <w:p w14:paraId="5D5B907A" w14:textId="77777777" w:rsidR="00A07CF5" w:rsidRDefault="00A07CF5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O"/>
        </w:rPr>
      </w:pPr>
    </w:p>
    <w:p w14:paraId="2F226E8F" w14:textId="6EDC628D" w:rsidR="00AD7C22" w:rsidRDefault="00AD7C22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O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“</w:t>
      </w:r>
      <w:r>
        <w:rPr>
          <w:rFonts w:ascii="Calibri-Italic" w:hAnsi="Calibri-Italic" w:cs="Calibri-Italic"/>
          <w:i/>
          <w:iCs/>
          <w:color w:val="000000"/>
          <w:kern w:val="0"/>
          <w:sz w:val="24"/>
          <w:szCs w:val="24"/>
          <w:lang w:val="es-CO"/>
        </w:rPr>
        <w:t>considera esta Sala que, el proveído censurado está arraigado en argumentos que</w:t>
      </w:r>
      <w:r w:rsidR="00A07CF5">
        <w:rPr>
          <w:rFonts w:ascii="Calibri-Italic" w:hAnsi="Calibri-Italic" w:cs="Calibri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-Italic" w:hAnsi="Calibri-Italic" w:cs="Calibri-Italic"/>
          <w:i/>
          <w:iCs/>
          <w:color w:val="000000"/>
          <w:kern w:val="0"/>
          <w:sz w:val="24"/>
          <w:szCs w:val="24"/>
          <w:lang w:val="es-CO"/>
        </w:rPr>
        <w:t>consultaron las reglas mínimas de razonabilidad jurídica y que, sin lugar a dudas,</w:t>
      </w:r>
      <w:r w:rsidR="00A07CF5">
        <w:rPr>
          <w:rFonts w:ascii="Calibri-Italic" w:hAnsi="Calibri-Italic" w:cs="Calibri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-Italic" w:hAnsi="Calibri-Italic" w:cs="Calibri-Italic"/>
          <w:i/>
          <w:iCs/>
          <w:color w:val="000000"/>
          <w:kern w:val="0"/>
          <w:sz w:val="24"/>
          <w:szCs w:val="24"/>
          <w:lang w:val="es-CO"/>
        </w:rPr>
        <w:t>obedecieron a la labor hermenéutica propia del juez, pues, resulta claro que, la</w:t>
      </w:r>
      <w:r w:rsidR="00A07CF5">
        <w:rPr>
          <w:rFonts w:ascii="Calibri-Italic" w:hAnsi="Calibri-Italic" w:cs="Calibri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-Italic" w:hAnsi="Calibri-Italic" w:cs="Calibri-Italic"/>
          <w:i/>
          <w:iCs/>
          <w:color w:val="000000"/>
          <w:kern w:val="0"/>
          <w:sz w:val="24"/>
          <w:szCs w:val="24"/>
          <w:lang w:val="es-CO"/>
        </w:rPr>
        <w:t>Corporación accionada estableció que en el caso puesto a su consideración, resultaba</w:t>
      </w:r>
      <w:r w:rsidR="00A07CF5">
        <w:rPr>
          <w:rFonts w:ascii="Calibri-Italic" w:hAnsi="Calibri-Italic" w:cs="Calibri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-Italic" w:hAnsi="Calibri-Italic" w:cs="Calibri-Italic"/>
          <w:i/>
          <w:iCs/>
          <w:color w:val="000000"/>
          <w:kern w:val="0"/>
          <w:sz w:val="24"/>
          <w:szCs w:val="24"/>
          <w:lang w:val="es-CO"/>
        </w:rPr>
        <w:t>acertada la tesis adoptada por el a quo, consistente en negar las pruebas solicitadas</w:t>
      </w:r>
      <w:r w:rsidR="00A07CF5">
        <w:rPr>
          <w:rFonts w:ascii="Calibri-Italic" w:hAnsi="Calibri-Italic" w:cs="Calibri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-Italic" w:hAnsi="Calibri-Italic" w:cs="Calibri-Italic"/>
          <w:i/>
          <w:iCs/>
          <w:color w:val="000000"/>
          <w:kern w:val="0"/>
          <w:sz w:val="24"/>
          <w:szCs w:val="24"/>
          <w:lang w:val="es-CO"/>
        </w:rPr>
        <w:t xml:space="preserve">por el aquí </w:t>
      </w:r>
      <w:proofErr w:type="spellStart"/>
      <w:r>
        <w:rPr>
          <w:rFonts w:ascii="Calibri-Italic" w:hAnsi="Calibri-Italic" w:cs="Calibri-Italic"/>
          <w:i/>
          <w:iCs/>
          <w:color w:val="000000"/>
          <w:kern w:val="0"/>
          <w:sz w:val="24"/>
          <w:szCs w:val="24"/>
          <w:lang w:val="es-CO"/>
        </w:rPr>
        <w:t>tutelista</w:t>
      </w:r>
      <w:proofErr w:type="spellEnd"/>
      <w:r>
        <w:rPr>
          <w:rFonts w:ascii="Calibri-Italic" w:hAnsi="Calibri-Italic" w:cs="Calibri-Italic"/>
          <w:i/>
          <w:iCs/>
          <w:color w:val="000000"/>
          <w:kern w:val="0"/>
          <w:sz w:val="24"/>
          <w:szCs w:val="24"/>
          <w:lang w:val="es-CO"/>
        </w:rPr>
        <w:t>, demandante principal en el proceso objeto de queja y</w:t>
      </w:r>
      <w:r w:rsidR="00A07CF5">
        <w:rPr>
          <w:rFonts w:ascii="Calibri-Italic" w:hAnsi="Calibri-Italic" w:cs="Calibri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-Italic" w:hAnsi="Calibri-Italic" w:cs="Calibri-Italic"/>
          <w:i/>
          <w:iCs/>
          <w:color w:val="000000"/>
          <w:kern w:val="0"/>
          <w:sz w:val="24"/>
          <w:szCs w:val="24"/>
          <w:lang w:val="es-CO"/>
        </w:rPr>
        <w:t>demandado en reconvención, en tanto que, él, al pedir dichas pruebas, no cumplió</w:t>
      </w:r>
      <w:r w:rsidR="00A07CF5">
        <w:rPr>
          <w:rFonts w:ascii="Calibri-Italic" w:hAnsi="Calibri-Italic" w:cs="Calibri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-Italic" w:hAnsi="Calibri-Italic" w:cs="Calibri-Italic"/>
          <w:i/>
          <w:iCs/>
          <w:color w:val="000000"/>
          <w:kern w:val="0"/>
          <w:sz w:val="24"/>
          <w:szCs w:val="24"/>
          <w:lang w:val="es-CO"/>
        </w:rPr>
        <w:t xml:space="preserve">con lo dispuesto por el legislador en </w:t>
      </w: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  <w:sz w:val="24"/>
          <w:szCs w:val="24"/>
          <w:lang w:val="es-CO"/>
        </w:rPr>
        <w:t>el artículo 212 del Código General de Proceso,</w:t>
      </w:r>
      <w:r w:rsidR="00A07CF5">
        <w:rPr>
          <w:rFonts w:ascii="Calibri-BoldItalic" w:hAnsi="Calibri-BoldItalic" w:cs="Calibri-BoldItalic"/>
          <w:b/>
          <w:bCs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  <w:sz w:val="24"/>
          <w:szCs w:val="24"/>
          <w:lang w:val="es-CO"/>
        </w:rPr>
        <w:t>norma que, impone el deber de especificar de manera concreta los hechos objeto</w:t>
      </w:r>
      <w:r w:rsidR="00A07CF5">
        <w:rPr>
          <w:rFonts w:ascii="Calibri-BoldItalic" w:hAnsi="Calibri-BoldItalic" w:cs="Calibri-BoldItalic"/>
          <w:b/>
          <w:bCs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  <w:sz w:val="24"/>
          <w:szCs w:val="24"/>
          <w:lang w:val="es-CO"/>
        </w:rPr>
        <w:t xml:space="preserve">de la prueba, </w:t>
      </w:r>
      <w:r>
        <w:rPr>
          <w:rFonts w:ascii="Calibri-Italic" w:hAnsi="Calibri-Italic" w:cs="Calibri-Italic"/>
          <w:i/>
          <w:iCs/>
          <w:color w:val="000000"/>
          <w:kern w:val="0"/>
          <w:sz w:val="24"/>
          <w:szCs w:val="24"/>
          <w:lang w:val="es-CO"/>
        </w:rPr>
        <w:t>aspecto que no fue tenido en cuenta por la parte activa, al momento</w:t>
      </w:r>
      <w:r w:rsidR="00A07CF5">
        <w:rPr>
          <w:rFonts w:ascii="Calibri-Italic" w:hAnsi="Calibri-Italic" w:cs="Calibri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-Italic" w:hAnsi="Calibri-Italic" w:cs="Calibri-Italic"/>
          <w:i/>
          <w:iCs/>
          <w:color w:val="000000"/>
          <w:kern w:val="0"/>
          <w:sz w:val="24"/>
          <w:szCs w:val="24"/>
          <w:lang w:val="es-CO"/>
        </w:rPr>
        <w:t>de exponer la finalidad misma de las testimoniales requeridas en el proceso”</w:t>
      </w: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.</w:t>
      </w:r>
    </w:p>
    <w:p w14:paraId="56F834CC" w14:textId="54D4B1A2" w:rsidR="00AD7C22" w:rsidRDefault="00AD7C22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O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(STL5767-2021).</w:t>
      </w:r>
    </w:p>
    <w:p w14:paraId="21CD38FB" w14:textId="77777777" w:rsidR="00A07CF5" w:rsidRDefault="00A07CF5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O"/>
        </w:rPr>
      </w:pPr>
    </w:p>
    <w:p w14:paraId="76872C81" w14:textId="122C77A2" w:rsidR="00AD7C22" w:rsidRDefault="00AD7C22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Cabe resaltar que el anterior precedente jurisprudencial, se fundamentó en el</w:t>
      </w:r>
      <w:r w:rsidR="004D2B25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análisis que el fallador </w:t>
      </w:r>
      <w:r>
        <w:rPr>
          <w:rFonts w:ascii="Calibri-Italic" w:hAnsi="Calibri-Italic" w:cs="Calibri-Italic"/>
          <w:i/>
          <w:iCs/>
          <w:color w:val="000000"/>
          <w:kern w:val="0"/>
          <w:sz w:val="24"/>
          <w:szCs w:val="24"/>
          <w:lang w:val="es-CO"/>
        </w:rPr>
        <w:t xml:space="preserve">ad </w:t>
      </w:r>
      <w:proofErr w:type="spellStart"/>
      <w:r>
        <w:rPr>
          <w:rFonts w:ascii="Calibri-Italic" w:hAnsi="Calibri-Italic" w:cs="Calibri-Italic"/>
          <w:i/>
          <w:iCs/>
          <w:color w:val="000000"/>
          <w:kern w:val="0"/>
          <w:sz w:val="24"/>
          <w:szCs w:val="24"/>
          <w:lang w:val="es-CO"/>
        </w:rPr>
        <w:t>quem</w:t>
      </w:r>
      <w:proofErr w:type="spellEnd"/>
      <w:r>
        <w:rPr>
          <w:rFonts w:ascii="Calibri-Italic" w:hAnsi="Calibri-Italic" w:cs="Calibri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había hecho frente a la prueba testimonial, pues este último</w:t>
      </w:r>
      <w:r w:rsidR="004D2B25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indicó que, “si bien anteriormente se admitía que los solicitantes enunciaran como objeto</w:t>
      </w:r>
      <w:r w:rsidR="004D2B25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de la prueba circunstancias abstractas, como por ejemplo “la demostración de los hechos</w:t>
      </w:r>
      <w:r w:rsidR="004D2B25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enunciados en la demanda´” o en la contestación, “por considerarse un relato sucinto de la</w:t>
      </w:r>
      <w:r w:rsidR="004D2B25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misma; a la luz del Código General del Proceso dicha tesis ya no es aplicable, en la medida</w:t>
      </w:r>
      <w:r w:rsidR="004D2B25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que </w:t>
      </w: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O"/>
        </w:rPr>
        <w:t>el análisis de la pertinencia de los testimonios implica un estudio riguroso, cuya base</w:t>
      </w:r>
      <w:r w:rsidR="004D2B25"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O"/>
        </w:rPr>
        <w:t>es precisamente la enunciación concreta del objeto de la prueba por parte del interesado.</w:t>
      </w:r>
    </w:p>
    <w:p w14:paraId="59EF4094" w14:textId="77777777" w:rsidR="004D2B25" w:rsidRDefault="004D2B25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O"/>
        </w:rPr>
      </w:pPr>
    </w:p>
    <w:p w14:paraId="3AC337AA" w14:textId="4EF64CDB" w:rsidR="00AD7C22" w:rsidRDefault="00AD7C22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O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(…) emerge con claridad que la enunciación efectuada por la parte demandante principal y</w:t>
      </w:r>
    </w:p>
    <w:p w14:paraId="2B0FE24E" w14:textId="7DD19326" w:rsidR="00AD7C22" w:rsidRDefault="00AD7C22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O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lastRenderedPageBreak/>
        <w:t>demandada en reconvención, respecto del objeto de las pruebas testimoniales solicitadas,</w:t>
      </w:r>
      <w:r w:rsidR="004D2B25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no cumple el requisito de concreción exigido por el artículo 212 del Código General del</w:t>
      </w:r>
      <w:r w:rsidR="004D2B25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Proceso, todo lo contrario, su exposición fue genérica e indeterminada, razón por la cual era</w:t>
      </w:r>
      <w:r w:rsidR="004D2B25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del caso negar su decreto, como en efecto lo hizo la juez de primera instancia”.</w:t>
      </w:r>
    </w:p>
    <w:p w14:paraId="65350C0B" w14:textId="77777777" w:rsidR="004D2B25" w:rsidRDefault="004D2B25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O"/>
        </w:rPr>
      </w:pPr>
    </w:p>
    <w:p w14:paraId="419927D5" w14:textId="4815843E" w:rsidR="00AD7C22" w:rsidRDefault="00AD7C22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O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Como esa carga enunciativa no fue superada por la solicitante de la prueba, y en</w:t>
      </w:r>
      <w:r w:rsidR="004D2B25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virtud del principio de preclusión que informa al procedimiento civil no es factible tener en</w:t>
      </w:r>
      <w:r w:rsidR="004D2B25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cuenta las sobrevinientes explicaciones que incluyó en su memorial de impugnación, no</w:t>
      </w:r>
      <w:r w:rsidR="004D2B25"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queda camino distinto al de ratificar la cuestionada negativa.</w:t>
      </w:r>
    </w:p>
    <w:p w14:paraId="314F8B0C" w14:textId="77777777" w:rsidR="004D2B25" w:rsidRDefault="004D2B25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O"/>
        </w:rPr>
      </w:pPr>
    </w:p>
    <w:p w14:paraId="2B9A0008" w14:textId="77777777" w:rsidR="00AD7C22" w:rsidRDefault="00AD7C22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O"/>
        </w:rPr>
        <w:t>NOTIFÍQUESE Y CÚMPLASE.</w:t>
      </w:r>
    </w:p>
    <w:p w14:paraId="3FD38195" w14:textId="77777777" w:rsidR="004D2B25" w:rsidRDefault="004D2B25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O"/>
        </w:rPr>
      </w:pPr>
    </w:p>
    <w:p w14:paraId="4DFFEABA" w14:textId="539615EA" w:rsidR="00AD7C22" w:rsidRDefault="00AD7C22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O"/>
        </w:rPr>
        <w:t>SEBASTIÁN HERRERA SÁNCHEZ</w:t>
      </w:r>
    </w:p>
    <w:p w14:paraId="6DDCC7C5" w14:textId="77777777" w:rsidR="00AD7C22" w:rsidRDefault="00AD7C22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O"/>
        </w:rPr>
        <w:t>JUEZ</w:t>
      </w:r>
    </w:p>
    <w:p w14:paraId="3164E43C" w14:textId="77777777" w:rsidR="004D2B25" w:rsidRDefault="004D2B25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O"/>
        </w:rPr>
      </w:pPr>
    </w:p>
    <w:p w14:paraId="49E8C77A" w14:textId="301F0739" w:rsidR="00AD7C22" w:rsidRDefault="00AD7C22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O"/>
        </w:rPr>
        <w:t>(2)</w:t>
      </w:r>
    </w:p>
    <w:p w14:paraId="0239775B" w14:textId="77777777" w:rsidR="00AD7C22" w:rsidRDefault="00AD7C22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10"/>
          <w:szCs w:val="10"/>
          <w:lang w:val="es-CO"/>
        </w:rPr>
      </w:pPr>
      <w:r>
        <w:rPr>
          <w:rFonts w:ascii="Calibri" w:hAnsi="Calibri" w:cs="Calibri"/>
          <w:color w:val="000000"/>
          <w:kern w:val="0"/>
          <w:sz w:val="10"/>
          <w:szCs w:val="10"/>
          <w:lang w:val="es-CO"/>
        </w:rPr>
        <w:t>MC</w:t>
      </w:r>
    </w:p>
    <w:p w14:paraId="0CDA884F" w14:textId="77777777" w:rsidR="004D2B25" w:rsidRDefault="004D2B25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D0D0D"/>
          <w:kern w:val="0"/>
          <w:sz w:val="16"/>
          <w:szCs w:val="16"/>
          <w:lang w:val="es-CO"/>
        </w:rPr>
      </w:pPr>
    </w:p>
    <w:p w14:paraId="71A47DFA" w14:textId="06949310" w:rsidR="00AD7C22" w:rsidRDefault="00AD7C22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D0D0D"/>
          <w:kern w:val="0"/>
          <w:sz w:val="16"/>
          <w:szCs w:val="16"/>
          <w:lang w:val="es-CO"/>
        </w:rPr>
      </w:pPr>
      <w:r>
        <w:rPr>
          <w:rFonts w:ascii="Calibri" w:hAnsi="Calibri" w:cs="Calibri"/>
          <w:color w:val="0D0D0D"/>
          <w:kern w:val="0"/>
          <w:sz w:val="16"/>
          <w:szCs w:val="16"/>
          <w:lang w:val="es-CO"/>
        </w:rPr>
        <w:t xml:space="preserve">DECISIÓN NOTIFICADA EN </w:t>
      </w:r>
      <w:r>
        <w:rPr>
          <w:rFonts w:ascii="Calibri-Bold" w:hAnsi="Calibri-Bold" w:cs="Calibri-Bold"/>
          <w:b/>
          <w:bCs/>
          <w:color w:val="0D0D0D"/>
          <w:kern w:val="0"/>
          <w:sz w:val="16"/>
          <w:szCs w:val="16"/>
          <w:lang w:val="es-CO"/>
        </w:rPr>
        <w:t>ESTADO NO 12</w:t>
      </w:r>
    </w:p>
    <w:p w14:paraId="4E81C832" w14:textId="77777777" w:rsidR="00AD7C22" w:rsidRDefault="00AD7C22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D0D0D"/>
          <w:kern w:val="0"/>
          <w:sz w:val="16"/>
          <w:szCs w:val="16"/>
          <w:lang w:val="es-CO"/>
        </w:rPr>
      </w:pPr>
      <w:r>
        <w:rPr>
          <w:rFonts w:ascii="Calibri" w:hAnsi="Calibri" w:cs="Calibri"/>
          <w:color w:val="0D0D0D"/>
          <w:kern w:val="0"/>
          <w:sz w:val="16"/>
          <w:szCs w:val="16"/>
          <w:lang w:val="es-CO"/>
        </w:rPr>
        <w:t xml:space="preserve">FIJADO EL </w:t>
      </w:r>
      <w:r>
        <w:rPr>
          <w:rFonts w:ascii="Calibri-Bold" w:hAnsi="Calibri-Bold" w:cs="Calibri-Bold"/>
          <w:b/>
          <w:bCs/>
          <w:color w:val="0D0D0D"/>
          <w:kern w:val="0"/>
          <w:sz w:val="16"/>
          <w:szCs w:val="16"/>
          <w:lang w:val="es-CO"/>
        </w:rPr>
        <w:t>12 DE FEBRERO DE 2024</w:t>
      </w:r>
    </w:p>
    <w:p w14:paraId="63EA17FA" w14:textId="77777777" w:rsidR="00AD7C22" w:rsidRDefault="00AD7C22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Firmado Por:</w:t>
      </w:r>
    </w:p>
    <w:p w14:paraId="26A6CEA7" w14:textId="77777777" w:rsidR="00AD7C22" w:rsidRDefault="00AD7C22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Sebastian Herrera Sanchez</w:t>
      </w:r>
    </w:p>
    <w:p w14:paraId="6852A7AB" w14:textId="77777777" w:rsidR="00AD7C22" w:rsidRDefault="00AD7C22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Juez</w:t>
      </w:r>
    </w:p>
    <w:p w14:paraId="45F74481" w14:textId="77777777" w:rsidR="00AD7C22" w:rsidRDefault="00AD7C22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Juzgado De Circuito</w:t>
      </w:r>
    </w:p>
    <w:p w14:paraId="3A0BEC98" w14:textId="77777777" w:rsidR="00AD7C22" w:rsidRDefault="00AD7C22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Civil 055</w:t>
      </w:r>
    </w:p>
    <w:p w14:paraId="768053FD" w14:textId="77777777" w:rsidR="00AD7C22" w:rsidRDefault="00AD7C22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Bogotá, D.C. - Bogotá D.C.,</w:t>
      </w:r>
    </w:p>
    <w:p w14:paraId="342309C5" w14:textId="77777777" w:rsidR="00AD7C22" w:rsidRDefault="00AD7C22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Este documento fue generado con firma electrónica y cuenta con plena validez jurídica,</w:t>
      </w:r>
    </w:p>
    <w:p w14:paraId="3F3AA3F5" w14:textId="77777777" w:rsidR="00AD7C22" w:rsidRDefault="00AD7C22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conforme a lo dispuesto en la Ley 527/99 y el decreto reglamentario 2364/12</w:t>
      </w:r>
    </w:p>
    <w:p w14:paraId="47B0BC3B" w14:textId="77777777" w:rsidR="00AD7C22" w:rsidRDefault="00AD7C22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Código de verificación: 412647aa40996b2167acebaa48b11f811d937e8ffc9c008f5949bdfd4c962fe7</w:t>
      </w:r>
    </w:p>
    <w:p w14:paraId="6231EF2F" w14:textId="77777777" w:rsidR="00AD7C22" w:rsidRDefault="00AD7C22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Documento generado en 08/02/2024 12:36:14 PM</w:t>
      </w:r>
    </w:p>
    <w:p w14:paraId="30B1D06B" w14:textId="77777777" w:rsidR="00AD7C22" w:rsidRDefault="00AD7C22" w:rsidP="00A07C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Descargue el archivo y valide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éste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documento electrónico en la siguiente URL:</w:t>
      </w:r>
    </w:p>
    <w:p w14:paraId="6EA32A42" w14:textId="30955364" w:rsidR="00B9243D" w:rsidRDefault="00AD7C22" w:rsidP="00A07CF5">
      <w:pPr>
        <w:jc w:val="both"/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22"/>
    <w:rsid w:val="004D2B25"/>
    <w:rsid w:val="00737460"/>
    <w:rsid w:val="00A07CF5"/>
    <w:rsid w:val="00AD7C22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FCD5"/>
  <w15:chartTrackingRefBased/>
  <w15:docId w15:val="{D2AED543-6DF1-4078-8C18-6E75759F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2024-02-12T19:45:00Z</dcterms:created>
  <dcterms:modified xsi:type="dcterms:W3CDTF">2024-02-12T19:48:00Z</dcterms:modified>
</cp:coreProperties>
</file>