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72BB4327" w:rsidR="00A06D0B" w:rsidRPr="00C61DA9" w:rsidRDefault="00F8204F" w:rsidP="00D5455D">
            <w:pPr>
              <w:spacing w:after="0" w:line="267" w:lineRule="exact"/>
              <w:ind w:right="-20"/>
              <w:rPr>
                <w:rFonts w:eastAsia="Calibri" w:cstheme="minorHAnsi"/>
              </w:rPr>
            </w:pPr>
            <w:r w:rsidRPr="00C61DA9">
              <w:rPr>
                <w:rFonts w:eastAsia="Calibri" w:cstheme="minorHAnsi"/>
              </w:rPr>
              <w:t>252877</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3EDFADC3" w:rsidR="00A06D0B" w:rsidRPr="00C61DA9" w:rsidRDefault="00F8204F" w:rsidP="005212FF">
            <w:pPr>
              <w:spacing w:after="0" w:line="264" w:lineRule="exact"/>
              <w:ind w:left="59" w:right="-20"/>
              <w:rPr>
                <w:rFonts w:eastAsia="Calibri" w:cstheme="minorHAnsi"/>
              </w:rPr>
            </w:pPr>
            <w:r w:rsidRPr="00C61DA9">
              <w:rPr>
                <w:rFonts w:eastAsia="Calibri" w:cstheme="minorHAnsi"/>
              </w:rPr>
              <w:t>76111333300220210008700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2928B69D" w:rsidR="00A06D0B" w:rsidRPr="00C61DA9" w:rsidRDefault="00F8204F">
            <w:pPr>
              <w:spacing w:after="0" w:line="264" w:lineRule="exact"/>
              <w:ind w:left="59" w:right="-20"/>
              <w:rPr>
                <w:rFonts w:eastAsia="Calibri" w:cstheme="minorHAnsi"/>
              </w:rPr>
            </w:pPr>
            <w:r w:rsidRPr="00C61DA9">
              <w:rPr>
                <w:rFonts w:eastAsia="Calibri" w:cstheme="minorHAnsi"/>
              </w:rPr>
              <w:t>JUZGADO 2 ADMINISTRATIVO DEL CIRCUITO DE BUGA</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Pr="00C61DA9" w:rsidRDefault="00FC4095">
            <w:pPr>
              <w:spacing w:after="0" w:line="267" w:lineRule="exact"/>
              <w:ind w:left="59" w:right="-20"/>
              <w:rPr>
                <w:rFonts w:eastAsia="Calibri" w:cstheme="minorHAnsi"/>
              </w:rPr>
            </w:pPr>
            <w:r w:rsidRPr="00C61DA9">
              <w:rPr>
                <w:rFonts w:eastAsia="Calibri" w:cstheme="minorHAns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46514364" w:rsidR="007E3E69" w:rsidRPr="00C61DA9" w:rsidRDefault="00F8204F" w:rsidP="0094465B">
            <w:pPr>
              <w:spacing w:after="0" w:line="264" w:lineRule="exact"/>
              <w:ind w:right="-20"/>
              <w:jc w:val="both"/>
              <w:rPr>
                <w:rFonts w:eastAsia="Calibri" w:cstheme="minorHAnsi"/>
                <w:lang w:val="es-CO"/>
              </w:rPr>
            </w:pPr>
            <w:r w:rsidRPr="00C61DA9">
              <w:rPr>
                <w:rFonts w:eastAsia="Calibri" w:cstheme="minorHAnsi"/>
                <w:lang w:val="es-CO"/>
              </w:rPr>
              <w:t>BEATRIZ EUGENIA CASTAÑO, MARÍA SOFÍA CASTAÑO, DEIVI FABIÁN TABORDA CASTAÑO, IVONNE MARITZA VALLEJO DELGADO, JHON EDGAR HRTADO CASTAÑO, BRAHIAN EVELIO OSPINA CASTAÑO, JEYSON OSPINA CASTAÑO, CHRISTIAN ADRIÁN OSPINA CASTAÑO, CÉSAR AUGUSTO CASTAÑO, SAMANTHA TABORDA VALEJO Y LUCIANA HURTADO VÁSQUEZ.</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3E02AEDA" w:rsidR="007E3E69" w:rsidRPr="00C61DA9" w:rsidRDefault="00F8204F" w:rsidP="00E60A7A">
            <w:pPr>
              <w:spacing w:after="0" w:line="264" w:lineRule="exact"/>
              <w:ind w:right="-20"/>
              <w:jc w:val="both"/>
              <w:rPr>
                <w:rFonts w:eastAsia="Calibri" w:cstheme="minorHAnsi"/>
                <w:lang w:val="es-CO"/>
              </w:rPr>
            </w:pPr>
            <w:r w:rsidRPr="00C61DA9">
              <w:rPr>
                <w:rFonts w:eastAsia="Calibri" w:cstheme="minorHAnsi"/>
                <w:lang w:val="es-CO"/>
              </w:rPr>
              <w:t>SUPERINTENDENCIA DE NOTARIADO Y REGISTRO, CAMILO BUSTAMANTE ÁLVAREZ (NOTARIO TERCERO DE TULUÁ)</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C61DA9" w:rsidRDefault="007E3E69" w:rsidP="007E3E69">
            <w:pPr>
              <w:spacing w:after="0" w:line="267" w:lineRule="exact"/>
              <w:ind w:right="-20"/>
              <w:rPr>
                <w:rFonts w:eastAsia="Calibri" w:cstheme="minorHAnsi"/>
                <w:lang w:val="es-CO"/>
              </w:rPr>
            </w:pPr>
            <w:r w:rsidRPr="00C61DA9">
              <w:rPr>
                <w:rFonts w:eastAsia="Calibri" w:cstheme="minorHAnsi"/>
                <w:lang w:val="es-CO"/>
              </w:rPr>
              <w:t>LLAMADA EN GARANTIA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C61DA9" w:rsidRDefault="007E3E69" w:rsidP="007E3E69">
            <w:pPr>
              <w:spacing w:after="0" w:line="264" w:lineRule="exact"/>
              <w:ind w:left="59" w:right="-20"/>
              <w:rPr>
                <w:rFonts w:eastAsia="Calibri" w:cstheme="minorHAnsi"/>
                <w:spacing w:val="1"/>
                <w:position w:val="1"/>
              </w:rPr>
            </w:pPr>
            <w:r w:rsidRPr="00C61DA9">
              <w:rPr>
                <w:rFonts w:eastAsia="Calibri" w:cstheme="minorHAns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BD9D048" w:rsidR="007E3E69" w:rsidRPr="00C61DA9" w:rsidRDefault="00FA28F3" w:rsidP="007E3E69">
            <w:pPr>
              <w:spacing w:after="0" w:line="264" w:lineRule="exact"/>
              <w:ind w:left="59" w:right="-20"/>
              <w:rPr>
                <w:rFonts w:eastAsia="Calibri" w:cstheme="minorHAnsi"/>
              </w:rPr>
            </w:pPr>
            <w:r w:rsidRPr="00C61DA9">
              <w:rPr>
                <w:rFonts w:eastAsia="Calibri" w:cstheme="minorHAnsi"/>
              </w:rPr>
              <w:t>2</w:t>
            </w:r>
            <w:r w:rsidR="00F8204F" w:rsidRPr="00C61DA9">
              <w:rPr>
                <w:rFonts w:eastAsia="Calibri" w:cstheme="minorHAnsi"/>
              </w:rPr>
              <w:t>6/07/2021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6136DDF" w:rsidR="00796B62" w:rsidRPr="00C61DA9" w:rsidRDefault="00BB6636" w:rsidP="00BB6636">
            <w:pPr>
              <w:spacing w:after="0" w:line="264" w:lineRule="exact"/>
              <w:ind w:right="-20"/>
              <w:rPr>
                <w:rFonts w:eastAsia="Calibri" w:cstheme="minorHAnsi"/>
                <w:lang w:val="es-CO"/>
              </w:rPr>
            </w:pPr>
            <w:r w:rsidRPr="00C61DA9">
              <w:rPr>
                <w:rFonts w:eastAsia="Calibri" w:cstheme="minorHAnsi"/>
                <w:lang w:val="es-CO"/>
              </w:rPr>
              <w:t>11/</w:t>
            </w:r>
            <w:r w:rsidR="00F8204F" w:rsidRPr="00C61DA9">
              <w:rPr>
                <w:rFonts w:eastAsia="Calibri" w:cstheme="minorHAnsi"/>
                <w:lang w:val="es-CO"/>
              </w:rPr>
              <w:t>01/2022</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3CC8C047" w:rsidR="007E3E69" w:rsidRPr="00C61DA9" w:rsidRDefault="00F8204F" w:rsidP="007E3E69">
            <w:pPr>
              <w:spacing w:after="0" w:line="264" w:lineRule="exact"/>
              <w:ind w:left="59" w:right="-20"/>
              <w:rPr>
                <w:rFonts w:eastAsia="Calibri" w:cstheme="minorHAnsi"/>
                <w:lang w:val="es-CO"/>
              </w:rPr>
            </w:pPr>
            <w:r w:rsidRPr="00C61DA9">
              <w:rPr>
                <w:rFonts w:eastAsia="Calibri" w:cstheme="minorHAnsi"/>
                <w:lang w:val="es-CO"/>
              </w:rPr>
              <w:t>30/08/2022</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34E65D63" w:rsidR="007E3E69" w:rsidRPr="00C61DA9" w:rsidRDefault="00F8204F" w:rsidP="007E3E69">
            <w:pPr>
              <w:spacing w:after="0" w:line="267" w:lineRule="exact"/>
              <w:ind w:left="59" w:right="-20"/>
              <w:rPr>
                <w:rFonts w:eastAsia="Calibri" w:cstheme="minorHAnsi"/>
                <w:lang w:val="es-CO"/>
              </w:rPr>
            </w:pPr>
            <w:r w:rsidRPr="00C61DA9">
              <w:rPr>
                <w:rFonts w:eastAsia="Calibri" w:cstheme="minorHAnsi"/>
                <w:lang w:val="es-CO"/>
              </w:rPr>
              <w:t>15/03/2019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58E8E0E8" w:rsidR="007E3E69" w:rsidRPr="00C61DA9" w:rsidRDefault="007E3E69" w:rsidP="007E3E69">
            <w:pPr>
              <w:spacing w:after="0" w:line="267" w:lineRule="exact"/>
              <w:ind w:right="-20"/>
              <w:rPr>
                <w:rFonts w:eastAsia="Calibri" w:cstheme="minorHAnsi"/>
              </w:rPr>
            </w:pPr>
            <w:r w:rsidRPr="00C61DA9">
              <w:rPr>
                <w:rFonts w:eastAsia="Calibri" w:cstheme="minorHAnsi"/>
              </w:rPr>
              <w:t xml:space="preserve"> </w:t>
            </w:r>
            <w:r w:rsidR="00F8204F" w:rsidRPr="00C61DA9">
              <w:rPr>
                <w:rFonts w:eastAsia="Calibri" w:cstheme="minorHAnsi"/>
              </w:rPr>
              <w:t>15/03/2019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6428E1E4" w14:textId="77777777" w:rsidR="00F8204F" w:rsidRPr="00C61DA9" w:rsidRDefault="00F8204F" w:rsidP="00F8204F">
            <w:pPr>
              <w:pStyle w:val="Default"/>
              <w:jc w:val="both"/>
              <w:rPr>
                <w:rFonts w:asciiTheme="minorHAnsi" w:eastAsia="Calibri" w:hAnsiTheme="minorHAnsi" w:cstheme="minorHAnsi"/>
                <w:sz w:val="22"/>
                <w:szCs w:val="22"/>
              </w:rPr>
            </w:pPr>
            <w:r w:rsidRPr="00C61DA9">
              <w:rPr>
                <w:rFonts w:asciiTheme="minorHAnsi" w:eastAsia="Calibri" w:hAnsiTheme="minorHAnsi" w:cstheme="minorHAnsi"/>
                <w:sz w:val="22"/>
                <w:szCs w:val="22"/>
              </w:rPr>
              <w:t>De acuerdo a los hechos de la demanda, el día 15 de marzo del 2019, se celebró un contrato entre la señora Beatriz Eugenia Castaño, como compradora y el señor “Juan David López García”, en calidad de vendedor, promesa de compraventa sobre el lote de terreno identificado con matrícula inmobiliaria 384-41745, ubicado en la Manzana 1 # 29 de la Urbanización El Príncipe II, en la Calle 42A Nro. 25-25, con número catastral 01-01-0722-0029-000 y de un área de 135,52 mts², contrato el cual ascendió a la suma de SETENTA MILLONES DE PESOS M/CTE ($70.000.000), y que fue FIRMADO Y AUTENTICADO BIOMÉTRICAMENTE en la Notaria Tercera de Tuluá-Valle.</w:t>
            </w:r>
          </w:p>
          <w:p w14:paraId="0F6ED8AC" w14:textId="77777777" w:rsidR="00F8204F" w:rsidRPr="00C61DA9" w:rsidRDefault="00F8204F" w:rsidP="00F8204F">
            <w:pPr>
              <w:pStyle w:val="Default"/>
              <w:jc w:val="both"/>
              <w:rPr>
                <w:rFonts w:asciiTheme="minorHAnsi" w:eastAsia="Calibri" w:hAnsiTheme="minorHAnsi" w:cstheme="minorHAnsi"/>
                <w:sz w:val="22"/>
                <w:szCs w:val="22"/>
              </w:rPr>
            </w:pPr>
          </w:p>
          <w:p w14:paraId="2A7B0717" w14:textId="77777777" w:rsidR="00F8204F" w:rsidRPr="00C61DA9" w:rsidRDefault="00F8204F" w:rsidP="00F8204F">
            <w:pPr>
              <w:pStyle w:val="Default"/>
              <w:jc w:val="both"/>
              <w:rPr>
                <w:rFonts w:asciiTheme="minorHAnsi" w:eastAsia="Calibri" w:hAnsiTheme="minorHAnsi" w:cstheme="minorHAnsi"/>
                <w:sz w:val="22"/>
                <w:szCs w:val="22"/>
              </w:rPr>
            </w:pPr>
            <w:r w:rsidRPr="00C61DA9">
              <w:rPr>
                <w:rFonts w:asciiTheme="minorHAnsi" w:eastAsia="Calibri" w:hAnsiTheme="minorHAnsi" w:cstheme="minorHAnsi"/>
                <w:sz w:val="22"/>
                <w:szCs w:val="22"/>
              </w:rPr>
              <w:t xml:space="preserve">Ese mismo día, 15 de marzo del 2019, siendo las 4:15 Pm, tanto la señora Beatriz Eugenia Castaño, como el señor “Juan David López García”,  asistieron nuevamente a la Notaria Tercera de Tuluá-Valle, a </w:t>
            </w:r>
            <w:r w:rsidRPr="00C61DA9">
              <w:rPr>
                <w:rFonts w:asciiTheme="minorHAnsi" w:eastAsia="Calibri" w:hAnsiTheme="minorHAnsi" w:cstheme="minorHAnsi"/>
                <w:sz w:val="22"/>
                <w:szCs w:val="22"/>
              </w:rPr>
              <w:lastRenderedPageBreak/>
              <w:t>materializar el contrato de promesa de compraventa, motivo por el cual, dicha notaria expidió la ESCRITURA PÚBLICA 701, por la cual se perfecciona la compraventa del mencionado lote, acto notarial en el cual también se registran los datos biométricos de huella digital, firma y fotografía, DANDO FE PÚBLICA DE LA IDENTIDAD PLENA DE QUIENES SUSCRIBIERON LOS CONTRATOS, la cual fue avalada y certificada por la notaría Bertha Elena Henao Suarez, encargada por el notario en propiedad, el Dr. Camilo Bustamante Álvarez.</w:t>
            </w:r>
          </w:p>
          <w:p w14:paraId="4CCBD792" w14:textId="77777777" w:rsidR="00F8204F" w:rsidRPr="00C61DA9" w:rsidRDefault="00F8204F" w:rsidP="00F8204F">
            <w:pPr>
              <w:pStyle w:val="Default"/>
              <w:jc w:val="both"/>
              <w:rPr>
                <w:rFonts w:asciiTheme="minorHAnsi" w:eastAsia="Calibri" w:hAnsiTheme="minorHAnsi" w:cstheme="minorHAnsi"/>
                <w:sz w:val="22"/>
                <w:szCs w:val="22"/>
              </w:rPr>
            </w:pPr>
          </w:p>
          <w:p w14:paraId="4319CA30" w14:textId="77777777" w:rsidR="00F8204F" w:rsidRPr="00C61DA9" w:rsidRDefault="00F8204F" w:rsidP="00F8204F">
            <w:pPr>
              <w:pStyle w:val="Default"/>
              <w:jc w:val="both"/>
              <w:rPr>
                <w:rFonts w:asciiTheme="minorHAnsi" w:eastAsia="Calibri" w:hAnsiTheme="minorHAnsi" w:cstheme="minorHAnsi"/>
                <w:sz w:val="22"/>
                <w:szCs w:val="22"/>
              </w:rPr>
            </w:pPr>
            <w:r w:rsidRPr="00C61DA9">
              <w:rPr>
                <w:rFonts w:asciiTheme="minorHAnsi" w:eastAsia="Calibri" w:hAnsiTheme="minorHAnsi" w:cstheme="minorHAnsi"/>
                <w:sz w:val="22"/>
                <w:szCs w:val="22"/>
              </w:rPr>
              <w:t>El día 26 de marzo del 2019, la Oficina de Registro de Instrumentos Públicos de Tuluá-Valle, mediante la anotación número 012, inscribe acto de compraventa en nombre de la señora Beatriz Eugenia Castaño, como nueva propietaria del lote de terreno, inscripción que se hace con fundamento a la Escritura 701 del 15 de marzo del 2019, protocolizada en la Notaria Tercera de Tuluá-Valle</w:t>
            </w:r>
          </w:p>
          <w:p w14:paraId="4F6E7E96" w14:textId="77777777" w:rsidR="00F8204F" w:rsidRPr="00C61DA9" w:rsidRDefault="00F8204F" w:rsidP="00F8204F">
            <w:pPr>
              <w:pStyle w:val="Default"/>
              <w:jc w:val="both"/>
              <w:rPr>
                <w:rFonts w:asciiTheme="minorHAnsi" w:eastAsia="Calibri" w:hAnsiTheme="minorHAnsi" w:cstheme="minorHAnsi"/>
                <w:sz w:val="22"/>
                <w:szCs w:val="22"/>
              </w:rPr>
            </w:pPr>
          </w:p>
          <w:p w14:paraId="5CFB1097" w14:textId="77777777" w:rsidR="00F8204F" w:rsidRPr="00C61DA9" w:rsidRDefault="00F8204F" w:rsidP="00F8204F">
            <w:pPr>
              <w:pStyle w:val="Default"/>
              <w:jc w:val="both"/>
              <w:rPr>
                <w:rFonts w:asciiTheme="minorHAnsi" w:eastAsia="Calibri" w:hAnsiTheme="minorHAnsi" w:cstheme="minorHAnsi"/>
                <w:sz w:val="22"/>
                <w:szCs w:val="22"/>
              </w:rPr>
            </w:pPr>
            <w:r w:rsidRPr="00C61DA9">
              <w:rPr>
                <w:rFonts w:asciiTheme="minorHAnsi" w:eastAsia="Calibri" w:hAnsiTheme="minorHAnsi" w:cstheme="minorHAnsi"/>
                <w:sz w:val="22"/>
                <w:szCs w:val="22"/>
              </w:rPr>
              <w:t>El día 4 de junio del 2019, el señor Jesús David López García (persona diferente, con distintos rasgos biofísicos al que figuró como promitente vendedor en la Escritura Pública 701), instaura ante la Fiscalía General de la Nación, DENUNCIA POR FALSEDAD EN DOCUMENTO PÚBLICO, ya que INEXPLICABLEMENTE, aparecía registrada una compraventa sobre su bien inmueble y que era avalada por la Notaria Tercera de Tuluá- Valle, LA CUAL NUNCA HABÍA EFECTUADO, ni mucho menos materializado con la señora Beatriz Eugenia Castaño.</w:t>
            </w:r>
          </w:p>
          <w:p w14:paraId="26B8515D" w14:textId="77777777" w:rsidR="00F8204F" w:rsidRPr="00C61DA9" w:rsidRDefault="00F8204F" w:rsidP="00F8204F">
            <w:pPr>
              <w:pStyle w:val="Default"/>
              <w:jc w:val="both"/>
              <w:rPr>
                <w:rFonts w:asciiTheme="minorHAnsi" w:eastAsia="Calibri" w:hAnsiTheme="minorHAnsi" w:cstheme="minorHAnsi"/>
                <w:sz w:val="22"/>
                <w:szCs w:val="22"/>
              </w:rPr>
            </w:pPr>
          </w:p>
          <w:p w14:paraId="081634D4" w14:textId="77777777" w:rsidR="00F8204F" w:rsidRPr="00C61DA9" w:rsidRDefault="00F8204F" w:rsidP="00F8204F">
            <w:pPr>
              <w:pStyle w:val="Default"/>
              <w:jc w:val="both"/>
              <w:rPr>
                <w:rFonts w:asciiTheme="minorHAnsi" w:eastAsia="Calibri" w:hAnsiTheme="minorHAnsi" w:cstheme="minorHAnsi"/>
                <w:sz w:val="22"/>
                <w:szCs w:val="22"/>
              </w:rPr>
            </w:pPr>
            <w:r w:rsidRPr="00C61DA9">
              <w:rPr>
                <w:rFonts w:asciiTheme="minorHAnsi" w:eastAsia="Calibri" w:hAnsiTheme="minorHAnsi" w:cstheme="minorHAnsi"/>
                <w:sz w:val="22"/>
                <w:szCs w:val="22"/>
              </w:rPr>
              <w:t xml:space="preserve">Como consecuencia de la apertura de esta denuncia, la Fiscalía ordena, entre otras, la realización de la inspección del sistema biométrico de la Notaria Tercera de Tuluá-Valle, en cuyos informes el técnico investigador IV, Juan Carlos Valencia González, reporta que la realización de la acreditación de la identidad se llevó a cabo a través de medios fotográficos, lectura de código de barras del documento de identidad y lectura dactilar biométrica, SIN QUE EN NINGÚN MOMENTO LA FUNCIONARIA DE LA NOTARIA SE PERCATARA DE LAS DISIMILITUDES MORFOLÓGICAS Y FISIOLÓGICAS QUE RESULTABAN EVIDENTES entre el SUPLANTADOR y LA IDENTIFICACIÓN QUE ESTABA EXHIBIENDO, pues es el mismo Notario Tercero en Propiedad, el Dr. Camilo Bustamante Álvarez, quien en carta del 10 de junio de 2019, remitida al presidente del Colegio de Notarios, manifiesta que en ningún momento se cotejaron los documentos de identificación registrados en el </w:t>
            </w:r>
            <w:r w:rsidRPr="00C61DA9">
              <w:rPr>
                <w:rFonts w:asciiTheme="minorHAnsi" w:eastAsia="Calibri" w:hAnsiTheme="minorHAnsi" w:cstheme="minorHAnsi"/>
                <w:sz w:val="22"/>
                <w:szCs w:val="22"/>
              </w:rPr>
              <w:lastRenderedPageBreak/>
              <w:t xml:space="preserve">sistema con el del compareciente al momento del otorgamiento de la escritura de venta 701 de marzo 15 de 2019, y que además en la notaría NO SE HIZO USO DE MEDIDAS PREVENTIVAS al MOMENTO DE USAR EL LECTOR BIOMÉTRICO PARA EVITAR QUE LOS USUARIOS UTILIZARAN OBJETOS EN SUS DEDOS DIRIGIDOS A LA SUPLANTACIÓN DE IDENTIDAD, pues únicamente, como consecuencia del fraude sufrido por la señora Beatriz Eugenia Castaño, el Notario Tercero de Tuluá-Valle, PROCEDIÓ A EXIGIRLES A SUS FUNCIONARIOS, QUE EMPLEARAN MECANISMOS DE LIMPIEZA DACTILAR PARA PRECAVER DICHA SITUACIÓN, los cuales sean de paso decir, de haber sido utilizados e implementados en la protocolización de la promesa de compraventa y de la escritura pública 701, suscrita por la señora Beatriz Eugenia Castaño, SE HUBIESEN PERCATADO DEL USUARIO QUE PRETENDÍA SUPLANTAR LA IDENTIDAD DEL PROMITENTE VENDEDOR, toda vez que hasta la misma Unión Colegiada de Notariado Colombiano, señaló que aunque el lector biométrico, tenía un alto índice de seguridad, AQUEL PODÍA SER BURLADO SI NO SE TOMABAN MEDIDAS DE SEGURIDAD, toda vez que ya se habían reportado 3 fraudes los cuales se encontraban en investigación. Por lo anterior la parte demandante sufrió perjuicios de toda índole. </w:t>
            </w:r>
          </w:p>
          <w:p w14:paraId="342584D0" w14:textId="2C37FC69" w:rsidR="007E3E69" w:rsidRPr="00C61DA9" w:rsidRDefault="007E3E69" w:rsidP="005A15C8">
            <w:pPr>
              <w:pStyle w:val="Default"/>
              <w:jc w:val="both"/>
              <w:rPr>
                <w:rFonts w:asciiTheme="minorHAnsi" w:eastAsia="Calibri" w:hAnsiTheme="minorHAnsi" w:cstheme="minorHAnsi"/>
                <w:sz w:val="22"/>
                <w:szCs w:val="22"/>
              </w:rPr>
            </w:pP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7CC2ADF3" w:rsidR="007E3E69" w:rsidRPr="00C61DA9" w:rsidRDefault="00F8204F" w:rsidP="005A15C8">
            <w:pPr>
              <w:jc w:val="both"/>
              <w:rPr>
                <w:rFonts w:eastAsia="Calibri" w:cstheme="minorHAnsi"/>
                <w:lang w:val="es-CO"/>
              </w:rPr>
            </w:pPr>
            <w:r w:rsidRPr="00C61DA9">
              <w:rPr>
                <w:rFonts w:eastAsia="Calibri" w:cstheme="minorHAnsi"/>
                <w:lang w:val="es-CO"/>
              </w:rPr>
              <w:t xml:space="preserve">Las pretensiones de la demanda van encaminadas a obtener por lucro cesante 213 SMMLV, por daño emergente 204 SMMLV, por daño moral 1100 SMMLV, por daño a bienes jurídicos de especial protección – Unidad Familiar (modus vivendi) 1100 SMMLV, por daño a la salud 1650 SMMLV, por daño a la honra y buen nombre 1050 SMMLV y por afectación a la vida sexual conyugal - daño a bienes convencionales 300 SMMLV.  </w:t>
            </w:r>
            <w:r w:rsidR="00DD61D6" w:rsidRPr="00C61DA9">
              <w:rPr>
                <w:rFonts w:eastAsia="Calibri" w:cstheme="minorHAnsi"/>
                <w:lang w:val="es-CO"/>
              </w:rPr>
              <w:t xml:space="preserve"> </w:t>
            </w:r>
            <w:r w:rsidR="000B2CEB" w:rsidRPr="00C61DA9">
              <w:rPr>
                <w:rFonts w:eastAsia="Calibri" w:cstheme="minorHAnsi"/>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D1CCF89" w:rsidR="007E3E69" w:rsidRPr="00C61DA9" w:rsidRDefault="00F51244" w:rsidP="007E3E69">
            <w:pPr>
              <w:spacing w:after="0" w:line="240" w:lineRule="auto"/>
              <w:ind w:left="59" w:right="39"/>
              <w:rPr>
                <w:rFonts w:eastAsia="Calibri" w:cstheme="minorHAnsi"/>
                <w:lang w:val="es-CO"/>
              </w:rPr>
            </w:pPr>
            <w:r w:rsidRPr="00C61DA9">
              <w:rPr>
                <w:rFonts w:eastAsia="Calibri" w:cstheme="minorHAnsi"/>
                <w:lang w:val="es-CO"/>
              </w:rPr>
              <w:t>$</w:t>
            </w:r>
            <w:r w:rsidR="00F8204F" w:rsidRPr="00C61DA9">
              <w:rPr>
                <w:rFonts w:eastAsia="Calibri" w:cstheme="minorHAnsi"/>
                <w:lang w:val="es-CO"/>
              </w:rPr>
              <w:t>7.995.574.450</w:t>
            </w:r>
            <w:r w:rsidR="00B77D7D" w:rsidRPr="00C61DA9">
              <w:rPr>
                <w:rFonts w:eastAsia="Calibri" w:cstheme="minorHAnsi"/>
                <w:lang w:val="es-CO"/>
              </w:rPr>
              <w:t xml:space="preserve"> (ACTUALIZADO SMMLV 202</w:t>
            </w:r>
            <w:r w:rsidR="00F8204F" w:rsidRPr="00C61DA9">
              <w:rPr>
                <w:rFonts w:eastAsia="Calibri" w:cstheme="minorHAnsi"/>
                <w:lang w:val="es-CO"/>
              </w:rPr>
              <w:t>5</w:t>
            </w:r>
            <w:r w:rsidR="00B77D7D" w:rsidRPr="00C61DA9">
              <w:rPr>
                <w:rFonts w:eastAsia="Calibri" w:cstheme="minorHAns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lastRenderedPageBreak/>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5D477C8B" w:rsidR="00B2545B" w:rsidRPr="00C61DA9" w:rsidRDefault="007E3E69" w:rsidP="007E3E69">
            <w:pPr>
              <w:spacing w:after="0" w:line="264" w:lineRule="exact"/>
              <w:ind w:left="59" w:right="-20"/>
              <w:rPr>
                <w:rFonts w:eastAsia="Calibri" w:cstheme="minorHAnsi"/>
                <w:lang w:val="es-CO"/>
              </w:rPr>
            </w:pPr>
            <w:r w:rsidRPr="00C61DA9">
              <w:rPr>
                <w:rFonts w:eastAsia="Calibri" w:cstheme="minorHAnsi"/>
                <w:lang w:val="es-CO"/>
              </w:rPr>
              <w:t>Valor 100% $</w:t>
            </w:r>
            <w:r w:rsidR="004F2132" w:rsidRPr="00C61DA9">
              <w:rPr>
                <w:rFonts w:eastAsia="Calibri" w:cstheme="minorHAnsi"/>
                <w:lang w:val="es-CO"/>
              </w:rPr>
              <w:t>70.017.987</w:t>
            </w:r>
          </w:p>
          <w:p w14:paraId="4E3871E5" w14:textId="0F614D0B" w:rsidR="007E3E69" w:rsidRPr="00C61DA9" w:rsidRDefault="007E3E69" w:rsidP="007E3E69">
            <w:pPr>
              <w:spacing w:after="0" w:line="264" w:lineRule="exact"/>
              <w:ind w:left="59" w:right="-20"/>
              <w:rPr>
                <w:rFonts w:eastAsia="Calibri" w:cstheme="minorHAnsi"/>
                <w:lang w:val="es-CO"/>
              </w:rPr>
            </w:pPr>
            <w:proofErr w:type="gramStart"/>
            <w:r w:rsidRPr="00C61DA9">
              <w:rPr>
                <w:rFonts w:eastAsia="Calibri" w:cstheme="minorHAnsi"/>
                <w:lang w:val="es-CO"/>
              </w:rPr>
              <w:t>Deducible:$</w:t>
            </w:r>
            <w:proofErr w:type="gramEnd"/>
            <w:r w:rsidR="00D0271C" w:rsidRPr="00C61DA9">
              <w:rPr>
                <w:rFonts w:eastAsia="Calibri" w:cstheme="minorHAnsi"/>
                <w:lang w:val="es-CO"/>
              </w:rPr>
              <w:t xml:space="preserve"> </w:t>
            </w:r>
            <w:r w:rsidR="004F2132" w:rsidRPr="00C61DA9">
              <w:rPr>
                <w:rFonts w:eastAsia="Calibri" w:cstheme="minorHAnsi"/>
                <w:lang w:val="es-CO"/>
              </w:rPr>
              <w:t>7.001.798</w:t>
            </w:r>
          </w:p>
          <w:p w14:paraId="5DD5C3E0" w14:textId="6EFA4468" w:rsidR="00B77D7D" w:rsidRPr="00C61DA9" w:rsidRDefault="007E3E69" w:rsidP="007E3E69">
            <w:pPr>
              <w:spacing w:after="0" w:line="264" w:lineRule="exact"/>
              <w:ind w:left="59" w:right="-20"/>
              <w:rPr>
                <w:rFonts w:eastAsia="Calibri" w:cstheme="minorHAnsi"/>
                <w:lang w:val="es-CO"/>
              </w:rPr>
            </w:pPr>
            <w:r w:rsidRPr="00C61DA9">
              <w:rPr>
                <w:rFonts w:eastAsia="Calibri" w:cstheme="minorHAnsi"/>
                <w:lang w:val="es-CO"/>
              </w:rPr>
              <w:t xml:space="preserve">Coaseguro: </w:t>
            </w:r>
            <w:r w:rsidR="004F2132" w:rsidRPr="00C61DA9">
              <w:rPr>
                <w:rFonts w:eastAsia="Calibri" w:cstheme="minorHAnsi"/>
                <w:lang w:val="es-CO"/>
              </w:rPr>
              <w:t>6</w:t>
            </w:r>
            <w:r w:rsidR="00E044AB" w:rsidRPr="00C61DA9">
              <w:rPr>
                <w:rFonts w:eastAsia="Calibri" w:cstheme="minorHAnsi"/>
                <w:lang w:val="es-CO"/>
              </w:rPr>
              <w:t>0%</w:t>
            </w:r>
          </w:p>
          <w:p w14:paraId="2B9135C6" w14:textId="4F8E2F72" w:rsidR="007E3E69" w:rsidRPr="00C61DA9" w:rsidRDefault="007E3E69" w:rsidP="007E3E69">
            <w:pPr>
              <w:spacing w:after="0" w:line="264" w:lineRule="exact"/>
              <w:ind w:left="59" w:right="-20"/>
              <w:rPr>
                <w:rFonts w:eastAsia="Calibri" w:cstheme="minorHAnsi"/>
                <w:lang w:val="es-CO"/>
              </w:rPr>
            </w:pPr>
            <w:proofErr w:type="gramStart"/>
            <w:r w:rsidRPr="00C61DA9">
              <w:rPr>
                <w:rFonts w:eastAsia="Calibri" w:cstheme="minorHAnsi"/>
                <w:lang w:val="es-CO"/>
              </w:rPr>
              <w:t>Total</w:t>
            </w:r>
            <w:proofErr w:type="gramEnd"/>
            <w:r w:rsidRPr="00C61DA9">
              <w:rPr>
                <w:rFonts w:eastAsia="Calibri" w:cstheme="minorHAnsi"/>
                <w:lang w:val="es-CO"/>
              </w:rPr>
              <w:t xml:space="preserve"> Exposición de Chubb: </w:t>
            </w:r>
            <w:r w:rsidR="00D153F0" w:rsidRPr="00C61DA9">
              <w:rPr>
                <w:rFonts w:eastAsia="Calibri" w:cstheme="minorHAnsi"/>
                <w:lang w:val="es-CO"/>
              </w:rPr>
              <w:t>$</w:t>
            </w:r>
            <w:r w:rsidR="004F2132" w:rsidRPr="00C61DA9">
              <w:rPr>
                <w:rFonts w:eastAsia="Calibri" w:cstheme="minorHAnsi"/>
                <w:lang w:val="es-CO"/>
              </w:rPr>
              <w:t>37.809.713</w:t>
            </w:r>
          </w:p>
          <w:p w14:paraId="3A9B867A" w14:textId="7B82C0B9" w:rsidR="007E3E69" w:rsidRPr="00C61DA9" w:rsidRDefault="007E3E69" w:rsidP="007E3E69">
            <w:pPr>
              <w:spacing w:after="0" w:line="264" w:lineRule="exact"/>
              <w:ind w:left="59" w:right="-20"/>
              <w:rPr>
                <w:rFonts w:eastAsia="Calibri" w:cstheme="minorHAnsi"/>
                <w:lang w:val="es-CO"/>
              </w:rPr>
            </w:pPr>
          </w:p>
          <w:p w14:paraId="62286135" w14:textId="77777777" w:rsidR="007E3E69" w:rsidRPr="00C61DA9" w:rsidRDefault="007E3E69" w:rsidP="007E3E69">
            <w:pPr>
              <w:spacing w:after="0" w:line="264" w:lineRule="exact"/>
              <w:ind w:left="59" w:right="-20"/>
              <w:rPr>
                <w:rFonts w:eastAsia="Calibri" w:cstheme="minorHAnsi"/>
                <w:lang w:val="es-CO"/>
              </w:rPr>
            </w:pPr>
          </w:p>
          <w:p w14:paraId="2B917F9A" w14:textId="77777777" w:rsidR="007E3E69" w:rsidRPr="00C61DA9" w:rsidRDefault="007E3E69" w:rsidP="007E3E69">
            <w:pPr>
              <w:spacing w:after="0" w:line="264" w:lineRule="exact"/>
              <w:ind w:left="59" w:right="-20"/>
              <w:rPr>
                <w:rFonts w:eastAsia="Calibri" w:cstheme="minorHAnsi"/>
                <w:lang w:val="es-CO"/>
              </w:rPr>
            </w:pPr>
          </w:p>
          <w:p w14:paraId="0A3B6AE4" w14:textId="7B250825" w:rsidR="007E3E69" w:rsidRPr="00C61DA9" w:rsidRDefault="007E3E69" w:rsidP="007E3E69">
            <w:pPr>
              <w:spacing w:after="0" w:line="264" w:lineRule="exact"/>
              <w:ind w:left="59" w:right="-20"/>
              <w:rPr>
                <w:rFonts w:eastAsia="Calibri" w:cstheme="minorHAns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7A69D181" w:rsidR="007E3E69" w:rsidRPr="00C61DA9" w:rsidRDefault="007E3E69" w:rsidP="007E3E69">
            <w:pPr>
              <w:spacing w:after="0" w:line="267" w:lineRule="exact"/>
              <w:ind w:left="59" w:right="-20"/>
              <w:rPr>
                <w:rFonts w:eastAsia="Calibri" w:cstheme="minorHAnsi"/>
                <w:lang w:val="pt-BR"/>
              </w:rPr>
            </w:pPr>
            <w:r w:rsidRPr="00C61DA9">
              <w:rPr>
                <w:rFonts w:eastAsia="Calibri" w:cstheme="minorHAnsi"/>
                <w:spacing w:val="-1"/>
                <w:position w:val="1"/>
                <w:lang w:val="pt-BR"/>
              </w:rPr>
              <w:t>N</w:t>
            </w:r>
            <w:r w:rsidRPr="00C61DA9">
              <w:rPr>
                <w:rFonts w:eastAsia="Calibri" w:cstheme="minorHAnsi"/>
                <w:spacing w:val="1"/>
                <w:position w:val="1"/>
                <w:lang w:val="pt-BR"/>
              </w:rPr>
              <w:t>úmero</w:t>
            </w:r>
            <w:r w:rsidR="00FC4C1A" w:rsidRPr="00C61DA9">
              <w:rPr>
                <w:rFonts w:eastAsia="Calibri" w:cstheme="minorHAnsi"/>
                <w:position w:val="1"/>
                <w:lang w:val="pt-BR"/>
              </w:rPr>
              <w:t xml:space="preserve">: </w:t>
            </w:r>
            <w:r w:rsidR="004F2132" w:rsidRPr="00C61DA9">
              <w:rPr>
                <w:rFonts w:eastAsia="Calibri" w:cstheme="minorHAnsi"/>
                <w:position w:val="1"/>
                <w:lang w:val="pt-BR"/>
              </w:rPr>
              <w:t>36284</w:t>
            </w:r>
          </w:p>
          <w:p w14:paraId="29906228" w14:textId="48CAD6D7" w:rsidR="007E3E69" w:rsidRPr="00C61DA9" w:rsidRDefault="007E3E69" w:rsidP="007E3E69">
            <w:pPr>
              <w:spacing w:after="0" w:line="266" w:lineRule="exact"/>
              <w:ind w:left="59" w:right="-20"/>
              <w:rPr>
                <w:rFonts w:eastAsia="Calibri" w:cstheme="minorHAnsi"/>
                <w:lang w:val="pt-BR"/>
              </w:rPr>
            </w:pPr>
            <w:r w:rsidRPr="00C61DA9">
              <w:rPr>
                <w:rFonts w:eastAsia="Calibri" w:cstheme="minorHAnsi"/>
                <w:position w:val="1"/>
                <w:lang w:val="pt-BR"/>
              </w:rPr>
              <w:t>Ra</w:t>
            </w:r>
            <w:r w:rsidRPr="00C61DA9">
              <w:rPr>
                <w:rFonts w:eastAsia="Calibri" w:cstheme="minorHAnsi"/>
                <w:spacing w:val="-1"/>
                <w:position w:val="1"/>
                <w:lang w:val="pt-BR"/>
              </w:rPr>
              <w:t>m</w:t>
            </w:r>
            <w:r w:rsidRPr="00C61DA9">
              <w:rPr>
                <w:rFonts w:eastAsia="Calibri" w:cstheme="minorHAnsi"/>
                <w:spacing w:val="1"/>
                <w:position w:val="1"/>
                <w:lang w:val="pt-BR"/>
              </w:rPr>
              <w:t>o</w:t>
            </w:r>
            <w:r w:rsidRPr="00C61DA9">
              <w:rPr>
                <w:rFonts w:eastAsia="Calibri" w:cstheme="minorHAnsi"/>
                <w:position w:val="1"/>
                <w:lang w:val="pt-BR"/>
              </w:rPr>
              <w:t>: 12</w:t>
            </w:r>
          </w:p>
          <w:p w14:paraId="23126C4E" w14:textId="166B67CC" w:rsidR="007E3E69" w:rsidRPr="00C61DA9" w:rsidRDefault="007E3E69" w:rsidP="007E3E69">
            <w:pPr>
              <w:spacing w:after="0" w:line="240" w:lineRule="auto"/>
              <w:ind w:left="59" w:right="55"/>
              <w:rPr>
                <w:rFonts w:eastAsia="Calibri" w:cstheme="minorHAnsi"/>
                <w:lang w:val="pt-BR"/>
              </w:rPr>
            </w:pPr>
            <w:r w:rsidRPr="00C61DA9">
              <w:rPr>
                <w:rFonts w:eastAsia="Calibri" w:cstheme="minorHAnsi"/>
                <w:lang w:val="pt-BR"/>
              </w:rPr>
              <w:t>Amparo</w:t>
            </w:r>
            <w:r w:rsidRPr="00C61DA9">
              <w:rPr>
                <w:rFonts w:eastAsia="Calibri" w:cstheme="minorHAnsi"/>
                <w:spacing w:val="-2"/>
                <w:lang w:val="pt-BR"/>
              </w:rPr>
              <w:t xml:space="preserve"> </w:t>
            </w:r>
            <w:proofErr w:type="spellStart"/>
            <w:r w:rsidRPr="00C61DA9">
              <w:rPr>
                <w:rFonts w:eastAsia="Calibri" w:cstheme="minorHAnsi"/>
                <w:lang w:val="pt-BR"/>
              </w:rPr>
              <w:t>afectado</w:t>
            </w:r>
            <w:proofErr w:type="spellEnd"/>
            <w:r w:rsidRPr="00C61DA9">
              <w:rPr>
                <w:rFonts w:eastAsia="Calibri" w:cstheme="minorHAnsi"/>
                <w:lang w:val="pt-BR"/>
              </w:rPr>
              <w:t xml:space="preserve">: </w:t>
            </w:r>
            <w:r w:rsidR="004F2132" w:rsidRPr="00C61DA9">
              <w:rPr>
                <w:rFonts w:eastAsia="Calibri" w:cstheme="minorHAnsi"/>
                <w:lang w:val="pt-BR"/>
              </w:rPr>
              <w:t>PLO</w:t>
            </w:r>
          </w:p>
          <w:p w14:paraId="14D1A2A9" w14:textId="02371607" w:rsidR="007E3E69" w:rsidRPr="00C61DA9" w:rsidRDefault="007E3E69" w:rsidP="007E3E69">
            <w:pPr>
              <w:spacing w:after="0" w:line="240" w:lineRule="auto"/>
              <w:ind w:left="59" w:right="-20"/>
              <w:rPr>
                <w:rFonts w:eastAsia="Calibri" w:cstheme="minorHAnsi"/>
                <w:lang w:val="es-CO"/>
              </w:rPr>
            </w:pPr>
            <w:r w:rsidRPr="00C61DA9">
              <w:rPr>
                <w:rFonts w:eastAsia="Calibri" w:cstheme="minorHAnsi"/>
                <w:spacing w:val="1"/>
                <w:lang w:val="es-CO"/>
              </w:rPr>
              <w:t>D</w:t>
            </w:r>
            <w:r w:rsidRPr="00C61DA9">
              <w:rPr>
                <w:rFonts w:eastAsia="Calibri" w:cstheme="minorHAnsi"/>
                <w:lang w:val="es-CO"/>
              </w:rPr>
              <w:t>ed</w:t>
            </w:r>
            <w:r w:rsidRPr="00C61DA9">
              <w:rPr>
                <w:rFonts w:eastAsia="Calibri" w:cstheme="minorHAnsi"/>
                <w:spacing w:val="-1"/>
                <w:lang w:val="es-CO"/>
              </w:rPr>
              <w:t>u</w:t>
            </w:r>
            <w:r w:rsidRPr="00C61DA9">
              <w:rPr>
                <w:rFonts w:eastAsia="Calibri" w:cstheme="minorHAnsi"/>
                <w:lang w:val="es-CO"/>
              </w:rPr>
              <w:t>ci</w:t>
            </w:r>
            <w:r w:rsidRPr="00C61DA9">
              <w:rPr>
                <w:rFonts w:eastAsia="Calibri" w:cstheme="minorHAnsi"/>
                <w:spacing w:val="-1"/>
                <w:lang w:val="es-CO"/>
              </w:rPr>
              <w:t>b</w:t>
            </w:r>
            <w:r w:rsidRPr="00C61DA9">
              <w:rPr>
                <w:rFonts w:eastAsia="Calibri" w:cstheme="minorHAnsi"/>
                <w:lang w:val="es-CO"/>
              </w:rPr>
              <w:t>l</w:t>
            </w:r>
            <w:r w:rsidRPr="00C61DA9">
              <w:rPr>
                <w:rFonts w:eastAsia="Calibri" w:cstheme="minorHAnsi"/>
                <w:spacing w:val="-2"/>
                <w:lang w:val="es-CO"/>
              </w:rPr>
              <w:t>e (Si Aplica)</w:t>
            </w:r>
            <w:r w:rsidRPr="00C61DA9">
              <w:rPr>
                <w:rFonts w:eastAsia="Calibri" w:cstheme="minorHAnsi"/>
                <w:lang w:val="es-CO"/>
              </w:rPr>
              <w:t>:</w:t>
            </w:r>
            <w:r w:rsidR="004F2132" w:rsidRPr="00C61DA9">
              <w:rPr>
                <w:rFonts w:eastAsia="Calibri" w:cstheme="minorHAnsi"/>
                <w:lang w:val="es-CO"/>
              </w:rPr>
              <w:t>10% PERD MIN 1SMMLV</w:t>
            </w:r>
          </w:p>
          <w:p w14:paraId="385160F1" w14:textId="6E46DAA6" w:rsidR="007E3E69" w:rsidRPr="00C61DA9" w:rsidRDefault="007E3E69" w:rsidP="007E3E69">
            <w:pPr>
              <w:spacing w:after="0" w:line="240" w:lineRule="auto"/>
              <w:ind w:left="59" w:right="697"/>
              <w:rPr>
                <w:rFonts w:eastAsia="Calibri" w:cstheme="minorHAnsi"/>
                <w:lang w:val="es-CO"/>
              </w:rPr>
            </w:pPr>
            <w:r w:rsidRPr="00C61DA9">
              <w:rPr>
                <w:rFonts w:eastAsia="Calibri" w:cstheme="minorHAnsi"/>
                <w:lang w:val="es-CO"/>
              </w:rPr>
              <w:t>Va</w:t>
            </w:r>
            <w:r w:rsidRPr="00C61DA9">
              <w:rPr>
                <w:rFonts w:eastAsia="Calibri" w:cstheme="minorHAnsi"/>
                <w:spacing w:val="-1"/>
                <w:lang w:val="es-CO"/>
              </w:rPr>
              <w:t>l</w:t>
            </w:r>
            <w:r w:rsidRPr="00C61DA9">
              <w:rPr>
                <w:rFonts w:eastAsia="Calibri" w:cstheme="minorHAnsi"/>
                <w:spacing w:val="1"/>
                <w:lang w:val="es-CO"/>
              </w:rPr>
              <w:t>o</w:t>
            </w:r>
            <w:r w:rsidRPr="00C61DA9">
              <w:rPr>
                <w:rFonts w:eastAsia="Calibri" w:cstheme="minorHAnsi"/>
                <w:lang w:val="es-CO"/>
              </w:rPr>
              <w:t>r a</w:t>
            </w:r>
            <w:r w:rsidRPr="00C61DA9">
              <w:rPr>
                <w:rFonts w:eastAsia="Calibri" w:cstheme="minorHAnsi"/>
                <w:spacing w:val="-2"/>
                <w:lang w:val="es-CO"/>
              </w:rPr>
              <w:t>s</w:t>
            </w:r>
            <w:r w:rsidRPr="00C61DA9">
              <w:rPr>
                <w:rFonts w:eastAsia="Calibri" w:cstheme="minorHAnsi"/>
                <w:lang w:val="es-CO"/>
              </w:rPr>
              <w:t>eg</w:t>
            </w:r>
            <w:r w:rsidRPr="00C61DA9">
              <w:rPr>
                <w:rFonts w:eastAsia="Calibri" w:cstheme="minorHAnsi"/>
                <w:spacing w:val="-1"/>
                <w:lang w:val="es-CO"/>
              </w:rPr>
              <w:t>u</w:t>
            </w:r>
            <w:r w:rsidRPr="00C61DA9">
              <w:rPr>
                <w:rFonts w:eastAsia="Calibri" w:cstheme="minorHAnsi"/>
                <w:lang w:val="es-CO"/>
              </w:rPr>
              <w:t>ra</w:t>
            </w:r>
            <w:r w:rsidRPr="00C61DA9">
              <w:rPr>
                <w:rFonts w:eastAsia="Calibri" w:cstheme="minorHAnsi"/>
                <w:spacing w:val="-1"/>
                <w:lang w:val="es-CO"/>
              </w:rPr>
              <w:t>d</w:t>
            </w:r>
            <w:r w:rsidRPr="00C61DA9">
              <w:rPr>
                <w:rFonts w:eastAsia="Calibri" w:cstheme="minorHAnsi"/>
                <w:spacing w:val="1"/>
                <w:lang w:val="es-CO"/>
              </w:rPr>
              <w:t>o</w:t>
            </w:r>
            <w:r w:rsidRPr="00C61DA9">
              <w:rPr>
                <w:rFonts w:eastAsia="Calibri" w:cstheme="minorHAnsi"/>
                <w:lang w:val="es-CO"/>
              </w:rPr>
              <w:t>:</w:t>
            </w:r>
            <w:r w:rsidR="001630F6" w:rsidRPr="00C61DA9">
              <w:rPr>
                <w:rFonts w:eastAsia="Calibri" w:cstheme="minorHAnsi"/>
                <w:lang w:val="es-CO"/>
              </w:rPr>
              <w:t xml:space="preserve"> </w:t>
            </w:r>
            <w:r w:rsidR="0054185B" w:rsidRPr="00C61DA9">
              <w:rPr>
                <w:rFonts w:eastAsia="Calibri" w:cstheme="minorHAnsi"/>
                <w:lang w:val="es-CO"/>
              </w:rPr>
              <w:t>$</w:t>
            </w:r>
            <w:r w:rsidR="006A3D6D" w:rsidRPr="00C61DA9">
              <w:rPr>
                <w:rFonts w:eastAsia="Calibri" w:cstheme="minorHAnsi"/>
                <w:lang w:val="es-CO"/>
              </w:rPr>
              <w:t>7.000.000.000</w:t>
            </w:r>
          </w:p>
          <w:p w14:paraId="0E2B9035" w14:textId="3AB75FCD" w:rsidR="007E3E69" w:rsidRPr="00C61DA9" w:rsidRDefault="007E3E69" w:rsidP="007E3E69">
            <w:pPr>
              <w:spacing w:after="0" w:line="240" w:lineRule="auto"/>
              <w:ind w:left="59" w:right="697"/>
              <w:rPr>
                <w:rFonts w:eastAsia="Calibri" w:cstheme="minorHAnsi"/>
                <w:lang w:val="es-CO"/>
              </w:rPr>
            </w:pPr>
            <w:r w:rsidRPr="00C61DA9">
              <w:rPr>
                <w:rFonts w:eastAsia="Calibri" w:cstheme="minorHAnsi"/>
                <w:lang w:val="es-CO"/>
              </w:rPr>
              <w:t xml:space="preserve">Placa (Si Aplica): </w:t>
            </w:r>
            <w:proofErr w:type="gramStart"/>
            <w:r w:rsidR="00883B55" w:rsidRPr="00C61DA9">
              <w:rPr>
                <w:rFonts w:eastAsia="Calibri" w:cstheme="minorHAnsi"/>
                <w:lang w:val="es-CO"/>
              </w:rPr>
              <w:t xml:space="preserve">NO </w:t>
            </w:r>
            <w:r w:rsidRPr="00C61DA9">
              <w:rPr>
                <w:rFonts w:eastAsia="Calibri" w:cstheme="minorHAnsi"/>
                <w:lang w:val="es-CO"/>
              </w:rPr>
              <w:t xml:space="preserve"> APLICA</w:t>
            </w:r>
            <w:proofErr w:type="gramEnd"/>
          </w:p>
          <w:p w14:paraId="1C0B4F09" w14:textId="246CF81F" w:rsidR="007E3E69" w:rsidRPr="00C61DA9" w:rsidRDefault="007E3E69" w:rsidP="007E3E69">
            <w:pPr>
              <w:spacing w:after="0" w:line="240" w:lineRule="auto"/>
              <w:ind w:left="59" w:right="697"/>
              <w:rPr>
                <w:rFonts w:eastAsia="Calibri" w:cstheme="minorHAnsi"/>
                <w:lang w:val="es-CO"/>
              </w:rPr>
            </w:pPr>
            <w:r w:rsidRPr="00C61DA9">
              <w:rPr>
                <w:rFonts w:eastAsia="Calibri" w:cstheme="minorHAnsi"/>
                <w:lang w:val="es-CO"/>
              </w:rPr>
              <w:t>Coaseguro (Si Aplica):</w:t>
            </w:r>
            <w:r w:rsidR="00095A07" w:rsidRPr="00C61DA9">
              <w:rPr>
                <w:rFonts w:eastAsia="Calibri" w:cstheme="minorHAnsi"/>
                <w:lang w:val="es-CO"/>
              </w:rPr>
              <w:t xml:space="preserve"> </w:t>
            </w:r>
            <w:r w:rsidR="004D7A10" w:rsidRPr="00C61DA9">
              <w:rPr>
                <w:rFonts w:eastAsia="Calibri" w:cstheme="minorHAnsi"/>
                <w:lang w:val="es-CO"/>
              </w:rPr>
              <w:t xml:space="preserve">CHUBB </w:t>
            </w:r>
            <w:r w:rsidR="004F2132" w:rsidRPr="00C61DA9">
              <w:rPr>
                <w:rFonts w:eastAsia="Calibri" w:cstheme="minorHAnsi"/>
                <w:lang w:val="es-CO"/>
              </w:rPr>
              <w:t>60</w:t>
            </w:r>
            <w:r w:rsidR="002E7371" w:rsidRPr="00C61DA9">
              <w:rPr>
                <w:rFonts w:eastAsia="Calibri" w:cstheme="minorHAnsi"/>
                <w:lang w:val="es-CO"/>
              </w:rPr>
              <w:t>%</w:t>
            </w:r>
            <w:r w:rsidR="004F2132" w:rsidRPr="00C61DA9">
              <w:rPr>
                <w:rFonts w:eastAsia="Calibri" w:cstheme="minorHAnsi"/>
                <w:lang w:val="es-CO"/>
              </w:rPr>
              <w:t xml:space="preserve"> </w:t>
            </w:r>
            <w:proofErr w:type="gramStart"/>
            <w:r w:rsidR="004F2132" w:rsidRPr="00C61DA9">
              <w:rPr>
                <w:rFonts w:eastAsia="Calibri" w:cstheme="minorHAnsi"/>
                <w:lang w:val="es-CO"/>
              </w:rPr>
              <w:t xml:space="preserve">Y </w:t>
            </w:r>
            <w:r w:rsidR="002E7371" w:rsidRPr="00C61DA9">
              <w:rPr>
                <w:rFonts w:eastAsia="Calibri" w:cstheme="minorHAnsi"/>
                <w:lang w:val="es-CO"/>
              </w:rPr>
              <w:t xml:space="preserve"> </w:t>
            </w:r>
            <w:r w:rsidR="0096201F" w:rsidRPr="00C61DA9">
              <w:rPr>
                <w:rFonts w:eastAsia="Calibri" w:cstheme="minorHAnsi"/>
                <w:lang w:val="es-CO"/>
              </w:rPr>
              <w:t>SBS</w:t>
            </w:r>
            <w:proofErr w:type="gramEnd"/>
            <w:r w:rsidR="0096201F" w:rsidRPr="00C61DA9">
              <w:rPr>
                <w:rFonts w:eastAsia="Calibri" w:cstheme="minorHAnsi"/>
                <w:lang w:val="es-CO"/>
              </w:rPr>
              <w:t xml:space="preserve"> </w:t>
            </w:r>
            <w:r w:rsidR="004F2132" w:rsidRPr="00C61DA9">
              <w:rPr>
                <w:rFonts w:eastAsia="Calibri" w:cstheme="minorHAnsi"/>
                <w:lang w:val="es-CO"/>
              </w:rPr>
              <w:t>4</w:t>
            </w:r>
            <w:r w:rsidR="0096201F" w:rsidRPr="00C61DA9">
              <w:rPr>
                <w:rFonts w:eastAsia="Calibri" w:cstheme="minorHAnsi"/>
                <w:lang w:val="es-CO"/>
              </w:rPr>
              <w:t xml:space="preserve">0%, </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719616D1" w14:textId="6770A62F" w:rsidR="004F2132" w:rsidRPr="00C61DA9" w:rsidRDefault="004F2132" w:rsidP="004F2132">
            <w:pPr>
              <w:spacing w:after="0" w:line="266" w:lineRule="exact"/>
              <w:ind w:right="-20"/>
              <w:jc w:val="both"/>
              <w:rPr>
                <w:rFonts w:eastAsia="Calibri" w:cstheme="minorHAnsi"/>
                <w:lang w:val="es-419"/>
              </w:rPr>
            </w:pPr>
            <w:r w:rsidRPr="00C61DA9">
              <w:rPr>
                <w:rFonts w:eastAsia="Calibri" w:cstheme="minorHAnsi"/>
                <w:lang w:val="es-419"/>
              </w:rPr>
              <w:t>1.</w:t>
            </w:r>
            <w:r w:rsidRPr="00C61DA9">
              <w:rPr>
                <w:rFonts w:eastAsia="Calibri" w:cstheme="minorHAnsi"/>
                <w:lang w:val="es-419"/>
              </w:rPr>
              <w:t xml:space="preserve"> </w:t>
            </w:r>
            <w:r w:rsidRPr="00C61DA9">
              <w:rPr>
                <w:rFonts w:eastAsia="Calibri" w:cstheme="minorHAnsi"/>
                <w:lang w:val="es-419"/>
              </w:rPr>
              <w:t>Falta de legitimación en la causa por pasiva</w:t>
            </w:r>
          </w:p>
          <w:p w14:paraId="25F63BE6" w14:textId="23EE2DE7" w:rsidR="004F2132" w:rsidRPr="00C61DA9" w:rsidRDefault="004F2132" w:rsidP="004F2132">
            <w:pPr>
              <w:spacing w:after="0" w:line="266" w:lineRule="exact"/>
              <w:ind w:right="-20"/>
              <w:jc w:val="both"/>
              <w:rPr>
                <w:rFonts w:eastAsia="Calibri" w:cstheme="minorHAnsi"/>
                <w:lang w:val="es-419"/>
              </w:rPr>
            </w:pPr>
            <w:r w:rsidRPr="00C61DA9">
              <w:rPr>
                <w:rFonts w:eastAsia="Calibri" w:cstheme="minorHAnsi"/>
                <w:lang w:val="es-419"/>
              </w:rPr>
              <w:t>2.</w:t>
            </w:r>
            <w:r w:rsidRPr="00C61DA9">
              <w:rPr>
                <w:rFonts w:eastAsia="Calibri" w:cstheme="minorHAnsi"/>
                <w:lang w:val="es-419"/>
              </w:rPr>
              <w:t xml:space="preserve"> </w:t>
            </w:r>
            <w:r w:rsidRPr="00C61DA9">
              <w:rPr>
                <w:rFonts w:eastAsia="Calibri" w:cstheme="minorHAnsi"/>
                <w:lang w:val="es-419"/>
              </w:rPr>
              <w:t xml:space="preserve">Falta de prueba de los presupuestos formales para la declaración de responsabilidad extracontractual del estado – no se prueba la falla del servicio. </w:t>
            </w:r>
          </w:p>
          <w:p w14:paraId="7264B6A6" w14:textId="23F99A6E" w:rsidR="004F2132" w:rsidRPr="00C61DA9" w:rsidRDefault="004F2132" w:rsidP="004F2132">
            <w:pPr>
              <w:spacing w:after="0" w:line="266" w:lineRule="exact"/>
              <w:ind w:right="-20"/>
              <w:jc w:val="both"/>
              <w:rPr>
                <w:rFonts w:eastAsia="Calibri" w:cstheme="minorHAnsi"/>
                <w:lang w:val="es-419"/>
              </w:rPr>
            </w:pPr>
            <w:r w:rsidRPr="00C61DA9">
              <w:rPr>
                <w:rFonts w:eastAsia="Calibri" w:cstheme="minorHAnsi"/>
                <w:lang w:val="es-419"/>
              </w:rPr>
              <w:t>3.</w:t>
            </w:r>
            <w:r w:rsidRPr="00C61DA9">
              <w:rPr>
                <w:rFonts w:eastAsia="Calibri" w:cstheme="minorHAnsi"/>
                <w:lang w:val="es-419"/>
              </w:rPr>
              <w:t xml:space="preserve"> </w:t>
            </w:r>
            <w:r w:rsidRPr="00C61DA9">
              <w:rPr>
                <w:rFonts w:eastAsia="Calibri" w:cstheme="minorHAnsi"/>
                <w:lang w:val="es-419"/>
              </w:rPr>
              <w:t>Hecho determinante y exclusivo de un tercero – inexistencia del nexo causal.</w:t>
            </w:r>
          </w:p>
          <w:p w14:paraId="1CC0052E" w14:textId="39E1235F" w:rsidR="004F2132" w:rsidRPr="00C61DA9" w:rsidRDefault="004F2132" w:rsidP="004F2132">
            <w:pPr>
              <w:spacing w:after="0" w:line="266" w:lineRule="exact"/>
              <w:ind w:right="-20"/>
              <w:jc w:val="both"/>
              <w:rPr>
                <w:rFonts w:eastAsia="Calibri" w:cstheme="minorHAnsi"/>
                <w:lang w:val="es-419"/>
              </w:rPr>
            </w:pPr>
            <w:r w:rsidRPr="00C61DA9">
              <w:rPr>
                <w:rFonts w:eastAsia="Calibri" w:cstheme="minorHAnsi"/>
                <w:lang w:val="es-419"/>
              </w:rPr>
              <w:t>4.</w:t>
            </w:r>
            <w:r w:rsidRPr="00C61DA9">
              <w:rPr>
                <w:rFonts w:eastAsia="Calibri" w:cstheme="minorHAnsi"/>
                <w:lang w:val="es-419"/>
              </w:rPr>
              <w:t xml:space="preserve"> </w:t>
            </w:r>
            <w:r w:rsidRPr="00C61DA9">
              <w:rPr>
                <w:rFonts w:eastAsia="Calibri" w:cstheme="minorHAnsi"/>
                <w:lang w:val="es-419"/>
              </w:rPr>
              <w:t>Inexistencia de responsabilidad administrativa de la Notaria Tercera de Tuluá.</w:t>
            </w:r>
          </w:p>
          <w:p w14:paraId="4B3E54BB" w14:textId="3DB1544D" w:rsidR="00F87354" w:rsidRPr="00C61DA9" w:rsidRDefault="004F2132" w:rsidP="004F2132">
            <w:pPr>
              <w:spacing w:after="0" w:line="266" w:lineRule="exact"/>
              <w:ind w:right="-20"/>
              <w:jc w:val="both"/>
              <w:rPr>
                <w:rFonts w:eastAsia="Calibri" w:cstheme="minorHAnsi"/>
                <w:lang w:val="es-419"/>
              </w:rPr>
            </w:pPr>
            <w:r w:rsidRPr="00C61DA9">
              <w:rPr>
                <w:rFonts w:eastAsia="Calibri" w:cstheme="minorHAnsi"/>
                <w:lang w:val="es-419"/>
              </w:rPr>
              <w:t>5.</w:t>
            </w:r>
            <w:r w:rsidRPr="00C61DA9">
              <w:rPr>
                <w:rFonts w:eastAsia="Calibri" w:cstheme="minorHAnsi"/>
                <w:lang w:val="es-419"/>
              </w:rPr>
              <w:t xml:space="preserve"> </w:t>
            </w:r>
            <w:r w:rsidRPr="00C61DA9">
              <w:rPr>
                <w:rFonts w:eastAsia="Calibri" w:cstheme="minorHAnsi"/>
                <w:lang w:val="es-419"/>
              </w:rPr>
              <w:t>Genérica o innominada.</w:t>
            </w:r>
          </w:p>
          <w:p w14:paraId="0ED5C04B" w14:textId="0EC5BFFE" w:rsidR="00EE47EB" w:rsidRPr="00C61DA9" w:rsidRDefault="00EE47EB" w:rsidP="00441FF0">
            <w:pPr>
              <w:spacing w:after="0" w:line="266" w:lineRule="exact"/>
              <w:ind w:right="-20"/>
              <w:jc w:val="both"/>
              <w:rPr>
                <w:rFonts w:eastAsia="Calibri" w:cstheme="minorHAns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572C7459" w14:textId="77777777" w:rsidR="004F2132" w:rsidRPr="00C61DA9" w:rsidRDefault="004F2132" w:rsidP="004F2132">
            <w:pPr>
              <w:spacing w:after="0" w:line="240" w:lineRule="auto"/>
              <w:ind w:right="-20"/>
              <w:jc w:val="both"/>
              <w:rPr>
                <w:rFonts w:eastAsia="Calibri" w:cstheme="minorHAnsi"/>
                <w:b/>
                <w:bCs/>
                <w:lang w:val="es-CO"/>
              </w:rPr>
            </w:pPr>
            <w:r w:rsidRPr="00C61DA9">
              <w:rPr>
                <w:rFonts w:eastAsia="Calibri" w:cstheme="minorHAnsi"/>
                <w:b/>
                <w:bCs/>
                <w:lang w:val="es-CO"/>
              </w:rPr>
              <w:t>Excepciones de mérito frente a la demanda</w:t>
            </w:r>
          </w:p>
          <w:p w14:paraId="722DD06F" w14:textId="77777777" w:rsidR="004F2132" w:rsidRPr="00C61DA9" w:rsidRDefault="004F2132" w:rsidP="004F2132">
            <w:pPr>
              <w:spacing w:after="0" w:line="240" w:lineRule="auto"/>
              <w:ind w:right="-20"/>
              <w:jc w:val="both"/>
              <w:rPr>
                <w:rFonts w:eastAsia="Calibri" w:cstheme="minorHAnsi"/>
                <w:lang w:val="es-CO"/>
              </w:rPr>
            </w:pPr>
          </w:p>
          <w:p w14:paraId="5F785059" w14:textId="62A236DF"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1.Excepciones planteadas por quien formuló el llamamiento a Chubb Seguros Colombia S.A.</w:t>
            </w:r>
          </w:p>
          <w:p w14:paraId="25AF5441" w14:textId="041FEF4B"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2.Inexistencia de falla en el servicio por parte de la Notaria Tercera del Circuito de Tuluá, Valle</w:t>
            </w:r>
          </w:p>
          <w:p w14:paraId="524006FF" w14:textId="582BC166"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 xml:space="preserve">3.Inexistencia de responsabilidad por encontrarse configurada la causal eximente de responsabilidad – causa extraña – hecho de un tercero. </w:t>
            </w:r>
          </w:p>
          <w:p w14:paraId="7D59461D" w14:textId="21A745E4"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4.Improcedente reconocimiento y exorbitante tasación de perjuicios morales.</w:t>
            </w:r>
          </w:p>
          <w:p w14:paraId="64E3D2CD" w14:textId="2930FB85"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5.Improcedencia del daño a la salud.</w:t>
            </w:r>
          </w:p>
          <w:p w14:paraId="131ADD83" w14:textId="572DDFED"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6.Improcedencia de los perjuicios afectaciones relevantes a bienes o derechos convencional y constitucionalmente amparados (“Unidad familiar modus vivendi”) y daño a la honra.</w:t>
            </w:r>
          </w:p>
          <w:p w14:paraId="08B0B8AB" w14:textId="15F4734C"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7.Ausencia de prueba de los perjuicios patrimoniales.</w:t>
            </w:r>
          </w:p>
          <w:p w14:paraId="7EA935EF" w14:textId="5DF7E92C"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 xml:space="preserve">8.Genérica o innominada. </w:t>
            </w:r>
          </w:p>
          <w:p w14:paraId="7D8761F6" w14:textId="77777777" w:rsidR="004F2132" w:rsidRPr="00C61DA9" w:rsidRDefault="004F2132" w:rsidP="004F2132">
            <w:pPr>
              <w:spacing w:after="0" w:line="240" w:lineRule="auto"/>
              <w:ind w:right="-20"/>
              <w:jc w:val="both"/>
              <w:rPr>
                <w:rFonts w:eastAsia="Calibri" w:cstheme="minorHAnsi"/>
                <w:lang w:val="es-CO"/>
              </w:rPr>
            </w:pPr>
          </w:p>
          <w:p w14:paraId="3C870C68" w14:textId="0AB93087" w:rsidR="004F2132" w:rsidRPr="00C61DA9" w:rsidRDefault="004F2132" w:rsidP="004F2132">
            <w:pPr>
              <w:spacing w:after="0" w:line="240" w:lineRule="auto"/>
              <w:ind w:right="-20"/>
              <w:jc w:val="both"/>
              <w:rPr>
                <w:rFonts w:eastAsia="Calibri" w:cstheme="minorHAnsi"/>
                <w:b/>
                <w:bCs/>
                <w:lang w:val="es-CO"/>
              </w:rPr>
            </w:pPr>
            <w:r w:rsidRPr="00C61DA9">
              <w:rPr>
                <w:rFonts w:eastAsia="Calibri" w:cstheme="minorHAnsi"/>
                <w:b/>
                <w:bCs/>
                <w:lang w:val="es-CO"/>
              </w:rPr>
              <w:t>Excepciones de fondo frente al llamamiento en garantía.</w:t>
            </w:r>
          </w:p>
          <w:p w14:paraId="44C7FB45" w14:textId="77777777" w:rsidR="004F2132" w:rsidRPr="00C61DA9" w:rsidRDefault="004F2132" w:rsidP="004F2132">
            <w:pPr>
              <w:spacing w:after="0" w:line="240" w:lineRule="auto"/>
              <w:ind w:right="-20"/>
              <w:jc w:val="both"/>
              <w:rPr>
                <w:rFonts w:eastAsia="Calibri" w:cstheme="minorHAnsi"/>
                <w:lang w:val="es-CO"/>
              </w:rPr>
            </w:pPr>
          </w:p>
          <w:p w14:paraId="23F3D1EB" w14:textId="46FF6586"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1.Ausencia de pretensiones en el escrito de llamamiento en garantía que hagan viable una condena en contra de mi representada.</w:t>
            </w:r>
          </w:p>
          <w:p w14:paraId="5BC8D992" w14:textId="4EE6AF41"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lastRenderedPageBreak/>
              <w:t>2.Ausencia de cobertura temporal de la póliza de responsabilidad civil extracontractual No. 36270.</w:t>
            </w:r>
          </w:p>
          <w:p w14:paraId="434F8E88" w14:textId="02DE27D5"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3.Inexistencia de obligación indemnizatoria a cargo de CHUBB SEGUROS COLOMBIA S.A. por no haberse realizado el riesgo asegurado en la póliza de responsabilidad civil No. 36284 (certificado individual No. 835)</w:t>
            </w:r>
          </w:p>
          <w:p w14:paraId="5E1BBEBD" w14:textId="1FAADA57"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4.No podrá excederse el límite del valor asegurado en la póliza No. 36284.</w:t>
            </w:r>
          </w:p>
          <w:p w14:paraId="69712F80" w14:textId="78870BC7"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5.Coaseguro e inexistencia de responsabilidad solidaria entre las coaseguradoras.</w:t>
            </w:r>
          </w:p>
          <w:p w14:paraId="36382F59" w14:textId="6FDBCFC5"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6.Existencia de deducible a cargo del asegurado.</w:t>
            </w:r>
          </w:p>
          <w:p w14:paraId="247D27C0" w14:textId="5EBEA9C8"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7.Exclusiones de amparo en la póliza de responsabilidad civil No. 36284.</w:t>
            </w:r>
          </w:p>
          <w:p w14:paraId="706AAFFD" w14:textId="5384492D" w:rsidR="004F2132"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8.Carácter meramente indemnizatorio que reviste los contratos de seguro.</w:t>
            </w:r>
          </w:p>
          <w:p w14:paraId="66997189" w14:textId="14F8364A" w:rsidR="009A793D" w:rsidRPr="00C61DA9" w:rsidRDefault="004F2132" w:rsidP="004F2132">
            <w:pPr>
              <w:spacing w:after="0" w:line="240" w:lineRule="auto"/>
              <w:ind w:right="-20"/>
              <w:jc w:val="both"/>
              <w:rPr>
                <w:rFonts w:eastAsia="Calibri" w:cstheme="minorHAnsi"/>
                <w:lang w:val="es-CO"/>
              </w:rPr>
            </w:pPr>
            <w:r w:rsidRPr="00C61DA9">
              <w:rPr>
                <w:rFonts w:eastAsia="Calibri" w:cstheme="minorHAnsi"/>
                <w:lang w:val="es-CO"/>
              </w:rPr>
              <w:t>9.Genérica o innominada.</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Pr="00C61DA9" w:rsidRDefault="007E3E69" w:rsidP="007E3E69">
            <w:pPr>
              <w:spacing w:after="0" w:line="240" w:lineRule="auto"/>
              <w:ind w:right="-2"/>
              <w:jc w:val="both"/>
              <w:rPr>
                <w:rFonts w:eastAsia="Calibri" w:cstheme="minorHAnsi"/>
                <w:position w:val="1"/>
                <w:lang w:val="es-419"/>
              </w:rPr>
            </w:pPr>
            <w:r w:rsidRPr="00C61DA9">
              <w:rPr>
                <w:rFonts w:eastAsia="Calibri" w:cstheme="minorHAnsi"/>
                <w:b/>
                <w:bCs/>
                <w:position w:val="1"/>
                <w:lang w:val="es-419"/>
              </w:rPr>
              <w:t xml:space="preserve"> Contingencia</w:t>
            </w:r>
            <w:r w:rsidRPr="00C61DA9">
              <w:rPr>
                <w:rFonts w:eastAsia="Calibri" w:cstheme="minorHAnsi"/>
                <w:position w:val="1"/>
                <w:lang w:val="es-419"/>
              </w:rPr>
              <w:t xml:space="preserve">: </w:t>
            </w:r>
          </w:p>
          <w:p w14:paraId="37E533DE" w14:textId="77777777" w:rsidR="007E3E69" w:rsidRPr="00C61DA9" w:rsidRDefault="007E3E69" w:rsidP="007E3E69">
            <w:pPr>
              <w:spacing w:after="0" w:line="240" w:lineRule="auto"/>
              <w:ind w:left="59" w:right="-2"/>
              <w:jc w:val="both"/>
              <w:rPr>
                <w:rFonts w:eastAsia="Calibri" w:cstheme="minorHAnsi"/>
                <w:position w:val="1"/>
                <w:lang w:val="es-419"/>
              </w:rPr>
            </w:pPr>
          </w:p>
          <w:p w14:paraId="1F0F129A" w14:textId="46F6ACCF" w:rsidR="007E3E69" w:rsidRPr="00C61DA9" w:rsidRDefault="007E3E69" w:rsidP="007E3E69">
            <w:pPr>
              <w:spacing w:after="0" w:line="240" w:lineRule="auto"/>
              <w:ind w:left="59" w:right="-2"/>
              <w:jc w:val="both"/>
              <w:rPr>
                <w:rFonts w:eastAsia="Calibri" w:cstheme="minorHAnsi"/>
                <w:position w:val="1"/>
                <w:u w:val="single" w:color="000000"/>
                <w:lang w:val="es-419"/>
              </w:rPr>
            </w:pPr>
            <w:r w:rsidRPr="00C61DA9">
              <w:rPr>
                <w:rFonts w:eastAsia="Calibri" w:cstheme="minorHAnsi"/>
                <w:position w:val="1"/>
                <w:lang w:val="es-419"/>
              </w:rPr>
              <w:t>Re</w:t>
            </w:r>
            <w:r w:rsidRPr="00C61DA9">
              <w:rPr>
                <w:rFonts w:eastAsia="Calibri" w:cstheme="minorHAnsi"/>
                <w:spacing w:val="-1"/>
                <w:position w:val="1"/>
                <w:lang w:val="es-419"/>
              </w:rPr>
              <w:t>m</w:t>
            </w:r>
            <w:r w:rsidRPr="00C61DA9">
              <w:rPr>
                <w:rFonts w:eastAsia="Calibri" w:cstheme="minorHAnsi"/>
                <w:spacing w:val="1"/>
                <w:position w:val="1"/>
                <w:lang w:val="es-419"/>
              </w:rPr>
              <w:t>o</w:t>
            </w:r>
            <w:r w:rsidRPr="00C61DA9">
              <w:rPr>
                <w:rFonts w:eastAsia="Calibri" w:cstheme="minorHAnsi"/>
                <w:position w:val="1"/>
                <w:lang w:val="es-419"/>
              </w:rPr>
              <w:t>ta</w:t>
            </w:r>
            <w:r w:rsidRPr="00C61DA9">
              <w:rPr>
                <w:rFonts w:eastAsia="Calibri" w:cstheme="minorHAnsi"/>
                <w:spacing w:val="-1"/>
                <w:position w:val="1"/>
                <w:lang w:val="es-419"/>
              </w:rPr>
              <w:t xml:space="preserve"> </w:t>
            </w:r>
            <w:r w:rsidRPr="00C61DA9">
              <w:rPr>
                <w:rFonts w:eastAsia="Calibri" w:cstheme="minorHAnsi"/>
                <w:position w:val="1"/>
                <w:u w:val="single" w:color="000000"/>
                <w:lang w:val="es-419"/>
              </w:rPr>
              <w:t xml:space="preserve">  </w:t>
            </w:r>
            <w:r w:rsidR="002B37F5" w:rsidRPr="00C61DA9">
              <w:rPr>
                <w:rFonts w:eastAsia="Calibri" w:cstheme="minorHAnsi"/>
                <w:position w:val="1"/>
                <w:u w:val="single" w:color="000000"/>
                <w:lang w:val="es-419"/>
              </w:rPr>
              <w:t>x</w:t>
            </w:r>
            <w:r w:rsidRPr="00C61DA9">
              <w:rPr>
                <w:rFonts w:eastAsia="Calibri" w:cstheme="minorHAnsi"/>
                <w:spacing w:val="22"/>
                <w:position w:val="1"/>
                <w:u w:val="single" w:color="000000"/>
                <w:lang w:val="es-419"/>
              </w:rPr>
              <w:t xml:space="preserve"> _</w:t>
            </w:r>
            <w:r w:rsidRPr="00C61DA9">
              <w:rPr>
                <w:rFonts w:eastAsia="Calibri" w:cstheme="minorHAnsi"/>
                <w:spacing w:val="-2"/>
                <w:position w:val="1"/>
                <w:lang w:val="es-419"/>
              </w:rPr>
              <w:t xml:space="preserve"> </w:t>
            </w:r>
            <w:r w:rsidRPr="00C61DA9">
              <w:rPr>
                <w:rFonts w:eastAsia="Calibri" w:cstheme="minorHAnsi"/>
                <w:position w:val="1"/>
                <w:lang w:val="es-419"/>
              </w:rPr>
              <w:t>E</w:t>
            </w:r>
            <w:r w:rsidRPr="00C61DA9">
              <w:rPr>
                <w:rFonts w:eastAsia="Calibri" w:cstheme="minorHAnsi"/>
                <w:spacing w:val="-1"/>
                <w:position w:val="1"/>
                <w:lang w:val="es-419"/>
              </w:rPr>
              <w:t>v</w:t>
            </w:r>
            <w:r w:rsidRPr="00C61DA9">
              <w:rPr>
                <w:rFonts w:eastAsia="Calibri" w:cstheme="minorHAnsi"/>
                <w:position w:val="1"/>
                <w:lang w:val="es-419"/>
              </w:rPr>
              <w:t>entu</w:t>
            </w:r>
            <w:r w:rsidRPr="00C61DA9">
              <w:rPr>
                <w:rFonts w:eastAsia="Calibri" w:cstheme="minorHAnsi"/>
                <w:spacing w:val="-1"/>
                <w:position w:val="1"/>
                <w:lang w:val="es-419"/>
              </w:rPr>
              <w:t>a</w:t>
            </w:r>
            <w:r w:rsidRPr="00C61DA9">
              <w:rPr>
                <w:rFonts w:eastAsia="Calibri" w:cstheme="minorHAnsi"/>
                <w:position w:val="1"/>
                <w:lang w:val="es-419"/>
              </w:rPr>
              <w:t>l</w:t>
            </w:r>
            <w:r w:rsidRPr="00C61DA9">
              <w:rPr>
                <w:rFonts w:eastAsia="Calibri" w:cstheme="minorHAnsi"/>
                <w:spacing w:val="1"/>
                <w:position w:val="1"/>
                <w:lang w:val="es-419"/>
              </w:rPr>
              <w:t xml:space="preserve"> ___ Probable</w:t>
            </w:r>
            <w:r w:rsidRPr="00C61DA9">
              <w:rPr>
                <w:rFonts w:eastAsia="Calibri" w:cstheme="minorHAnsi"/>
                <w:spacing w:val="-1"/>
                <w:position w:val="1"/>
                <w:lang w:val="es-419"/>
              </w:rPr>
              <w:t xml:space="preserve"> ____</w:t>
            </w:r>
          </w:p>
          <w:p w14:paraId="5B543BDB" w14:textId="77777777" w:rsidR="007E3E69" w:rsidRPr="00C61DA9" w:rsidRDefault="007E3E69" w:rsidP="007E3E69">
            <w:pPr>
              <w:spacing w:after="0" w:line="240" w:lineRule="auto"/>
              <w:ind w:left="59" w:right="-2"/>
              <w:jc w:val="both"/>
              <w:rPr>
                <w:rFonts w:eastAsia="Calibri" w:cstheme="minorHAnsi"/>
                <w:b/>
                <w:bCs/>
                <w:position w:val="1"/>
                <w:lang w:val="es-419"/>
              </w:rPr>
            </w:pPr>
          </w:p>
          <w:p w14:paraId="4BAC2C7A" w14:textId="3CA77AF1" w:rsidR="007E3E69" w:rsidRPr="00C61DA9" w:rsidRDefault="007E3E69" w:rsidP="007E3E69">
            <w:pPr>
              <w:spacing w:after="0" w:line="240" w:lineRule="auto"/>
              <w:ind w:right="-2"/>
              <w:jc w:val="both"/>
              <w:rPr>
                <w:rFonts w:eastAsia="Calibri" w:cstheme="minorHAnsi"/>
                <w:position w:val="1"/>
                <w:lang w:val="es-419"/>
              </w:rPr>
            </w:pPr>
            <w:r w:rsidRPr="00C61DA9">
              <w:rPr>
                <w:rFonts w:eastAsia="Calibri" w:cstheme="minorHAnsi"/>
                <w:b/>
                <w:bCs/>
                <w:position w:val="1"/>
                <w:lang w:val="es-419"/>
              </w:rPr>
              <w:t xml:space="preserve"> Nivel:</w:t>
            </w:r>
            <w:r w:rsidRPr="00C61DA9">
              <w:rPr>
                <w:rFonts w:eastAsia="Calibri" w:cstheme="minorHAnsi"/>
                <w:position w:val="1"/>
                <w:lang w:val="es-419"/>
              </w:rPr>
              <w:t xml:space="preserve"> </w:t>
            </w:r>
          </w:p>
          <w:p w14:paraId="2040F64F" w14:textId="77777777" w:rsidR="007E3E69" w:rsidRPr="00C61DA9" w:rsidRDefault="007E3E69" w:rsidP="007E3E69">
            <w:pPr>
              <w:spacing w:after="0" w:line="240" w:lineRule="auto"/>
              <w:ind w:left="59" w:right="-2"/>
              <w:jc w:val="both"/>
              <w:rPr>
                <w:rFonts w:eastAsia="Calibri" w:cstheme="minorHAnsi"/>
                <w:position w:val="1"/>
                <w:lang w:val="es-419"/>
              </w:rPr>
            </w:pPr>
          </w:p>
          <w:p w14:paraId="786095FC" w14:textId="0FA1A2FE" w:rsidR="007E3E69" w:rsidRPr="00C61DA9" w:rsidRDefault="007E3E69" w:rsidP="007E3E69">
            <w:pPr>
              <w:spacing w:after="0" w:line="240" w:lineRule="auto"/>
              <w:ind w:left="59" w:right="-2"/>
              <w:jc w:val="both"/>
              <w:rPr>
                <w:rFonts w:eastAsia="Calibri" w:cstheme="minorHAnsi"/>
                <w:position w:val="1"/>
                <w:lang w:val="es-419"/>
              </w:rPr>
            </w:pPr>
            <w:r w:rsidRPr="00C61DA9">
              <w:rPr>
                <w:rFonts w:eastAsia="Calibri" w:cstheme="minorHAnsi"/>
                <w:position w:val="1"/>
                <w:lang w:val="es-419"/>
              </w:rPr>
              <w:t>Bajo __</w:t>
            </w:r>
            <w:r w:rsidR="002B37F5" w:rsidRPr="00C61DA9">
              <w:rPr>
                <w:rFonts w:eastAsia="Calibri" w:cstheme="minorHAnsi"/>
                <w:position w:val="1"/>
                <w:lang w:val="es-419"/>
              </w:rPr>
              <w:t>x</w:t>
            </w:r>
            <w:r w:rsidRPr="00C61DA9">
              <w:rPr>
                <w:rFonts w:eastAsia="Calibri" w:cstheme="minorHAnsi"/>
                <w:position w:val="1"/>
                <w:lang w:val="es-419"/>
              </w:rPr>
              <w:t>__     Medio ___    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6D091BC" w14:textId="77777777" w:rsidR="00C61DA9" w:rsidRPr="00C61DA9" w:rsidRDefault="00C61DA9" w:rsidP="00C61DA9">
            <w:pPr>
              <w:tabs>
                <w:tab w:val="left" w:pos="3520"/>
              </w:tabs>
              <w:spacing w:after="0" w:line="264" w:lineRule="exact"/>
              <w:ind w:left="59" w:right="-20"/>
              <w:jc w:val="both"/>
              <w:rPr>
                <w:rFonts w:eastAsia="Calibri" w:cstheme="minorHAnsi"/>
                <w:lang w:val="es-CO"/>
              </w:rPr>
            </w:pPr>
            <w:r w:rsidRPr="00C61DA9">
              <w:rPr>
                <w:rFonts w:eastAsia="Calibri" w:cstheme="minorHAnsi"/>
                <w:lang w:val="es-CO"/>
              </w:rPr>
              <w:t xml:space="preserve">Una vez surtido el debate probatorio, se tiene que la contingencia se debe actualizar a REMOTA toda vez que la parte demandante no logró, como era su deber, en aplicación del principio de la carga de la prueba establecido en el artículo 167 del Código General del Proceso, demostrar que la Notaría Tercera (3a) del Círculo de Tuluá (V) incurrió en alguna falla del servicio al momento de realizar la escrituración del negocio jurídico de compraventa celebrado por la demandante Beatriz Eugenia Castaño. En concreto, de las declaraciones del Notario Camilo Bustamante y las funcionarias de la Notaría Tercera (3a) del Círculo de Tuluá (V) Ana Bolena Martínez y Bertha Elena Henao se desprende que las normas que estimó vulneradas la parte actora, esto es, el artículo 3 numeral 3 del Decreto 960 de 1970, no tienen aplicación al caso sub judice y lo cierto es que tampoco existe una disposición de carácter legal o reglamentaria que obligue a las notarías a verificar la autenticidad de los documentos, su legalidad o tomar medidas preventivas al momento de usar el sistema biométrico como por ejemplo limpiar las manos y huellas de los usuarios. </w:t>
            </w:r>
          </w:p>
          <w:p w14:paraId="6A73B874" w14:textId="77777777" w:rsidR="00C61DA9" w:rsidRPr="00C61DA9" w:rsidRDefault="00C61DA9" w:rsidP="00C61DA9">
            <w:pPr>
              <w:tabs>
                <w:tab w:val="left" w:pos="3520"/>
              </w:tabs>
              <w:spacing w:after="0" w:line="264" w:lineRule="exact"/>
              <w:ind w:left="59" w:right="-20"/>
              <w:jc w:val="both"/>
              <w:rPr>
                <w:rFonts w:eastAsia="Calibri" w:cstheme="minorHAnsi"/>
                <w:lang w:val="es-CO"/>
              </w:rPr>
            </w:pPr>
          </w:p>
          <w:p w14:paraId="74782E34" w14:textId="77777777" w:rsidR="00C61DA9" w:rsidRPr="00C61DA9" w:rsidRDefault="00C61DA9" w:rsidP="00C61DA9">
            <w:pPr>
              <w:tabs>
                <w:tab w:val="left" w:pos="3520"/>
              </w:tabs>
              <w:spacing w:after="0" w:line="264" w:lineRule="exact"/>
              <w:ind w:left="59" w:right="-20"/>
              <w:jc w:val="both"/>
              <w:rPr>
                <w:rFonts w:eastAsia="Calibri" w:cstheme="minorHAnsi"/>
                <w:lang w:val="es-CO"/>
              </w:rPr>
            </w:pPr>
            <w:r w:rsidRPr="00C61DA9">
              <w:rPr>
                <w:rFonts w:eastAsia="Calibri" w:cstheme="minorHAnsi"/>
                <w:lang w:val="es-CO"/>
              </w:rPr>
              <w:t xml:space="preserve">En ese sentido, ante la orfandad probatoria de la cual adolece la teoría del caso de la parte demandante, se tiene que debe prevalecer la tesis propuesta tanto por el asegurado como por Chubb Seguros Colombia S.A. al momento de contestar la demanda y el llamamiento en garantía, esto es, de conformidad con la jurisprudencia del H. Consejo de Estado vertida en sentencias como la del 12 de noviembre de 2014 bajo el expediente 26214 con ponencia de la Consejera Olga Mélida Valle de la Hoz, los daños ocurridos por la falsificación de documentos resultan imputables a quienes efectuaron la adulteración de los instrumentos, circunstancia que resulta ser una eximente para los demandados por la configuración del hecho de un tercero imprevisible e irresistible. </w:t>
            </w:r>
          </w:p>
          <w:p w14:paraId="41916897" w14:textId="77777777" w:rsidR="00C61DA9" w:rsidRPr="00C61DA9" w:rsidRDefault="00C61DA9" w:rsidP="00C61DA9">
            <w:pPr>
              <w:tabs>
                <w:tab w:val="left" w:pos="3520"/>
              </w:tabs>
              <w:spacing w:after="0" w:line="264" w:lineRule="exact"/>
              <w:ind w:left="59" w:right="-20"/>
              <w:jc w:val="both"/>
              <w:rPr>
                <w:rFonts w:eastAsia="Calibri" w:cstheme="minorHAnsi"/>
                <w:lang w:val="es-CO"/>
              </w:rPr>
            </w:pPr>
          </w:p>
          <w:p w14:paraId="026651AF" w14:textId="77777777" w:rsidR="00C61DA9" w:rsidRPr="00C61DA9" w:rsidRDefault="00C61DA9" w:rsidP="00C61DA9">
            <w:pPr>
              <w:tabs>
                <w:tab w:val="left" w:pos="3520"/>
              </w:tabs>
              <w:spacing w:after="0" w:line="264" w:lineRule="exact"/>
              <w:ind w:left="59" w:right="-20"/>
              <w:jc w:val="both"/>
              <w:rPr>
                <w:rFonts w:eastAsia="Calibri" w:cstheme="minorHAnsi"/>
                <w:lang w:val="es-CO"/>
              </w:rPr>
            </w:pPr>
            <w:r w:rsidRPr="00C61DA9">
              <w:rPr>
                <w:rFonts w:eastAsia="Calibri" w:cstheme="minorHAnsi"/>
                <w:lang w:val="es-CO"/>
              </w:rPr>
              <w:t xml:space="preserve">En el anterior punto, también se debe resaltar, según la documental allegada al proceso, que, la Unión Colegiada de Notarios, certificó que de 40 millones de cotejos a través del sistema biométrico sólo se habían registrado tres (3) fraudes en el país y que, antes de los hechos materia de juzgamiento, la Notaría Tercera (3a) de Tuluá (V) no había experimentado un fraude similar, por lo que cobra aun mayor fuerza la tesis del hecho de un tercero como causal eximente de responsabilidad del llamante en garantía, máxime cuando las fallas y/o vulnerabilidades del sistema biométrico no habían sido registradas en dicho despacho, lo cual en últimas demuestra la imprevisibilidad e irresistibilidad del evento dañoso. </w:t>
            </w:r>
          </w:p>
          <w:p w14:paraId="2A585E79" w14:textId="77777777" w:rsidR="00C61DA9" w:rsidRPr="00C61DA9" w:rsidRDefault="00C61DA9" w:rsidP="00C61DA9">
            <w:pPr>
              <w:tabs>
                <w:tab w:val="left" w:pos="3520"/>
              </w:tabs>
              <w:spacing w:after="0" w:line="264" w:lineRule="exact"/>
              <w:ind w:left="59" w:right="-20"/>
              <w:jc w:val="both"/>
              <w:rPr>
                <w:rFonts w:eastAsia="Calibri" w:cstheme="minorHAnsi"/>
                <w:lang w:val="es-CO"/>
              </w:rPr>
            </w:pPr>
          </w:p>
          <w:p w14:paraId="425119B2" w14:textId="1B2D0EC5" w:rsidR="007E3E69" w:rsidRPr="00C61DA9" w:rsidRDefault="00C61DA9" w:rsidP="00C61DA9">
            <w:pPr>
              <w:tabs>
                <w:tab w:val="left" w:pos="3520"/>
              </w:tabs>
              <w:spacing w:after="0" w:line="264" w:lineRule="exact"/>
              <w:ind w:left="59" w:right="-20"/>
              <w:jc w:val="both"/>
              <w:rPr>
                <w:rFonts w:eastAsia="Calibri" w:cstheme="minorHAnsi"/>
                <w:lang w:val="es-CO"/>
              </w:rPr>
            </w:pPr>
            <w:r w:rsidRPr="00C61DA9">
              <w:rPr>
                <w:rFonts w:eastAsia="Calibri" w:cstheme="minorHAnsi"/>
                <w:lang w:val="es-CO"/>
              </w:rPr>
              <w:t>Todo lo anterior, sin perjuicio de la contingencia connatural de todo proceso y la valoración que el despacho realice sobre las demás pruebas documentales obrantes dentro del expediente.</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BC78AFD" w14:textId="1E96FA60" w:rsidR="007E3E69" w:rsidRPr="00C61DA9" w:rsidRDefault="0099732F" w:rsidP="007E3E69">
            <w:pPr>
              <w:spacing w:after="0" w:line="239" w:lineRule="auto"/>
              <w:ind w:left="59" w:right="-2"/>
              <w:jc w:val="both"/>
              <w:rPr>
                <w:rFonts w:eastAsia="Calibri" w:cstheme="minorHAnsi"/>
                <w:lang w:val="es-CO"/>
              </w:rPr>
            </w:pPr>
            <w:r w:rsidRPr="00C61DA9">
              <w:rPr>
                <w:rFonts w:eastAsia="Calibri" w:cstheme="minorHAnsi"/>
                <w:lang w:val="es-CO"/>
              </w:rPr>
              <w:t>$</w:t>
            </w:r>
            <w:r w:rsidR="00C61DA9" w:rsidRPr="00C61DA9">
              <w:rPr>
                <w:rFonts w:eastAsia="Calibri" w:cstheme="minorHAnsi"/>
                <w:lang w:val="es-CO"/>
              </w:rPr>
              <w:t>18.904.856</w:t>
            </w:r>
            <w:r w:rsidRPr="00C61DA9">
              <w:rPr>
                <w:rFonts w:eastAsia="Calibri" w:cstheme="minorHAnsi"/>
                <w:lang w:val="es-CO"/>
              </w:rPr>
              <w:t xml:space="preserve"> Correspondiente al 5% del valor de la contingencia</w:t>
            </w:r>
            <w:r w:rsidR="00C61DA9" w:rsidRPr="00C61DA9">
              <w:rPr>
                <w:rFonts w:eastAsia="Calibri" w:cstheme="minorHAnsi"/>
                <w:lang w:val="es-CO"/>
              </w:rPr>
              <w:t>. No nos acogemos al valor de reserva de $</w:t>
            </w:r>
            <w:r w:rsidR="00F10A3B">
              <w:rPr>
                <w:rFonts w:eastAsia="Calibri" w:cstheme="minorHAnsi"/>
                <w:lang w:val="es-CO"/>
              </w:rPr>
              <w:t>3.964.563</w:t>
            </w:r>
            <w:r w:rsidR="00C61DA9" w:rsidRPr="00C61DA9">
              <w:rPr>
                <w:rFonts w:eastAsia="Calibri" w:cstheme="minorHAnsi"/>
                <w:lang w:val="es-CO"/>
              </w:rPr>
              <w:t xml:space="preserve"> sugerido por el modelo de riesgo técnico jurídico toda vez que no es acorde con la calificación de la contingencia.</w:t>
            </w:r>
          </w:p>
          <w:p w14:paraId="05FB2EE9" w14:textId="77777777" w:rsidR="00C61DA9" w:rsidRPr="00C61DA9" w:rsidRDefault="00C61DA9" w:rsidP="007E3E69">
            <w:pPr>
              <w:spacing w:after="0" w:line="239" w:lineRule="auto"/>
              <w:ind w:left="59" w:right="-2"/>
              <w:jc w:val="both"/>
              <w:rPr>
                <w:rFonts w:eastAsia="Calibri" w:cstheme="minorHAnsi"/>
                <w:lang w:val="es-CO"/>
              </w:rPr>
            </w:pPr>
          </w:p>
          <w:p w14:paraId="7F500556" w14:textId="77777777" w:rsidR="00C61DA9" w:rsidRPr="00C61DA9" w:rsidRDefault="00C61DA9" w:rsidP="007E3E69">
            <w:pPr>
              <w:spacing w:after="0" w:line="239" w:lineRule="auto"/>
              <w:ind w:left="59" w:right="-2"/>
              <w:jc w:val="both"/>
              <w:rPr>
                <w:rFonts w:eastAsia="Calibri" w:cstheme="minorHAnsi"/>
                <w:lang w:val="es-CO"/>
              </w:rPr>
            </w:pPr>
          </w:p>
          <w:p w14:paraId="321A1BB9" w14:textId="06A3FA29" w:rsidR="00C61DA9" w:rsidRPr="00C61DA9" w:rsidRDefault="00C61DA9" w:rsidP="007E3E69">
            <w:pPr>
              <w:spacing w:after="0" w:line="239" w:lineRule="auto"/>
              <w:ind w:left="59" w:right="-2"/>
              <w:jc w:val="both"/>
              <w:rPr>
                <w:rFonts w:eastAsia="Calibri" w:cstheme="minorHAnsi"/>
                <w:lang w:val="es-CO"/>
              </w:rPr>
            </w:pP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A34E036" w:rsidR="007E3E69" w:rsidRPr="00C61DA9" w:rsidRDefault="003303EE" w:rsidP="007E3E69">
            <w:pPr>
              <w:spacing w:after="0" w:line="264" w:lineRule="exact"/>
              <w:ind w:right="-20"/>
              <w:jc w:val="both"/>
              <w:rPr>
                <w:rFonts w:eastAsia="Calibri" w:cstheme="minorHAnsi"/>
                <w:lang w:val="es-CO"/>
              </w:rPr>
            </w:pPr>
            <w:proofErr w:type="gramStart"/>
            <w:r w:rsidRPr="00C61DA9">
              <w:rPr>
                <w:rFonts w:eastAsia="Calibri" w:cstheme="minorHAnsi"/>
                <w:lang w:val="es-CO"/>
              </w:rPr>
              <w:t xml:space="preserve">El  </w:t>
            </w:r>
            <w:r w:rsidR="00C61DA9" w:rsidRPr="00C61DA9">
              <w:rPr>
                <w:rFonts w:eastAsia="Calibri" w:cstheme="minorHAnsi"/>
                <w:lang w:val="es-CO"/>
              </w:rPr>
              <w:t>13</w:t>
            </w:r>
            <w:proofErr w:type="gramEnd"/>
            <w:r w:rsidR="00590842" w:rsidRPr="00C61DA9">
              <w:rPr>
                <w:rFonts w:eastAsia="Calibri" w:cstheme="minorHAnsi"/>
                <w:lang w:val="es-CO"/>
              </w:rPr>
              <w:t xml:space="preserve"> de enero de 202</w:t>
            </w:r>
            <w:r w:rsidR="00C61DA9" w:rsidRPr="00C61DA9">
              <w:rPr>
                <w:rFonts w:eastAsia="Calibri" w:cstheme="minorHAnsi"/>
                <w:lang w:val="es-CO"/>
              </w:rPr>
              <w:t>5</w:t>
            </w:r>
            <w:r w:rsidR="00590842" w:rsidRPr="00C61DA9">
              <w:rPr>
                <w:rFonts w:eastAsia="Calibri" w:cstheme="minorHAnsi"/>
                <w:lang w:val="es-CO"/>
              </w:rPr>
              <w:t xml:space="preserve"> </w:t>
            </w:r>
            <w:r w:rsidRPr="00C61DA9">
              <w:rPr>
                <w:rFonts w:eastAsia="Calibri" w:cstheme="minorHAnsi"/>
                <w:lang w:val="es-CO"/>
              </w:rPr>
              <w:t>se radic</w:t>
            </w:r>
            <w:r w:rsidR="00C61DA9" w:rsidRPr="00C61DA9">
              <w:rPr>
                <w:rFonts w:eastAsia="Calibri" w:cstheme="minorHAnsi"/>
                <w:lang w:val="es-CO"/>
              </w:rPr>
              <w:t xml:space="preserve">aron los alegatos de conclusión </w:t>
            </w:r>
            <w:r w:rsidRPr="00C61DA9">
              <w:rPr>
                <w:rFonts w:eastAsia="Calibri" w:cstheme="minorHAnsi"/>
                <w:lang w:val="es-CO"/>
              </w:rPr>
              <w:t xml:space="preserve">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12E86ED" w:rsidR="007E3E69" w:rsidRPr="00C61DA9" w:rsidRDefault="003303EE" w:rsidP="007E3E69">
            <w:pPr>
              <w:spacing w:after="0" w:line="240" w:lineRule="auto"/>
              <w:ind w:left="59" w:right="-20"/>
              <w:jc w:val="both"/>
              <w:rPr>
                <w:rFonts w:eastAsia="Calibri" w:cstheme="minorHAnsi"/>
                <w:lang w:val="es-CO"/>
              </w:rPr>
            </w:pPr>
            <w:r w:rsidRPr="00C61DA9">
              <w:rPr>
                <w:rFonts w:eastAsia="Calibri" w:cstheme="minorHAnsi"/>
                <w:lang w:val="es-CO"/>
              </w:rPr>
              <w:t>S</w:t>
            </w:r>
            <w:r w:rsidR="002D6239" w:rsidRPr="00C61DA9">
              <w:rPr>
                <w:rFonts w:eastAsia="Calibri" w:cstheme="minorHAnsi"/>
                <w:lang w:val="es-CO"/>
              </w:rPr>
              <w:t>e recomienda no tener ánimo conciliatorio</w:t>
            </w:r>
            <w:r w:rsidR="002D484F" w:rsidRPr="00C61DA9">
              <w:rPr>
                <w:rFonts w:eastAsia="Calibri" w:cstheme="minorHAnsi"/>
                <w:lang w:val="es-CO"/>
              </w:rPr>
              <w:t>.</w:t>
            </w:r>
            <w:r w:rsidRPr="00C61DA9">
              <w:rPr>
                <w:rFonts w:eastAsia="Calibri" w:cstheme="minorHAns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D57E" w14:textId="77777777" w:rsidR="00E33B4D" w:rsidRDefault="00E33B4D" w:rsidP="00464E10">
      <w:pPr>
        <w:spacing w:after="0" w:line="240" w:lineRule="auto"/>
      </w:pPr>
      <w:r>
        <w:separator/>
      </w:r>
    </w:p>
  </w:endnote>
  <w:endnote w:type="continuationSeparator" w:id="0">
    <w:p w14:paraId="641F33D6" w14:textId="77777777" w:rsidR="00E33B4D" w:rsidRDefault="00E33B4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36DF" w14:textId="77777777" w:rsidR="00E33B4D" w:rsidRDefault="00E33B4D" w:rsidP="00464E10">
      <w:pPr>
        <w:spacing w:after="0" w:line="240" w:lineRule="auto"/>
      </w:pPr>
      <w:r>
        <w:separator/>
      </w:r>
    </w:p>
  </w:footnote>
  <w:footnote w:type="continuationSeparator" w:id="0">
    <w:p w14:paraId="6C59185C" w14:textId="77777777" w:rsidR="00E33B4D" w:rsidRDefault="00E33B4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1"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4"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1"/>
  </w:num>
  <w:num w:numId="2" w16cid:durableId="42338022">
    <w:abstractNumId w:val="33"/>
  </w:num>
  <w:num w:numId="3" w16cid:durableId="1952973066">
    <w:abstractNumId w:val="3"/>
  </w:num>
  <w:num w:numId="4" w16cid:durableId="391923332">
    <w:abstractNumId w:val="36"/>
  </w:num>
  <w:num w:numId="5" w16cid:durableId="1485508420">
    <w:abstractNumId w:val="26"/>
  </w:num>
  <w:num w:numId="6" w16cid:durableId="1229027101">
    <w:abstractNumId w:val="30"/>
  </w:num>
  <w:num w:numId="7" w16cid:durableId="1831141430">
    <w:abstractNumId w:val="18"/>
  </w:num>
  <w:num w:numId="8" w16cid:durableId="861169331">
    <w:abstractNumId w:val="20"/>
  </w:num>
  <w:num w:numId="9" w16cid:durableId="1243679302">
    <w:abstractNumId w:val="23"/>
  </w:num>
  <w:num w:numId="10" w16cid:durableId="289168077">
    <w:abstractNumId w:val="16"/>
  </w:num>
  <w:num w:numId="11" w16cid:durableId="1263798435">
    <w:abstractNumId w:val="4"/>
  </w:num>
  <w:num w:numId="12" w16cid:durableId="1956205555">
    <w:abstractNumId w:val="34"/>
  </w:num>
  <w:num w:numId="13" w16cid:durableId="1164202511">
    <w:abstractNumId w:val="28"/>
  </w:num>
  <w:num w:numId="14" w16cid:durableId="1412507570">
    <w:abstractNumId w:val="8"/>
  </w:num>
  <w:num w:numId="15" w16cid:durableId="730425482">
    <w:abstractNumId w:val="31"/>
  </w:num>
  <w:num w:numId="16" w16cid:durableId="846746930">
    <w:abstractNumId w:val="15"/>
  </w:num>
  <w:num w:numId="17" w16cid:durableId="1673409162">
    <w:abstractNumId w:val="2"/>
  </w:num>
  <w:num w:numId="18" w16cid:durableId="524446047">
    <w:abstractNumId w:val="19"/>
  </w:num>
  <w:num w:numId="19" w16cid:durableId="1772358953">
    <w:abstractNumId w:val="5"/>
  </w:num>
  <w:num w:numId="20" w16cid:durableId="1079061137">
    <w:abstractNumId w:val="27"/>
  </w:num>
  <w:num w:numId="21" w16cid:durableId="254285786">
    <w:abstractNumId w:val="24"/>
  </w:num>
  <w:num w:numId="22" w16cid:durableId="903758410">
    <w:abstractNumId w:val="32"/>
  </w:num>
  <w:num w:numId="23" w16cid:durableId="1133912039">
    <w:abstractNumId w:val="10"/>
  </w:num>
  <w:num w:numId="24" w16cid:durableId="826048483">
    <w:abstractNumId w:val="0"/>
  </w:num>
  <w:num w:numId="25" w16cid:durableId="1716350039">
    <w:abstractNumId w:val="9"/>
  </w:num>
  <w:num w:numId="26" w16cid:durableId="780414419">
    <w:abstractNumId w:val="12"/>
  </w:num>
  <w:num w:numId="27" w16cid:durableId="2125926578">
    <w:abstractNumId w:val="14"/>
  </w:num>
  <w:num w:numId="28" w16cid:durableId="1008749095">
    <w:abstractNumId w:val="1"/>
  </w:num>
  <w:num w:numId="29" w16cid:durableId="708142430">
    <w:abstractNumId w:val="7"/>
  </w:num>
  <w:num w:numId="30" w16cid:durableId="1433361525">
    <w:abstractNumId w:val="17"/>
  </w:num>
  <w:num w:numId="31" w16cid:durableId="428818017">
    <w:abstractNumId w:val="25"/>
  </w:num>
  <w:num w:numId="32" w16cid:durableId="1071460613">
    <w:abstractNumId w:val="29"/>
  </w:num>
  <w:num w:numId="33" w16cid:durableId="1465543123">
    <w:abstractNumId w:val="6"/>
  </w:num>
  <w:num w:numId="34" w16cid:durableId="1374694097">
    <w:abstractNumId w:val="35"/>
  </w:num>
  <w:num w:numId="35" w16cid:durableId="2061975196">
    <w:abstractNumId w:val="21"/>
  </w:num>
  <w:num w:numId="36" w16cid:durableId="561453857">
    <w:abstractNumId w:val="22"/>
  </w:num>
  <w:num w:numId="37" w16cid:durableId="1858345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44BF1"/>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6B4D"/>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1A53"/>
    <w:rsid w:val="001F31D1"/>
    <w:rsid w:val="002035D3"/>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371"/>
    <w:rsid w:val="002F2F57"/>
    <w:rsid w:val="002F6689"/>
    <w:rsid w:val="00302860"/>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6964"/>
    <w:rsid w:val="00371BE2"/>
    <w:rsid w:val="00374006"/>
    <w:rsid w:val="00384A80"/>
    <w:rsid w:val="003873D2"/>
    <w:rsid w:val="00391B69"/>
    <w:rsid w:val="00391FBA"/>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D7A10"/>
    <w:rsid w:val="004E13D6"/>
    <w:rsid w:val="004E282C"/>
    <w:rsid w:val="004E391B"/>
    <w:rsid w:val="004E3C5D"/>
    <w:rsid w:val="004E43A4"/>
    <w:rsid w:val="004E559F"/>
    <w:rsid w:val="004E5CCA"/>
    <w:rsid w:val="004F2132"/>
    <w:rsid w:val="004F4046"/>
    <w:rsid w:val="004F57FC"/>
    <w:rsid w:val="004F6B8F"/>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E23D6"/>
    <w:rsid w:val="005E7F57"/>
    <w:rsid w:val="005F038F"/>
    <w:rsid w:val="005F17BB"/>
    <w:rsid w:val="005F1A16"/>
    <w:rsid w:val="005F6D79"/>
    <w:rsid w:val="00601B7A"/>
    <w:rsid w:val="00603380"/>
    <w:rsid w:val="00603C82"/>
    <w:rsid w:val="00611AB5"/>
    <w:rsid w:val="00617AB9"/>
    <w:rsid w:val="00620E80"/>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B7A"/>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3163"/>
    <w:rsid w:val="009C4CAA"/>
    <w:rsid w:val="009D392A"/>
    <w:rsid w:val="009D5252"/>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1DA9"/>
    <w:rsid w:val="00C6240F"/>
    <w:rsid w:val="00C64079"/>
    <w:rsid w:val="00C643F3"/>
    <w:rsid w:val="00C674D8"/>
    <w:rsid w:val="00C67B59"/>
    <w:rsid w:val="00C715FA"/>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A5B1F"/>
    <w:rsid w:val="00DB3BDB"/>
    <w:rsid w:val="00DC08DD"/>
    <w:rsid w:val="00DC0D7E"/>
    <w:rsid w:val="00DC2195"/>
    <w:rsid w:val="00DC3D49"/>
    <w:rsid w:val="00DC4D0A"/>
    <w:rsid w:val="00DD143B"/>
    <w:rsid w:val="00DD2D67"/>
    <w:rsid w:val="00DD35FC"/>
    <w:rsid w:val="00DD5A01"/>
    <w:rsid w:val="00DD61D6"/>
    <w:rsid w:val="00DF342B"/>
    <w:rsid w:val="00E044AB"/>
    <w:rsid w:val="00E05524"/>
    <w:rsid w:val="00E05E67"/>
    <w:rsid w:val="00E124F5"/>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0A3B"/>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04F"/>
    <w:rsid w:val="00F82B45"/>
    <w:rsid w:val="00F8312B"/>
    <w:rsid w:val="00F8432A"/>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1876</Words>
  <Characters>10320</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2025-01-25T00:30:00Z</dcterms:created>
  <dcterms:modified xsi:type="dcterms:W3CDTF">2025-01-25T00:30:00Z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