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B68F" w14:textId="77777777" w:rsidR="00733966" w:rsidRDefault="00733966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  <w:t xml:space="preserve">PROCESO: 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ORDINARIO LABORAL</w:t>
      </w:r>
    </w:p>
    <w:p w14:paraId="2C6D5827" w14:textId="77777777" w:rsidR="00733966" w:rsidRDefault="00733966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  <w:t xml:space="preserve">RADICACIÓN: 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110013105046-2023-00098-01</w:t>
      </w:r>
    </w:p>
    <w:p w14:paraId="79DB9F97" w14:textId="77777777" w:rsidR="00733966" w:rsidRDefault="00733966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  <w:t xml:space="preserve">DEMANDANTE: 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FABIO RUBÉN PATIÑO GONZÁLEZ</w:t>
      </w:r>
    </w:p>
    <w:p w14:paraId="7986525F" w14:textId="77777777" w:rsidR="00733966" w:rsidRDefault="00733966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  <w:t xml:space="preserve">DEMANDADO: 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COLPENSIONES y otros.</w:t>
      </w:r>
    </w:p>
    <w:p w14:paraId="296758EF" w14:textId="77777777" w:rsidR="003B1086" w:rsidRDefault="003B1086" w:rsidP="0073396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26B418E7" w14:textId="77777777" w:rsidR="003B1086" w:rsidRDefault="003B1086" w:rsidP="0073396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11303B8" w14:textId="7CCB84D7" w:rsidR="00733966" w:rsidRDefault="00733966" w:rsidP="00E66FE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TRIBUNAL SUPERIOR DEL DISTRITO JUDICIAL</w:t>
      </w:r>
    </w:p>
    <w:p w14:paraId="41827167" w14:textId="77777777" w:rsidR="00733966" w:rsidRDefault="00733966" w:rsidP="00E66FE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DE BOGOTÁ D.C.</w:t>
      </w:r>
    </w:p>
    <w:p w14:paraId="444541CD" w14:textId="77777777" w:rsidR="00733966" w:rsidRDefault="00733966" w:rsidP="00E66FE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SALA SEGUNDA DE DECISIÓN LABORAL</w:t>
      </w:r>
    </w:p>
    <w:p w14:paraId="2FFA36F5" w14:textId="77777777" w:rsidR="00733966" w:rsidRDefault="00733966" w:rsidP="00E66FE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MAGISTRADO PONENTE</w:t>
      </w:r>
    </w:p>
    <w:p w14:paraId="2D1B148B" w14:textId="77777777" w:rsidR="00733966" w:rsidRDefault="00733966" w:rsidP="00E66F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RAFAEL ALBEIRO CHAVARRO POVEDA</w:t>
      </w:r>
      <w:r>
        <w:rPr>
          <w:rFonts w:ascii="Calibri" w:hAnsi="Calibri" w:cs="Calibri"/>
          <w:color w:val="000000"/>
          <w:kern w:val="0"/>
          <w:sz w:val="24"/>
          <w:szCs w:val="24"/>
          <w:lang w:val="es-CO"/>
        </w:rPr>
        <w:t>.</w:t>
      </w:r>
    </w:p>
    <w:p w14:paraId="7E083DF3" w14:textId="77777777" w:rsidR="00E66FEE" w:rsidRDefault="00E66FEE" w:rsidP="0073396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02EFF38A" w14:textId="682BC7CB" w:rsidR="00733966" w:rsidRDefault="00733966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PROCESO: </w:t>
      </w:r>
      <w:r w:rsidR="00E66FEE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 w:rsidR="00E66FEE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ORDINARIO LABORAL</w:t>
      </w:r>
    </w:p>
    <w:p w14:paraId="4A5E9CD8" w14:textId="729CA51D" w:rsidR="00733966" w:rsidRDefault="00733966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RADICACIÓN: </w:t>
      </w:r>
      <w:r w:rsidR="00E66FEE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 w:rsidR="00E66FEE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110013105046 2023 00094 01</w:t>
      </w:r>
    </w:p>
    <w:p w14:paraId="2AB3EEA7" w14:textId="7E7738BA" w:rsidR="00733966" w:rsidRDefault="00733966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DEMANDANTE: </w:t>
      </w:r>
      <w:r w:rsidR="00E66FEE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FABIO RUBÉN PATIÑO GONZÁLEZ</w:t>
      </w:r>
    </w:p>
    <w:p w14:paraId="53D74187" w14:textId="3EC826B0" w:rsidR="00733966" w:rsidRDefault="00733966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DEMANDADO: </w:t>
      </w:r>
      <w:r w:rsidR="00E66FEE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ADMINISTRADORA COLOMBIANA DE PENSIONES y</w:t>
      </w:r>
    </w:p>
    <w:p w14:paraId="03F9AF1D" w14:textId="77777777" w:rsidR="00733966" w:rsidRDefault="00733966" w:rsidP="00E66F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SOCIEDAD ADMINISTRADORA DE PENSIONES Y</w:t>
      </w:r>
    </w:p>
    <w:p w14:paraId="7EA5C35C" w14:textId="363C1623" w:rsidR="00733966" w:rsidRDefault="00733966" w:rsidP="00E66FEE">
      <w:pPr>
        <w:autoSpaceDE w:val="0"/>
        <w:autoSpaceDN w:val="0"/>
        <w:adjustRightInd w:val="0"/>
        <w:spacing w:after="0" w:line="240" w:lineRule="auto"/>
        <w:ind w:left="2160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CESANTÍAS COLFONDOS S.A.</w:t>
      </w:r>
      <w:r w:rsidR="00E66FE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-en adelante COLPENSIONES y AFP COLFONDOS S.A.-.</w:t>
      </w:r>
    </w:p>
    <w:p w14:paraId="3844AD83" w14:textId="3A29FE21" w:rsidR="00733966" w:rsidRDefault="00733966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PROVIDENCIA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: </w:t>
      </w:r>
      <w:r w:rsidR="00E66FE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APELACIÓN DE AUTO</w:t>
      </w:r>
    </w:p>
    <w:p w14:paraId="32E839F7" w14:textId="77777777" w:rsidR="00E66FEE" w:rsidRDefault="00E66FEE" w:rsidP="00E66FE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DC155A1" w14:textId="3D7454DB" w:rsidR="00733966" w:rsidRDefault="00733966" w:rsidP="00E66FE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Bogotá D.C. veintisiete (27) de febrero de dos mil veinticuatro (2024)</w:t>
      </w:r>
    </w:p>
    <w:p w14:paraId="3FCE4003" w14:textId="77777777" w:rsidR="00E66FEE" w:rsidRDefault="00E66FEE" w:rsidP="0073396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03B47836" w14:textId="77777777" w:rsidR="00E66FEE" w:rsidRDefault="00E66FEE" w:rsidP="00733966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3CFECF90" w14:textId="667A7A58" w:rsidR="00733966" w:rsidRDefault="00733966" w:rsidP="00E66FE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1. OBJETO DE LA DECISIÓN.</w:t>
      </w:r>
    </w:p>
    <w:p w14:paraId="5102648B" w14:textId="77777777" w:rsidR="00E66FEE" w:rsidRDefault="00E66FEE" w:rsidP="0073396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66DAB7F" w14:textId="12047B7F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Procede la Sala de Decisión a resolver el recurso de apelación interpuesto por la demandada</w:t>
      </w:r>
    </w:p>
    <w:p w14:paraId="5A801558" w14:textId="24E0534F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COLFONDOS S.A.,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contra el auto proferido el día diecinueve (19) de julio de dos mil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veintitrés (2023)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1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, por el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JUZGADO CUARENTA Y SEIS LABORAL DEL CIRCUITO DE</w:t>
      </w:r>
      <w:r w:rsidR="006D0E4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BOGOTÁ D.C.,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providencia que tuvo por no contestada la demanda.</w:t>
      </w:r>
    </w:p>
    <w:p w14:paraId="17ADC855" w14:textId="77777777" w:rsidR="006D0E41" w:rsidRDefault="006D0E41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EBFA975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2. ANTECEDENTES:</w:t>
      </w:r>
    </w:p>
    <w:p w14:paraId="54ECF9EC" w14:textId="77777777" w:rsidR="006D0E41" w:rsidRDefault="006D0E41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19D4DB34" w14:textId="00EB10B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2.1 DEMANDA Y ACTUACIONES EN PRIMERA INSTANCIA.</w:t>
      </w:r>
    </w:p>
    <w:p w14:paraId="105BA041" w14:textId="77777777" w:rsidR="006D0E41" w:rsidRDefault="006D0E41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CC4E8C6" w14:textId="6B2F4AF6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proofErr w:type="gram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.-</w:t>
      </w:r>
      <w:proofErr w:type="gram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Mediante escrito radicado el día 05 de mayo de 2023, cuyo conocimiento correspondió al</w:t>
      </w:r>
    </w:p>
    <w:p w14:paraId="10AAB5DE" w14:textId="08F74C43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Juzgado Cuarenta y seis Laboral del Circuito de Bogotá D.C.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,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FABIO RUBÉN PATIÑO</w:t>
      </w:r>
      <w:r w:rsidR="006D0E4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GONZÁLEZ,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demandó a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COLPENSIONES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y a la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AFP COLFONDOS S.A.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  <w:t>2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solicitando se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declare la ineficacia de su traslado del régimen pensional de RPMPD al RAIS, y, en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consecuencia, con miras a que la administradora colombiana de pensiones, reciba dichos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dineros, active su afiliación, se condene a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AFP COLFONDOS S.A.,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 trasladar a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COLPENSIONES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todos los aportes pensionales, rendimientos y saldos que se encuentren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su cuenta de ahorro individual, imponiéndoles además, condena en costas y por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agencias en derecho.</w:t>
      </w:r>
    </w:p>
    <w:p w14:paraId="23F18D86" w14:textId="77777777" w:rsidR="006D0E41" w:rsidRDefault="006D0E41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6C9F7B61" w14:textId="77777777" w:rsidR="006D0E41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2.2.- ACTUACIONES EN PRIMERA INSTANCIA.</w:t>
      </w:r>
      <w:r w:rsidR="006D0E41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</w:p>
    <w:p w14:paraId="550E0925" w14:textId="77777777" w:rsidR="006D0E41" w:rsidRDefault="006D0E41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2DE44688" w14:textId="73735F41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Considerando haberse dado cabal cumplimiento a los requisitos formales del libelo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introductorio, el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Juzgado Cuarenta y seis Laboral del Circuito de Bogotá D.C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mediante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proveído adiado 12 de mayo de 2023, dispuso su admisión y ordenó a la parte demandante,</w:t>
      </w:r>
    </w:p>
    <w:p w14:paraId="2F2703CF" w14:textId="0335E622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efectuar la notificación personal a la parte pasiva de la litis y surtirles, el correspondiente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traslado para contestar demanda.</w:t>
      </w:r>
    </w:p>
    <w:p w14:paraId="0B0ED40F" w14:textId="77777777" w:rsidR="006D0E41" w:rsidRDefault="006D0E41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06C9F12C" w14:textId="1681C27C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2.3.- CONTESTACIÓN.</w:t>
      </w:r>
    </w:p>
    <w:p w14:paraId="765F007F" w14:textId="77777777" w:rsidR="006D0E41" w:rsidRDefault="006D0E41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08A139D6" w14:textId="7CFF218B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COLPENSIONES,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oportunamente contestó la demanda, se opuso a las pretensiones y</w:t>
      </w:r>
      <w:r w:rsidR="006D0E41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propuso las excepciones que denominó “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presunción de legalidad del acto jurídico; cobro de</w:t>
      </w:r>
    </w:p>
    <w:p w14:paraId="2C347C9E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lo no debido; inobservancia del principio constitucional de sostenibilidad financiera; error de</w:t>
      </w:r>
    </w:p>
    <w:p w14:paraId="18D101BF" w14:textId="29253465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derecho no vicia el consentimiento; responsabilidad sui generis de las entidades de seguridad</w:t>
      </w:r>
      <w:r w:rsidR="006D0E4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social; inoponibilidad de responsabilidad de la AFP ante Colpensiones, en caso de ineficacia</w:t>
      </w:r>
      <w:r w:rsidR="006D0E4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de traslado de régimen; inexistencia de la obligación y falta de causa para pedir; buena fe;</w:t>
      </w:r>
      <w:r w:rsidR="006D0E4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aprovechamiento indebido de los recursos públicos y del sistema general de pensiones;</w:t>
      </w:r>
      <w:r w:rsidR="006D0E4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reconocimiento de restituciones mutuas; inexistencia de devolver la comisión de</w:t>
      </w:r>
    </w:p>
    <w:p w14:paraId="288BF0E9" w14:textId="2CDD7820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administración y prima de seguro previsional a causa de la declaración de nulidad o ineficacia</w:t>
      </w:r>
      <w:r w:rsidR="006D0E41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del traslado pensional; genérica o innominada y prescripción.</w:t>
      </w:r>
    </w:p>
    <w:p w14:paraId="3631A04A" w14:textId="77777777" w:rsidR="00753C54" w:rsidRDefault="00753C5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43B087B8" w14:textId="75D660ED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AFP COLFONDOS S.A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., mediante memorial allegado a la dirección electrónica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j46lctobtabta@cendoj.ramajudicial.gov.co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junio 05 de 2022, contestó la demanda; se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opuso a las pretensiones y propuso como excepciones las que denominó “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inexistencia de la</w:t>
      </w:r>
    </w:p>
    <w:p w14:paraId="6D059225" w14:textId="310C9445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obligación; falta de legitimidad en la causa por pasiva; buena fe; ausencia de vicio de</w:t>
      </w:r>
      <w:r w:rsidR="00753C54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consentimiento; validez de la afiliación al RAIS; ratificación de la afiliación de la actora al fondo</w:t>
      </w:r>
      <w:r w:rsidR="00753C54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de pensiones obligatorias administrados por el RAIS; prescripción de la acción de nulidad de</w:t>
      </w:r>
      <w:r w:rsidR="00753C54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traslado; compensación e innominada o genérica”</w:t>
      </w:r>
    </w:p>
    <w:p w14:paraId="1CB7D042" w14:textId="77777777" w:rsidR="00753C54" w:rsidRDefault="00753C5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09C48A7C" w14:textId="4AA0FA86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2.4.- AUTO RECURRIDO E IMPUGNACIÓN.</w:t>
      </w:r>
    </w:p>
    <w:p w14:paraId="3D3AC357" w14:textId="77777777" w:rsidR="00753C54" w:rsidRDefault="00753C5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C2323D4" w14:textId="0D7C919E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Argumentado que, pese a ser debidamente notificada del auto admisorio de la demanda,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en mayo 18 de 2023 la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AFP COLFONDOS S.A.,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guardó silencio frente las pretensiones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del actor, el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Juzgado Cuarenta y seis Laboral del Circuito de Bogotá D.C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mediante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proveído calendado julio 19 de 2023, tuvo por no contestada la demanda.</w:t>
      </w:r>
    </w:p>
    <w:p w14:paraId="19D683AE" w14:textId="77777777" w:rsidR="00753C54" w:rsidRDefault="00753C5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B226870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Inconforme con la decisión, refutando la arbitraria actuación procesal en la que incurrió la</w:t>
      </w:r>
    </w:p>
    <w:p w14:paraId="56C839B5" w14:textId="20A7E4E3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juez de primera instancia, funcionaria jurisdiccional que, según su criterio, desconoció la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contestación de la demanda por ella efectuada en junio 05 de 2023,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noveno día del traslado</w:t>
      </w:r>
    </w:p>
    <w:p w14:paraId="64983E01" w14:textId="1D23321B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para contestar demanda,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la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AFP COLFONDOS S.A.,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interpuso en su contra recurso de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reposición y en subsidio de apelación.</w:t>
      </w:r>
    </w:p>
    <w:p w14:paraId="1849D93A" w14:textId="77777777" w:rsidR="00753C54" w:rsidRDefault="00753C5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815A641" w14:textId="79FA7911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Resaltando que, la dirección electrónica a la cual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AFP COLFONDOS S.A.,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allegó su escrito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contestación de demanda en junio 05 de 2023,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j46ctolbtabta@cendoj.ramajudicial.gov.co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no coincide con el correo institucional asignado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 ella por la Rama Judicial, </w:t>
      </w:r>
      <w:r>
        <w:rPr>
          <w:rFonts w:ascii="BookmanOldStyle,Italic" w:hAnsi="BookmanOldStyle,Italic" w:cs="BookmanOldStyle,Italic"/>
          <w:i/>
          <w:iCs/>
          <w:color w:val="0000FF"/>
          <w:kern w:val="0"/>
          <w:sz w:val="24"/>
          <w:szCs w:val="24"/>
          <w:lang w:val="es-CO"/>
        </w:rPr>
        <w:lastRenderedPageBreak/>
        <w:t>j46ctolbta@cendoj.ramajudicial.gov.co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a-quo no repuso su</w:t>
      </w:r>
      <w:r w:rsidR="00753C5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decisión y concedió la apelación.</w:t>
      </w:r>
    </w:p>
    <w:p w14:paraId="36593A0E" w14:textId="77777777" w:rsidR="00753C54" w:rsidRDefault="00753C5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197D7D0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2.5.- ALEGATOS EN SEGUNDA INSTANCIA</w:t>
      </w:r>
    </w:p>
    <w:p w14:paraId="78C6F123" w14:textId="77777777" w:rsidR="00753C54" w:rsidRDefault="00753C5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93F3C5A" w14:textId="181500A8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Surtido en debida forma el traslado para alegar, la recurrente guardó silencio; por su parte,</w:t>
      </w:r>
    </w:p>
    <w:p w14:paraId="29FB10DA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parte demandante, solicitó su confirmación.</w:t>
      </w:r>
    </w:p>
    <w:p w14:paraId="039572E0" w14:textId="77777777" w:rsidR="00BF20D5" w:rsidRDefault="00BF20D5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2C0FDBEB" w14:textId="078B3C50" w:rsidR="00733966" w:rsidRDefault="00733966" w:rsidP="00BF20D5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CONSIDERACIONES</w:t>
      </w:r>
    </w:p>
    <w:p w14:paraId="0E9FDB55" w14:textId="77777777" w:rsidR="00BF20D5" w:rsidRDefault="00BF20D5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7774932B" w14:textId="1764BC7E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3. PROBLEMA JURÍDICO</w:t>
      </w:r>
    </w:p>
    <w:p w14:paraId="21ADFAC3" w14:textId="77777777" w:rsidR="00BF20D5" w:rsidRDefault="00BF20D5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5D1C3C4C" w14:textId="0B4CBB4C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proofErr w:type="gram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¿Acertó o no, el a quo,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Juzgado Cuarenta y seis Laboral del Circuito de Bogotá D.C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., al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tener por no contestada la demanda por parte de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AFP COLFONDOS S.</w:t>
      </w:r>
      <w:proofErr w:type="gramEnd"/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?</w:t>
      </w:r>
    </w:p>
    <w:p w14:paraId="20D97DCD" w14:textId="77777777" w:rsidR="00BF20D5" w:rsidRDefault="00BF20D5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7F2E7546" w14:textId="042DF69B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3.1.- REGÍMENES DE NOTIFICACIÓN VIGENTES Y LA OPORTUNIDAD PARA</w:t>
      </w:r>
      <w:r w:rsidR="00BF20D5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CONTESTAR LA DEMANDA CONFORME LO DISPUESTO EN EL DECRETO LEY 806</w:t>
      </w:r>
      <w:r w:rsidR="00BF20D5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DE 2020 –HOY LEY 2213 DE 2022-.</w:t>
      </w:r>
    </w:p>
    <w:p w14:paraId="0CC3F393" w14:textId="77777777" w:rsidR="00BF20D5" w:rsidRDefault="00BF20D5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604A734A" w14:textId="1CDF5872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 ocasión de la declaratoria de estado de emergencia sanitaria generada por el virus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“</w:t>
      </w:r>
      <w:proofErr w:type="spellStart"/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Covid</w:t>
      </w:r>
      <w:proofErr w:type="spellEnd"/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19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”, pretendiendo la disminución de los contagios de usuarios y servidores judiciales,</w:t>
      </w:r>
    </w:p>
    <w:p w14:paraId="02DABB4F" w14:textId="7FE00A35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Gobierno Nacional, en ejercicio de las facultades previstas en el artículo 215 de la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Constitución, Ley Estatutaria 137 de 1994 y Decreto 637 del 2020, expidió el Decreto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Legislativo 806 de la enunciada anualidad, cuerpo normativo que propugnó por la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implementación de las tecnologías de información y comunicación en las actuaciones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judiciales; ordenamiento jurídico que no previó la suspensión de los regímenes de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notificaciones procedimentales vigentes al momento de su expedición, aseveración que se</w:t>
      </w:r>
    </w:p>
    <w:p w14:paraId="2A640758" w14:textId="63B0C4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sustenta tanto en la ratio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decidendi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decantada por el Máximo Tribunal de la Jurisdicción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Constitucional, C-420 de 2020, así como por la línea jurisprudencial determinada por la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Sala de Casación Civil de la Honorable Corte Suprema de Justicia, doctrina que, de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conformidad a lo previsto en los artículos 230 Constitucional y 145 de CPT y SS., aplicable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 los asuntos laborales y de la Seguridad Social, los usuarios del servicio público de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administración de justicia que en vigencia del Decreto Ley 806 de 2020, hoy Ley 2213 de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2022, pretendieran promover ante Jurisdicción Ordinaria Laboral, contenciones y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ejecuciones contra las administradoras del sistema general de la seguridad social en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pensiones, se encontraban facultados para escoger entre los regímenes de notificación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previstos en los artículos 8º ibidem, 41 CPT y SS –de demandarse a Colpensiones-, o los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artículos 291 y 292 del CGP,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accionarse a las administradoras del RAIS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disposiciones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normativas procesalmente excluyentes entre sí, sometiéndose el actor a las pautas o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exigencias previstas en el ordenamiento jurídico por él escogido.</w:t>
      </w:r>
      <w:r w:rsidR="00BF20D5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01CEF6D9" w14:textId="0DEF8218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</w:p>
    <w:p w14:paraId="1EEA0B58" w14:textId="77777777" w:rsidR="000D1B24" w:rsidRDefault="000D1B2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7BE0A36B" w14:textId="385E90E9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CONTESTACIÓN DE LA DEMANDA.</w:t>
      </w:r>
    </w:p>
    <w:p w14:paraId="13B3B793" w14:textId="77777777" w:rsidR="000D1B24" w:rsidRDefault="000D1B2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7FD946C" w14:textId="3F4D7566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Conforme lo preceptuado en los artículos 29 constitucional y 31 del Código Procesal de</w:t>
      </w:r>
      <w:r w:rsidR="000D1B2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Trabajo y la Seguridad Social, la contestación de la demanda es el mecanismo jurídico</w:t>
      </w:r>
      <w:r w:rsidR="000D1B2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procesal que tiene el demandando para, en desarrollo de la relación jurídico sustancial,</w:t>
      </w:r>
      <w:r w:rsidR="000D1B2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materializar sus derechos fundamentales al debido proceso, defensa y contradicción; así,</w:t>
      </w:r>
      <w:r w:rsidR="000D1B2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 apego a la ritualidades procesales previamente establecidas por el legislador, el</w:t>
      </w:r>
      <w:r w:rsidR="000D1B2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demandado, dentro del término de traslado previsto en el artículo 74 del CPT y SS,</w:t>
      </w:r>
      <w:r w:rsidR="000D1B2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propondrá en ese documento de contestación sus motivos de defensa o se allanará a las</w:t>
      </w:r>
      <w:r w:rsidR="000D1B2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pretensiones.</w:t>
      </w:r>
    </w:p>
    <w:p w14:paraId="50CBCEA3" w14:textId="77777777" w:rsidR="000D1B24" w:rsidRDefault="000D1B2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633CAE7" w14:textId="199DAB92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El artículo 31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ibidem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16"/>
          <w:szCs w:val="16"/>
          <w:lang w:val="es-CO"/>
        </w:rPr>
        <w:t xml:space="preserve">5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prevé las exigencias necesarias que se deben cumplir para que el</w:t>
      </w:r>
    </w:p>
    <w:p w14:paraId="5BFBC753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aludido acto procedimental tenga plena validez:</w:t>
      </w:r>
    </w:p>
    <w:p w14:paraId="1C5AAFF0" w14:textId="77777777" w:rsidR="000D1B24" w:rsidRDefault="000D1B2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</w:p>
    <w:p w14:paraId="486AFF17" w14:textId="0A1F76E3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que deban ser notificadas de esa manera tiene dos posibilidades en vigencia del Decreto 806. La primera,</w:t>
      </w:r>
      <w:r w:rsidR="00070780"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notificar a través de correo electrónico, como lo prevé el canon 8° de ese compendio normativo. Y, la segunda,</w:t>
      </w:r>
    </w:p>
    <w:p w14:paraId="4BC8FA82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hacerlo de acuerdo con los artículos 291 y 292 del Código General del Proceso.</w:t>
      </w:r>
    </w:p>
    <w:p w14:paraId="06A6803B" w14:textId="77777777" w:rsidR="007E6135" w:rsidRDefault="007E6135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</w:p>
    <w:p w14:paraId="783F2F4E" w14:textId="75DEFD40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Dependiendo de cuál opción escoja, deberá ajustarse a las 2 La Corte Constitucional condicionó la </w:t>
      </w:r>
      <w:proofErr w:type="spellStart"/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exequibilidad</w:t>
      </w:r>
      <w:proofErr w:type="spellEnd"/>
    </w:p>
    <w:p w14:paraId="0B025B88" w14:textId="6B4D865E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de dicho precepto en la sentencia C-420 de 2020, en «el entendido de que el término allí dispuesto empezará</w:t>
      </w:r>
      <w:r w:rsidR="00070780"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a contarse cuando el iniciador </w:t>
      </w:r>
      <w:proofErr w:type="spellStart"/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recepcione</w:t>
      </w:r>
      <w:proofErr w:type="spellEnd"/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acuse de recibo o se pueda por otro medio constatar el acceso del</w:t>
      </w:r>
      <w:r w:rsidR="00070780"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destinatario al mensaje», Radicación </w:t>
      </w:r>
      <w:proofErr w:type="spellStart"/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nº</w:t>
      </w:r>
      <w:proofErr w:type="spellEnd"/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13001-22-13-000-2021-00275-01 11 pautas consagradas para cada</w:t>
      </w:r>
      <w:r w:rsidR="00070780"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una de ellas, a fin de que el acto se cumpla en debida forma. Con todo, y si en gracia de discusión pudiera</w:t>
      </w:r>
      <w:r w:rsidR="00070780"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pasarse por alto dicha distinción, nótese que Yesid Molina no acreditó la recepción de la comunicación, lo que</w:t>
      </w:r>
    </w:p>
    <w:p w14:paraId="747E19C4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debía hacer conforme al inciso tercero del artículo 8° del Decreto 806, condicionado por la Corte Constitucional</w:t>
      </w:r>
    </w:p>
    <w:p w14:paraId="75D8BC27" w14:textId="6DDC4FA1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(sentencia C-420 de 2020), y los lineamientos trazados por esta Corporación respecto de la notificación por</w:t>
      </w:r>
      <w:r w:rsidR="00070780"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correo electrónico, ya que, sobre el particular, ha sostenido que «(…) la notificación se entiende surtida cuando</w:t>
      </w:r>
    </w:p>
    <w:p w14:paraId="16B71384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es recibido el correo electrónico como instrumento de enteramiento» (CSJ STC 3 jun. 2020, rad. 2020-01025-</w:t>
      </w:r>
    </w:p>
    <w:p w14:paraId="08745F6F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00, STC9599-2020, STC11261-2020, entre otras).</w:t>
      </w:r>
    </w:p>
    <w:p w14:paraId="4B1DCE48" w14:textId="77777777" w:rsidR="007E6135" w:rsidRDefault="007E6135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</w:p>
    <w:p w14:paraId="737DECCE" w14:textId="3C921433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En fin, es plausible que la falladora de Cartagena exigiera al precursor practicar una nueva notificación en la</w:t>
      </w:r>
    </w:p>
    <w:p w14:paraId="40F27F9D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que tuviera en cuenta todos los aspectos que extrañó, sin que las discrepancias del peticionario tornen exitoso</w:t>
      </w:r>
    </w:p>
    <w:p w14:paraId="1C73D27A" w14:textId="285A033D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el amparo, ya que este camino no ha sido erigido (…) como una instancia adicional con la que se pueda</w:t>
      </w:r>
      <w:r w:rsidR="00070780"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controvertir una decisión judicial, al contrario, su alcance es restringido y, por ello no permite cuestionar la</w:t>
      </w:r>
      <w:r w:rsidR="00070780"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interpretación que un juez realiza de un determinado asunto, a menos que ella sea tan absurda o antojadiza</w:t>
      </w:r>
    </w:p>
    <w:p w14:paraId="225E4F04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que desborde la lógica, o cercene una evidente oportunidad procesal, situaciones inexistentes en el presente</w:t>
      </w:r>
    </w:p>
    <w:p w14:paraId="170A04E1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asunto» (CSJ STC11261-</w:t>
      </w:r>
      <w:proofErr w:type="gramStart"/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2020)...</w:t>
      </w:r>
      <w:proofErr w:type="gramEnd"/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” 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ratio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recidenci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 reiterada en sentencias</w:t>
      </w:r>
    </w:p>
    <w:p w14:paraId="7669D698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" w:hAnsi="Calibri" w:cs="Calibri"/>
          <w:color w:val="000000"/>
          <w:kern w:val="0"/>
          <w:sz w:val="13"/>
          <w:szCs w:val="13"/>
          <w:lang w:val="es-CO"/>
        </w:rPr>
        <w:t xml:space="preserve">4 </w:t>
      </w:r>
      <w:proofErr w:type="gramStart"/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Artículo</w:t>
      </w:r>
      <w:proofErr w:type="gramEnd"/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 xml:space="preserve"> 74: Admitida la demanda, el juez ordenará que se dé traslado de ella al demandado o demandados</w:t>
      </w:r>
    </w:p>
    <w:p w14:paraId="555A8186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para que la contesten y al Agente del Ministerio Público si fuere el caso, por un término común de diez (10)</w:t>
      </w:r>
    </w:p>
    <w:p w14:paraId="0C27D8B6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  <w:lang w:val="es-CO"/>
        </w:rPr>
      </w:pP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  <w:lang w:val="es-CO"/>
        </w:rPr>
        <w:t>días, traslado que se hará entregando copia del libelo a los demandados..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.”.</w:t>
      </w:r>
    </w:p>
    <w:p w14:paraId="690A40F5" w14:textId="3AC311ED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  <w:lang w:val="es-CO"/>
        </w:rPr>
      </w:pPr>
      <w:r>
        <w:rPr>
          <w:rFonts w:ascii="Calibri" w:hAnsi="Calibri" w:cs="Calibri"/>
          <w:color w:val="000000"/>
          <w:kern w:val="0"/>
          <w:sz w:val="13"/>
          <w:szCs w:val="13"/>
          <w:lang w:val="es-CO"/>
        </w:rPr>
        <w:t xml:space="preserve">5 </w:t>
      </w: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  <w:lang w:val="es-CO"/>
        </w:rPr>
        <w:t>ARTICULO 31. FORMA Y REQUISITOS DE LA CONTESTACIÓN DE LA DEMANDA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. La contestación de la</w:t>
      </w:r>
      <w:r w:rsidR="00070780"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demanda contendrá: 1. El nombre del demandado, su domicilio y dirección; los de su representante o su</w:t>
      </w:r>
      <w:r w:rsidR="00070780"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apoderado en caso de no comparecer por sí mismo. 2. Un pronunciamiento expreso sobre las pretensiones.</w:t>
      </w:r>
    </w:p>
    <w:p w14:paraId="496AEA18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  <w:lang w:val="es-CO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3. Un pronunciamiento expreso y concreto sobre cada uno de los hechos de la demanda, indicando los que se</w:t>
      </w:r>
    </w:p>
    <w:p w14:paraId="51E9A427" w14:textId="16CB648F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  <w:lang w:val="es-CO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admiten, los que se niegan y los que no le constan. En los dos últimos casos manifestará las razones de su</w:t>
      </w:r>
      <w:r w:rsidR="00070780"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respuesta. Si no lo hiciere así, se tendrá como probado el respectivo hecho o hechos. 4. Los hechos,</w:t>
      </w:r>
      <w:r w:rsidR="00070780"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fundamentos y razones de derecho de su defensa. 5. La petición en forma individualizada y concreta de los</w:t>
      </w:r>
    </w:p>
    <w:p w14:paraId="0B4B3A66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  <w:lang w:val="es-CO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medios de prueba, y 6. Las excepciones que pretenda hacer valer debidamente fundamentadas.</w:t>
      </w:r>
    </w:p>
    <w:p w14:paraId="600C0071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  <w:color w:val="000000"/>
          <w:kern w:val="0"/>
          <w:sz w:val="20"/>
          <w:szCs w:val="20"/>
          <w:lang w:val="es-CO"/>
        </w:rPr>
      </w:pPr>
      <w:r>
        <w:rPr>
          <w:rFonts w:ascii="Calibri,Bold" w:hAnsi="Calibri,Bold" w:cs="Calibri,Bold"/>
          <w:b/>
          <w:bCs/>
          <w:color w:val="000000"/>
          <w:kern w:val="0"/>
          <w:sz w:val="20"/>
          <w:szCs w:val="20"/>
          <w:lang w:val="es-CO"/>
        </w:rPr>
        <w:t xml:space="preserve">PARÁGRAFO 1o. 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La contestación de la demanda deberá ir acompañada de los siguientes anexos: 1. </w:t>
      </w:r>
      <w:r>
        <w:rPr>
          <w:rFonts w:ascii="Calibri,BoldItalic" w:hAnsi="Calibri,BoldItalic" w:cs="Calibri,BoldItalic"/>
          <w:b/>
          <w:bCs/>
          <w:i/>
          <w:iCs/>
          <w:color w:val="000000"/>
          <w:kern w:val="0"/>
          <w:sz w:val="20"/>
          <w:szCs w:val="20"/>
          <w:lang w:val="es-CO"/>
        </w:rPr>
        <w:t>El poder,</w:t>
      </w:r>
    </w:p>
    <w:p w14:paraId="29C89A36" w14:textId="34570E8B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  <w:lang w:val="es-CO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kern w:val="0"/>
          <w:sz w:val="20"/>
          <w:szCs w:val="20"/>
          <w:lang w:val="es-CO"/>
        </w:rPr>
        <w:t>si no obra en el expediente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. 2. Las pruebas documentales pedidas en la contestación de la demanda y los</w:t>
      </w:r>
      <w:r w:rsidR="00070780"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documentos relacionados en la demanda, que se encuentren en su poder. 3. Las pruebas anticipadas que se</w:t>
      </w:r>
    </w:p>
    <w:p w14:paraId="0E1887E5" w14:textId="77777777" w:rsidR="007E6135" w:rsidRDefault="007E6135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FE65904" w14:textId="0460BBFD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1. El nombre del demandado, su domicilio y dirección; los de su representante o su</w:t>
      </w:r>
    </w:p>
    <w:p w14:paraId="22F1E5F7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apoderado en caso de no comparecer por sí mismo.</w:t>
      </w:r>
    </w:p>
    <w:p w14:paraId="7465F5C8" w14:textId="77777777" w:rsidR="00D85807" w:rsidRDefault="00D85807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51003B5" w14:textId="4F225D66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2. Un pronunciamiento expreso sobre las pretensiones.</w:t>
      </w:r>
    </w:p>
    <w:p w14:paraId="4E2C6E64" w14:textId="77777777" w:rsidR="00D85807" w:rsidRDefault="00D85807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26AFB77" w14:textId="0692F0CC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3. Un pronunciamiento expreso y concreto sobre cada uno de los hechos de la demanda,</w:t>
      </w:r>
    </w:p>
    <w:p w14:paraId="1D3DCD5D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indicando los que se admiten, los que se niegan y los que no le constan. En los dos últimos</w:t>
      </w:r>
    </w:p>
    <w:p w14:paraId="66FC270C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casos manifestará las razones de su respuesta. Si no lo hiciere así, se tendrá como probado</w:t>
      </w:r>
    </w:p>
    <w:p w14:paraId="7272F563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respectivo hecho o hechos.</w:t>
      </w:r>
    </w:p>
    <w:p w14:paraId="580EE824" w14:textId="77777777" w:rsidR="00D85807" w:rsidRDefault="00D85807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F3CC4BC" w14:textId="1993D995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4. Los hechos, fundamentos y razones de derecho de su defensa.</w:t>
      </w:r>
    </w:p>
    <w:p w14:paraId="675EE4BC" w14:textId="77777777" w:rsidR="00D85807" w:rsidRDefault="00D85807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9543E2F" w14:textId="4EECA410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5. La petición en forma individualizada y concreta de los medios de prueba, y,</w:t>
      </w:r>
    </w:p>
    <w:p w14:paraId="64DA5510" w14:textId="77777777" w:rsidR="00D85807" w:rsidRDefault="00D85807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FE25B67" w14:textId="3E79E1DB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6. La excepciones que pretendan hacer valer debidamente fundamentadas.</w:t>
      </w:r>
    </w:p>
    <w:p w14:paraId="39D95F73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Asimismo, atendiendo lo dispuesto en el parágrafo 1° de la normatividad en cita, es deber</w:t>
      </w:r>
    </w:p>
    <w:p w14:paraId="03D45586" w14:textId="26EBE272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del demandado aportar junto a su escrito de contestación, el poder y demás anexos</w:t>
      </w:r>
      <w:r w:rsidR="00D85807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previstos en dicho precepto jurídico. El incumplimiento a las enunciadas exigencias</w:t>
      </w:r>
      <w:r w:rsidR="00D85807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conlleva su inadmisión; falencia susceptible de subsanación dentro de los cinco (5) días</w:t>
      </w:r>
      <w:r w:rsidR="00D85807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hábiles siguientes a la notificación del referenciado proveído que así lo haya determinado,</w:t>
      </w:r>
      <w:r w:rsidR="00D85807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carga procesal que, de no cumplirse, conlleva a tener por no contestado el libelo</w:t>
      </w:r>
      <w:r w:rsidR="00D85807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introductorio, teniéndose esta omisión, como indicio grave en su contra.</w:t>
      </w:r>
    </w:p>
    <w:p w14:paraId="03871B2C" w14:textId="77777777" w:rsidR="00D85807" w:rsidRDefault="00D85807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03E1A184" w14:textId="26FE4418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3.2.- SOBRE LA OPORTUNIDAD PARA CONTESTAR LA DEMANDA</w:t>
      </w:r>
    </w:p>
    <w:p w14:paraId="784B86C4" w14:textId="77777777" w:rsidR="00D85807" w:rsidRDefault="00D85807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1FE0266" w14:textId="712A214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Tratándose del término para contestar la demanda, el artículo 8° de la Ley 2213 de 2022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6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</w:t>
      </w:r>
    </w:p>
    <w:p w14:paraId="08AEB470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preceptúa: “…</w:t>
      </w: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>La notificación personal se entenderá realizada una vez</w:t>
      </w:r>
    </w:p>
    <w:p w14:paraId="314CD4B4" w14:textId="047E15A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  <w:lang w:val="es-CO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encuentren en su poder, y 4. La prueba de su existencia y representación legal, si es una persona jurídica de</w:t>
      </w:r>
    </w:p>
    <w:p w14:paraId="6B88C7B5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  <w:lang w:val="es-CO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es-CO"/>
        </w:rPr>
        <w:t>derecho privado.</w:t>
      </w:r>
    </w:p>
    <w:p w14:paraId="0B38558C" w14:textId="0AE2F05C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</w:pPr>
      <w:r>
        <w:rPr>
          <w:rFonts w:ascii="Calibri" w:hAnsi="Calibri" w:cs="Calibri"/>
          <w:color w:val="000000"/>
          <w:kern w:val="0"/>
          <w:sz w:val="14"/>
          <w:szCs w:val="14"/>
          <w:lang w:val="es-CO"/>
        </w:rPr>
        <w:t>6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18"/>
          <w:szCs w:val="18"/>
          <w:lang w:val="es-CO"/>
        </w:rPr>
        <w:t>ARTÍCULO 8° Notificaciones Personales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. Las notificaciones que deban hacerse personalmente</w:t>
      </w:r>
      <w:r w:rsidR="0015188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también podrán efectuarse con el envío de la providencia respectiva como mensaje de datos a la</w:t>
      </w:r>
      <w:r w:rsidR="0015188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dirección electrónica o sitio que suministre el interesado en que se realice la notificación, sin</w:t>
      </w:r>
      <w:r w:rsidR="0015188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necesidad del envío de previa citación o aviso físico o virtual. Los anexos que deban entregarse para</w:t>
      </w:r>
      <w:r w:rsidR="0015188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un traslado se enviarán por el mismo medio.</w:t>
      </w:r>
    </w:p>
    <w:p w14:paraId="4EF5D7DB" w14:textId="074D7C8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El interesado afirmará bajo la gravedad del juramento, que se entenderá prestado con la petición, que</w:t>
      </w:r>
      <w:r w:rsidR="0015188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la dirección electrónica o sitio suministrado corresponde al utilizado por la persona a notificar,</w:t>
      </w:r>
      <w:r w:rsidR="0015188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informará la forma como la obtuvo y allegará las evidencias correspondientes, particularmente las</w:t>
      </w:r>
      <w:r w:rsidR="0015188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comunicaciones remitidas a la persona por notificar.</w:t>
      </w:r>
    </w:p>
    <w:p w14:paraId="26BA1B23" w14:textId="67300D19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La notificación personal se entenderá realizada una vez transcurridos dos días hábiles siguientes al</w:t>
      </w:r>
      <w:r w:rsidR="0015188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envío del mensaje y los términos empezarán a contarse cuándo el iniciador </w:t>
      </w:r>
      <w:proofErr w:type="spellStart"/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recepcione</w:t>
      </w:r>
      <w:proofErr w:type="spellEnd"/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acuse de recibo</w:t>
      </w:r>
      <w:r w:rsidR="0015188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o se pueda por otro medio constatar el acceso del destinatario al mensaje.</w:t>
      </w:r>
    </w:p>
    <w:p w14:paraId="650DBDE2" w14:textId="77777777" w:rsidR="00151888" w:rsidRDefault="0015188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</w:pPr>
    </w:p>
    <w:p w14:paraId="1DF911C8" w14:textId="2D91D8B1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>transcurridos dos días hábiles siguientes al envío del mensaje y los términos</w:t>
      </w:r>
      <w:r w:rsidR="00151888"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empezarán a contarse cuándo el iniciador </w:t>
      </w:r>
      <w:proofErr w:type="spellStart"/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>recepcione</w:t>
      </w:r>
      <w:proofErr w:type="spellEnd"/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 acuse de recibo o se pueda</w:t>
      </w:r>
      <w:r w:rsidR="00151888"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Italic" w:hAnsi="BookmanOldStyle,BoldItalic" w:cs="BookmanOldStyle,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por otro medio constatar el acceso del destinatario al mensaje.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…”,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disposición que</w:t>
      </w:r>
      <w:r w:rsidR="0015188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debe interpretarse conjuntamente con el artículo 74 del CPT y S.S.:</w:t>
      </w:r>
    </w:p>
    <w:p w14:paraId="6CB1ADB7" w14:textId="77777777" w:rsidR="00151888" w:rsidRDefault="0015188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94F7259" w14:textId="0B161601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“…Artículo 74: Admitida la demanda, el juez ordenará que se dé traslado de ella al</w:t>
      </w:r>
      <w:r w:rsidR="00151888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demandado o demandados para que la contesten y al Agente del Ministerio Público si fuere</w:t>
      </w:r>
    </w:p>
    <w:p w14:paraId="27E2ABDB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lastRenderedPageBreak/>
        <w:t>el caso, por un término común de diez (10) días, traslado que se hará entregando copia del</w:t>
      </w:r>
    </w:p>
    <w:p w14:paraId="3DE7BD23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libelo a los demandados..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.”.</w:t>
      </w:r>
    </w:p>
    <w:p w14:paraId="441BDF58" w14:textId="77777777" w:rsidR="00151888" w:rsidRDefault="0015188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78AADA8" w14:textId="27067283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conformidad con los preceptos normativos transcritos, verificada la notificación personal</w:t>
      </w:r>
      <w:r w:rsidR="0015188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 demandado, este extremo procesal deberá contestar el libelo introductorio dentro de</w:t>
      </w:r>
      <w:r w:rsidR="0015188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los</w:t>
      </w:r>
      <w:r w:rsidR="0015188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diez días hábiles siguientes a su notificación; carga que de no cumplirse o, realizarse de</w:t>
      </w:r>
      <w:r w:rsidR="0015188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manera extemporánea conlleva a su rechazo.</w:t>
      </w:r>
    </w:p>
    <w:p w14:paraId="3BCD257D" w14:textId="77777777" w:rsidR="00151888" w:rsidRDefault="0015188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4E34FB25" w14:textId="3D63E175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4. CASO CONCRETO</w:t>
      </w:r>
    </w:p>
    <w:p w14:paraId="273C0C01" w14:textId="77777777" w:rsidR="00151888" w:rsidRDefault="0015188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193909B" w14:textId="4823FA09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Para la Sala de Decisión el recurso de apelación interpuesto por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AFP COLFONDOS S.A.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</w:t>
      </w:r>
    </w:p>
    <w:p w14:paraId="751F862A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 tiene vocación de éxito por las razones que seguidamente se exponen:</w:t>
      </w:r>
    </w:p>
    <w:p w14:paraId="1B1278A2" w14:textId="77777777" w:rsidR="00B05D74" w:rsidRDefault="00B05D74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D2CD383" w14:textId="77777777" w:rsidR="00792768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Concordando con lo manifestado por la juzgadora de primer grado, advierte esta</w:t>
      </w:r>
      <w:r w:rsidR="00B05D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Corporación que, desde el día 18 de mayo de 2023 la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AFP COLFONDOS S.A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tuvo acceso</w:t>
      </w:r>
      <w:r w:rsidR="00B05D74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221F6A6C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93E4D65" w14:textId="0BBB0E4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Para los fines de esta norma se podrán implementar o utilizar sistemas de confirmación del recibo de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los correos electrónicos o mensajes de datos.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</w:p>
    <w:p w14:paraId="4082E725" w14:textId="63134E52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Cuando exista discrepancia sobre la forma en que se practicó la notificación, la parte que se considere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afectada deberá manifestar bajo la gravedad del juramento, al solicitar la declaratoria de nulidad de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lo actuado, que no se enteró de la providencia, además de cumplir con lo dispuesto en los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artículos </w:t>
      </w:r>
      <w:r>
        <w:rPr>
          <w:rFonts w:ascii="BookmanOldStyle" w:hAnsi="BookmanOldStyle" w:cs="BookmanOldStyle"/>
          <w:color w:val="0000FF"/>
          <w:kern w:val="0"/>
          <w:sz w:val="18"/>
          <w:szCs w:val="18"/>
          <w:lang w:val="es-CO"/>
        </w:rPr>
        <w:t xml:space="preserve">132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a </w:t>
      </w:r>
      <w:r>
        <w:rPr>
          <w:rFonts w:ascii="BookmanOldStyle" w:hAnsi="BookmanOldStyle" w:cs="BookmanOldStyle"/>
          <w:color w:val="0000FF"/>
          <w:kern w:val="0"/>
          <w:sz w:val="18"/>
          <w:szCs w:val="18"/>
          <w:lang w:val="es-CO"/>
        </w:rPr>
        <w:t xml:space="preserve">138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del Código General del Proceso.</w:t>
      </w:r>
    </w:p>
    <w:p w14:paraId="5F4CA63F" w14:textId="4AF732B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PARÁGRAFO 1o. Lo previsto en este artículo se aplicará cualquiera sea la naturaleza de la actuación,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incluidas las pruebas extraprocesales o del proceso, sea este declarativo, declarativo especial,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monitorio, ejecutivo o cualquier otro.</w:t>
      </w:r>
    </w:p>
    <w:p w14:paraId="4DF223A3" w14:textId="6AADF21A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PARÁGRAFO 2o. La autoridad judicial, de oficio o a petición de parte, podrá solicitar información de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las direcciones electrónicas o sitios de la parte por notificar que estén en las Cámaras de Comercio,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superintendencias, entidades públicas o privadas, o utilizar aquellas que estén informadas en páginas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web o en redes sociales.</w:t>
      </w:r>
    </w:p>
    <w:p w14:paraId="3B9D743C" w14:textId="37DFAE78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PARÁGRAFO 3o. Para los efectos de lo dispuesto en este artículo, se podrá hacer uso del servicio de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correo electrónico </w:t>
      </w:r>
      <w:proofErr w:type="gramStart"/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postal certificado</w:t>
      </w:r>
      <w:proofErr w:type="gramEnd"/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y los servicios postales electrónicos definidos por la Unión Postal</w:t>
      </w:r>
      <w:r w:rsidR="00792768"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Universal (UPU) con cargo a la franquicia postal.</w:t>
      </w:r>
    </w:p>
    <w:p w14:paraId="6BE6B774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D5464B7" w14:textId="1868147D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al proveído adiado mayo 12 de 2023,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admisión demanda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surtiéndosele de esta manera la</w:t>
      </w:r>
    </w:p>
    <w:p w14:paraId="39A89E71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notificación personal electrónica a la parte demandada en mayo 24 de 2023, feneciéndole</w:t>
      </w:r>
    </w:p>
    <w:p w14:paraId="14D3265A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 aludido sujeto procesal el traslado para contestar el libelo introductorio en junio 06 de la</w:t>
      </w:r>
    </w:p>
    <w:p w14:paraId="0373013F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referida anualidad, calenda en la que esta debía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allegar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a la dirección electrónica del a-quo,</w:t>
      </w:r>
    </w:p>
    <w:p w14:paraId="6E038A5A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color w:val="0000FF"/>
          <w:kern w:val="0"/>
          <w:sz w:val="24"/>
          <w:szCs w:val="24"/>
          <w:lang w:val="es-CO"/>
        </w:rPr>
        <w:t>j46ctolbta@cendoj.ramajudicial.gov.co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 escrito de contestación de demanda.</w:t>
      </w:r>
    </w:p>
    <w:p w14:paraId="55349134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37B6AEC" w14:textId="68334F02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Conforme lo anterior, y, atendiendo la constancia de envío del escrito de contestación de</w:t>
      </w:r>
      <w:r w:rsidR="0079276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demanda de junio 05 de 2023, aportada por la recurrente, se percata esta Colegiatura que,</w:t>
      </w:r>
    </w:p>
    <w:p w14:paraId="4A590148" w14:textId="22339881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AFP COLFONDOS S.A.,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allegó el aludido acto procesal a una dirección electrónica que no</w:t>
      </w:r>
      <w:r w:rsidR="0079276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corresponde con la asignada al a-quo por parte de la Rama Judicial,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>lo remitió a</w:t>
      </w:r>
      <w:r w:rsidR="00792768"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FF"/>
          <w:kern w:val="0"/>
          <w:sz w:val="24"/>
          <w:szCs w:val="24"/>
          <w:lang w:val="es-CO"/>
        </w:rPr>
        <w:t>j46ctolbtabta@cendoj.ramajudicial.gov.co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, </w:t>
      </w:r>
      <w:r>
        <w:rPr>
          <w:rFonts w:ascii="BookmanOldStyle,Italic" w:hAnsi="BookmanOldStyle,Italic" w:cs="BookmanOldStyle,Italic"/>
          <w:i/>
          <w:iCs/>
          <w:color w:val="000000"/>
          <w:kern w:val="0"/>
          <w:sz w:val="24"/>
          <w:szCs w:val="24"/>
          <w:lang w:val="es-CO"/>
        </w:rPr>
        <w:t xml:space="preserve">y, no </w:t>
      </w:r>
      <w:r>
        <w:rPr>
          <w:rFonts w:ascii="BookmanOldStyle,Italic" w:hAnsi="BookmanOldStyle,Italic" w:cs="BookmanOldStyle,Italic"/>
          <w:i/>
          <w:iCs/>
          <w:color w:val="0000FF"/>
          <w:kern w:val="0"/>
          <w:sz w:val="24"/>
          <w:szCs w:val="24"/>
          <w:lang w:val="es-CO"/>
        </w:rPr>
        <w:t>j46ctolbta@cendoj.ramajudicial.gov.co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</w:t>
      </w:r>
    </w:p>
    <w:p w14:paraId="5392FB99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canal institucional que, atendiendo lo preceptuado en el ordinal 7° de auto admisorio de la</w:t>
      </w:r>
    </w:p>
    <w:p w14:paraId="316FCFF6" w14:textId="129864E8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demanda, fue debidamente conocido por la recurrente desde el inicio de la actuación</w:t>
      </w:r>
      <w:r w:rsidR="0079276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procesal, motivo por el cual, se confirmará la providencia de primer grado; decisión que se</w:t>
      </w:r>
    </w:p>
    <w:p w14:paraId="2989E9FC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sustenta en las piezas procesales </w:t>
      </w:r>
      <w:proofErr w:type="gram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cuya capturas</w:t>
      </w:r>
      <w:proofErr w:type="gram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de pantallas se relacionan a continuación:</w:t>
      </w:r>
    </w:p>
    <w:p w14:paraId="65DBEB5A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Bajo los derroteros expuestos, se confirmará la decisión proferida en primera instancia.</w:t>
      </w:r>
    </w:p>
    <w:p w14:paraId="303A7972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40E0B6F5" w14:textId="575D455A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lastRenderedPageBreak/>
        <w:t>5.- COSTAS</w:t>
      </w:r>
    </w:p>
    <w:p w14:paraId="3213D84F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C629EA2" w14:textId="2754D7AB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conformidad a lo previsto en el numeral 1° del artículo 365 del Código General de</w:t>
      </w:r>
      <w:r w:rsidR="0079276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Proceso; ante la no prosperidad de la impugnación presentada por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AFP COLFONDOS S.A</w:t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esta Corporación condena a la parte vencida en favor de la demandante, en costas por la</w:t>
      </w:r>
      <w:r w:rsidR="0079276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suma de un salario mínimo mensual legal vigente, (1 S. M.M.L.V.).</w:t>
      </w:r>
    </w:p>
    <w:p w14:paraId="3D7405BC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7E6C7800" w14:textId="3E5E29BD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DECISIÓN</w:t>
      </w:r>
    </w:p>
    <w:p w14:paraId="3432D98A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22449F53" w14:textId="270CE17A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Sala Segunda de Decisión Laboral del Tribunal Superior del Distrito Judicial de Bogotá</w:t>
      </w:r>
    </w:p>
    <w:p w14:paraId="3DA0E86D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D.C.,</w:t>
      </w:r>
    </w:p>
    <w:p w14:paraId="1763221E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61017D0E" w14:textId="7CE279AF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RESUELVE</w:t>
      </w:r>
    </w:p>
    <w:p w14:paraId="69400A56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</w:pPr>
    </w:p>
    <w:p w14:paraId="3246FDC5" w14:textId="454BF6E0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PRIMERO: CONFIRMAR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auto apelado, proferido el día 19 de julio de 2023, por el</w:t>
      </w:r>
      <w:r w:rsidR="0079276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Juzgado Cuarenta y seis Laboral del Circuito de Bogotá D.C.</w:t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</w:p>
    <w:p w14:paraId="681E5D3E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679DF0D8" w14:textId="4C1FD660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SEGUNDO: CONDENAR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en costas a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AFP COLFONDOS S.A.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fijándose como agencias en</w:t>
      </w:r>
      <w:r w:rsidR="0079276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derecho la suma de un salario mínimo mensual legal vigente (1.M.M.L.V.).</w:t>
      </w:r>
    </w:p>
    <w:p w14:paraId="6F0ECEDB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2C2EE788" w14:textId="6ECC7B60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TERCERO: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firme esta providencia, por la Secretaría de esta Corporación</w:t>
      </w:r>
      <w:r w:rsidR="00792768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DEVUÉLVASE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el expediente al Juzgado de origen,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Cuarenta y seis Laboral del Circuito</w:t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de Bogotá D.C.</w:t>
      </w:r>
    </w:p>
    <w:p w14:paraId="3D3BD005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1E750E45" w14:textId="35A605DD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NOTIFÍQUESE Y CÚMPLASE,</w:t>
      </w:r>
    </w:p>
    <w:p w14:paraId="5D7024F0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0BB139F2" w14:textId="3AA81666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RAFAEL ALBEIRO CHAVARRO POVEDA</w:t>
      </w:r>
    </w:p>
    <w:p w14:paraId="2908BA54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MAGISTRADO PONENTE</w:t>
      </w:r>
    </w:p>
    <w:p w14:paraId="41DCC7C5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</w:p>
    <w:p w14:paraId="4EE0F1F2" w14:textId="3245FBE1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LUZ MARINA IBAÑEZ HERNÁNDEZ</w:t>
      </w:r>
    </w:p>
    <w:p w14:paraId="26AEAB0E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MAGISTRADA</w:t>
      </w:r>
    </w:p>
    <w:p w14:paraId="1A047B98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5E4FF45" w14:textId="5D517BBA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ACLARO VOTO</w:t>
      </w:r>
    </w:p>
    <w:p w14:paraId="0D21C2FA" w14:textId="7C8AB1F4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24"/>
          <w:szCs w:val="24"/>
          <w:lang w:val="es-CO"/>
        </w:rPr>
        <w:t>CLAUDIA ANGELICA MARTÍNEZ CASTILLO</w:t>
      </w:r>
    </w:p>
    <w:p w14:paraId="63419A2E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MAGISTRADA</w:t>
      </w:r>
    </w:p>
    <w:p w14:paraId="1B89057A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6C4BABD" w14:textId="1318051E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Expediente digital: </w:t>
      </w:r>
      <w:r>
        <w:rPr>
          <w:rFonts w:ascii="Calibri" w:hAnsi="Calibri" w:cs="Calibri"/>
          <w:color w:val="0000FF"/>
          <w:kern w:val="0"/>
          <w:lang w:val="es-CO"/>
        </w:rPr>
        <w:t>11001310504620230009401</w:t>
      </w:r>
    </w:p>
    <w:p w14:paraId="243CD14F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  <w:t xml:space="preserve">PROCESO: 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ORDINARIO LABORAL</w:t>
      </w:r>
    </w:p>
    <w:p w14:paraId="4C3685B6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  <w:t xml:space="preserve">RADICACIÓN: 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110013105046-2023-00098-01</w:t>
      </w:r>
    </w:p>
    <w:p w14:paraId="62B471EE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  <w:t xml:space="preserve">DEMANDANTE: 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FABIO RUBÉN PATIÑO GONZÁLEZ</w:t>
      </w:r>
    </w:p>
    <w:p w14:paraId="3F8396FF" w14:textId="77777777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sz w:val="16"/>
          <w:szCs w:val="16"/>
          <w:lang w:val="es-CO"/>
        </w:rPr>
        <w:t xml:space="preserve">DEMANDADO: 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COLPENSIONES y otros.</w:t>
      </w:r>
    </w:p>
    <w:p w14:paraId="1039A831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724FD6B6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4ACC3D93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2CEE22C8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446949CC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55656091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20345A31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36447ED1" w14:textId="2D36890C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ACLARACIÓN DE VOTO</w:t>
      </w:r>
    </w:p>
    <w:p w14:paraId="11261E47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7CC1EB05" w14:textId="49995375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PROCESO: </w:t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ab/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lang w:val="es-CO"/>
        </w:rPr>
        <w:t>ORDINARIO LABORAL</w:t>
      </w:r>
    </w:p>
    <w:p w14:paraId="36620984" w14:textId="1A238D2B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RADICACIÓN: </w:t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ab/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lang w:val="es-CO"/>
        </w:rPr>
        <w:t>110013105046 2023 00094 01</w:t>
      </w:r>
    </w:p>
    <w:p w14:paraId="6A13D99A" w14:textId="60EB600B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DEMANDANTE: </w:t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lang w:val="es-CO"/>
        </w:rPr>
        <w:t>FABIO RUBÉN PATIÑO GONZÁLEZ</w:t>
      </w:r>
    </w:p>
    <w:p w14:paraId="168FE22F" w14:textId="40D07364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 xml:space="preserve">DEMANDADO: </w:t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ab/>
      </w:r>
      <w:r w:rsidR="00792768"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lang w:val="es-CO"/>
        </w:rPr>
        <w:t>ADMINISTRADORA COLOMBIANA DE PENSIONES y</w:t>
      </w:r>
    </w:p>
    <w:p w14:paraId="28E4D481" w14:textId="77777777" w:rsidR="00733966" w:rsidRDefault="00733966" w:rsidP="00792768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SOCIEDAD ADMINISTRADORA DE PENSIONES Y</w:t>
      </w:r>
    </w:p>
    <w:p w14:paraId="74BB567B" w14:textId="2CA4BF5D" w:rsidR="00733966" w:rsidRDefault="00733966" w:rsidP="00792768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" w:hAnsi="BookmanOldStyle" w:cs="BookmanOldStyle"/>
          <w:color w:val="000000"/>
          <w:kern w:val="0"/>
          <w:lang w:val="es-CO"/>
        </w:rPr>
        <w:t>CESANTÍAS COLFONDOS S.A.</w:t>
      </w:r>
      <w:r w:rsidR="00792768">
        <w:rPr>
          <w:rFonts w:ascii="BookmanOldStyle" w:hAnsi="BookmanOldStyle" w:cs="BookmanOldStyle"/>
          <w:color w:val="000000"/>
          <w:kern w:val="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lang w:val="es-CO"/>
        </w:rPr>
        <w:t>-en adelante COLPENSIONES y AFP COLFONDOS S.A.-.</w:t>
      </w:r>
    </w:p>
    <w:p w14:paraId="51F1B37B" w14:textId="474E0FB4" w:rsidR="00733966" w:rsidRDefault="00733966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PROVIDENCIA</w:t>
      </w:r>
      <w:r>
        <w:rPr>
          <w:rFonts w:ascii="BookmanOldStyle" w:hAnsi="BookmanOldStyle" w:cs="BookmanOldStyle"/>
          <w:color w:val="000000"/>
          <w:kern w:val="0"/>
          <w:lang w:val="es-CO"/>
        </w:rPr>
        <w:t xml:space="preserve">: </w:t>
      </w:r>
      <w:r w:rsidR="00792768">
        <w:rPr>
          <w:rFonts w:ascii="BookmanOldStyle" w:hAnsi="BookmanOldStyle" w:cs="BookmanOldStyle"/>
          <w:color w:val="000000"/>
          <w:kern w:val="0"/>
          <w:lang w:val="es-CO"/>
        </w:rPr>
        <w:tab/>
      </w:r>
      <w:r w:rsidR="00792768">
        <w:rPr>
          <w:rFonts w:ascii="BookmanOldStyle" w:hAnsi="BookmanOldStyle" w:cs="BookmanOldStyle"/>
          <w:color w:val="000000"/>
          <w:kern w:val="0"/>
          <w:lang w:val="es-CO"/>
        </w:rPr>
        <w:tab/>
      </w:r>
      <w:r>
        <w:rPr>
          <w:rFonts w:ascii="BookmanOldStyle" w:hAnsi="BookmanOldStyle" w:cs="BookmanOldStyle"/>
          <w:color w:val="000000"/>
          <w:kern w:val="0"/>
          <w:lang w:val="es-CO"/>
        </w:rPr>
        <w:t>APELACIÓN DE AUTO</w:t>
      </w:r>
    </w:p>
    <w:p w14:paraId="6963B125" w14:textId="77777777" w:rsidR="00792768" w:rsidRDefault="00792768" w:rsidP="006D0E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90408CA" w14:textId="77777777" w:rsidR="00792768" w:rsidRDefault="00792768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DCD285A" w14:textId="2E5C0CB4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Aunque comparto la decisión definitiva de la Sala, aclaro mi voto, en cuanto estimo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que, los dos días hábiles indicados el inciso 3º del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articulo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8º de la Ley 2213 de 2022</w:t>
      </w:r>
    </w:p>
    <w:p w14:paraId="7291EFC4" w14:textId="77777777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– aplicable al caso controvertido atendiendo a la fecha de la notificación- no pueden</w:t>
      </w:r>
    </w:p>
    <w:p w14:paraId="63A821C5" w14:textId="77777777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estar incluidos en el cómputo, esto por cuanto la disposición señala «</w:t>
      </w:r>
      <w:r>
        <w:rPr>
          <w:rFonts w:ascii="Arial,Italic" w:hAnsi="Arial,Italic" w:cs="Arial,Italic"/>
          <w:i/>
          <w:iCs/>
          <w:color w:val="000000"/>
          <w:kern w:val="0"/>
          <w:sz w:val="24"/>
          <w:szCs w:val="24"/>
          <w:lang w:val="es-CO"/>
        </w:rPr>
        <w:t>La notificación</w:t>
      </w:r>
    </w:p>
    <w:p w14:paraId="44246E3D" w14:textId="77777777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Arial,Italic" w:hAnsi="Arial,Italic" w:cs="Arial,Italic"/>
          <w:i/>
          <w:iCs/>
          <w:color w:val="000000"/>
          <w:kern w:val="0"/>
          <w:sz w:val="24"/>
          <w:szCs w:val="24"/>
          <w:lang w:val="es-CO"/>
        </w:rPr>
        <w:t>personal se entenderá realizada una vez transcurridos dos días hábiles siguientes</w:t>
      </w:r>
    </w:p>
    <w:p w14:paraId="44A5F4AC" w14:textId="77777777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,Italic" w:hAnsi="Arial,Italic" w:cs="Arial,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Arial,Italic" w:hAnsi="Arial,Italic" w:cs="Arial,Italic"/>
          <w:i/>
          <w:iCs/>
          <w:color w:val="000000"/>
          <w:kern w:val="0"/>
          <w:sz w:val="24"/>
          <w:szCs w:val="24"/>
          <w:lang w:val="es-CO"/>
        </w:rPr>
        <w:t>al envío del mensaje y los términos empezarán a correr a partir del día siguiente al</w:t>
      </w:r>
    </w:p>
    <w:p w14:paraId="2DA85482" w14:textId="77777777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,Italic" w:hAnsi="Arial,Italic" w:cs="Arial,Italic"/>
          <w:i/>
          <w:iCs/>
          <w:color w:val="000000"/>
          <w:kern w:val="0"/>
          <w:sz w:val="24"/>
          <w:szCs w:val="24"/>
          <w:lang w:val="es-CO"/>
        </w:rPr>
        <w:t>de la notificación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».</w:t>
      </w:r>
    </w:p>
    <w:p w14:paraId="309660E4" w14:textId="77777777" w:rsidR="00792768" w:rsidRDefault="00792768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DBED9E4" w14:textId="1C602C76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la providencia que es motivo de aclaración la Sala mayoritariamente expuso:</w:t>
      </w:r>
    </w:p>
    <w:p w14:paraId="77C54A2E" w14:textId="77777777" w:rsidR="00792768" w:rsidRDefault="00792768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91D335B" w14:textId="501604DC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Concordando con lo manifestado por la juzgadora de primer grado, advierte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esta Corporación que, desde el día 18 de mayo de 2023 la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AFP</w:t>
      </w:r>
      <w:r w:rsidR="00792768"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 xml:space="preserve">COLFONDOS S.A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tuvo acceso al proveído adiado mayo 12 de 2023,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,Italic" w:hAnsi="Arial,Italic" w:cs="Arial,Italic"/>
          <w:i/>
          <w:iCs/>
          <w:color w:val="000000"/>
          <w:kern w:val="0"/>
          <w:sz w:val="24"/>
          <w:szCs w:val="24"/>
          <w:lang w:val="es-CO"/>
        </w:rPr>
        <w:t>admisión demanda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, surtiéndosele de esta manera la notificación personal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electrónica a la parte demandada en mayo 24 de 2023, feneciéndole al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aludido sujeto procesal el traslado para contestar el libelo introductorio en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junio 06 de la referida anualidad, calenda en la que esta debía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allegar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a la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dirección electrónica del a-quo, </w:t>
      </w:r>
      <w:r>
        <w:rPr>
          <w:rFonts w:ascii="Arial,Italic" w:hAnsi="Arial,Italic" w:cs="Arial,Italic"/>
          <w:i/>
          <w:iCs/>
          <w:color w:val="0000FF"/>
          <w:kern w:val="0"/>
          <w:sz w:val="24"/>
          <w:szCs w:val="24"/>
          <w:lang w:val="es-CO"/>
        </w:rPr>
        <w:t>j46ctolbta@cendoj.ramajudicial.gov.co</w:t>
      </w:r>
      <w:r>
        <w:rPr>
          <w:rFonts w:ascii="Arial,Italic" w:hAnsi="Arial,Italic" w:cs="Arial,Italic"/>
          <w:i/>
          <w:iCs/>
          <w:color w:val="000000"/>
          <w:kern w:val="0"/>
          <w:sz w:val="24"/>
          <w:szCs w:val="24"/>
          <w:lang w:val="es-CO"/>
        </w:rPr>
        <w:t xml:space="preserve">,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su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escrito de contestación de demanda.</w:t>
      </w:r>
    </w:p>
    <w:p w14:paraId="2DD4999E" w14:textId="77777777" w:rsidR="00792768" w:rsidRDefault="00792768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048089F" w14:textId="1A5E46F3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ese orden, si se entiende, como el caso bajo examen, que se recibió el mensaje</w:t>
      </w:r>
    </w:p>
    <w:p w14:paraId="667F7814" w14:textId="77777777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el día 18 de mayo de 2023, a mi juicio al considerar que la notificación se entiende</w:t>
      </w:r>
    </w:p>
    <w:p w14:paraId="782DEEE2" w14:textId="2D7D68C6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realizada el 24 del mismo mes y año, se está dejando transcurrir un solo día y no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dos como indica la norma. Me explicó, al existir constancia de recepción de la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notificación el día 18 de mayo de 2023, los dos días hábiles a los que se refiere la</w:t>
      </w:r>
    </w:p>
    <w:p w14:paraId="15325B0D" w14:textId="77777777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disposición corresponderían al 19 y 23, por lo tanto, se entiende notificado el día 24</w:t>
      </w:r>
    </w:p>
    <w:p w14:paraId="538C6E25" w14:textId="2A40E24A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ese mes, esto es, una vez transcurrido el termino previsto y a partir del día</w:t>
      </w:r>
      <w:r w:rsidR="00792768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siguiente, 25 inicia a contabilizarse el traslado para responder la demanda.</w:t>
      </w:r>
    </w:p>
    <w:p w14:paraId="4D6A6D43" w14:textId="77777777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Fecha ut supra</w:t>
      </w:r>
    </w:p>
    <w:p w14:paraId="49F0B19A" w14:textId="77777777" w:rsidR="00792768" w:rsidRDefault="00792768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06EE8BCB" w14:textId="66BBB3E1" w:rsidR="00733966" w:rsidRDefault="00733966" w:rsidP="0079276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CLAUDIA ANGELICA MARTÍNEZ CASTILLO</w:t>
      </w:r>
    </w:p>
    <w:p w14:paraId="2FBF69FA" w14:textId="77777777" w:rsidR="00792768" w:rsidRDefault="00792768" w:rsidP="00792768">
      <w:pPr>
        <w:jc w:val="both"/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</w:pPr>
    </w:p>
    <w:p w14:paraId="534EAB82" w14:textId="1635F9DE" w:rsidR="00B9243D" w:rsidRDefault="00733966" w:rsidP="00792768">
      <w:pPr>
        <w:jc w:val="both"/>
      </w:pP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  <w:lang w:val="es-CO"/>
        </w:rPr>
        <w:t>CON ACLARACION DE VOTO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66"/>
    <w:rsid w:val="00070780"/>
    <w:rsid w:val="000D1B24"/>
    <w:rsid w:val="00151888"/>
    <w:rsid w:val="003B1086"/>
    <w:rsid w:val="006D0E41"/>
    <w:rsid w:val="00733966"/>
    <w:rsid w:val="00737460"/>
    <w:rsid w:val="00753C54"/>
    <w:rsid w:val="00792768"/>
    <w:rsid w:val="007E6135"/>
    <w:rsid w:val="00B05D74"/>
    <w:rsid w:val="00B9243D"/>
    <w:rsid w:val="00BF20D5"/>
    <w:rsid w:val="00D85807"/>
    <w:rsid w:val="00DA03DC"/>
    <w:rsid w:val="00E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AE6D"/>
  <w15:chartTrackingRefBased/>
  <w15:docId w15:val="{CE7E587F-67A7-48AB-9EE9-BE693A34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3327</Words>
  <Characters>18300</Characters>
  <Application>Microsoft Office Word</Application>
  <DocSecurity>0</DocSecurity>
  <Lines>152</Lines>
  <Paragraphs>43</Paragraphs>
  <ScaleCrop>false</ScaleCrop>
  <Company/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13</cp:revision>
  <dcterms:created xsi:type="dcterms:W3CDTF">2024-02-28T14:50:00Z</dcterms:created>
  <dcterms:modified xsi:type="dcterms:W3CDTF">2024-02-28T15:35:00Z</dcterms:modified>
</cp:coreProperties>
</file>