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39AA" w14:textId="77777777" w:rsidR="00DD0938" w:rsidRPr="005B3185" w:rsidRDefault="00DD0938" w:rsidP="005B3185">
      <w:pPr>
        <w:spacing w:line="360" w:lineRule="auto"/>
        <w:ind w:hanging="10"/>
        <w:jc w:val="both"/>
        <w:rPr>
          <w:rFonts w:ascii="Arial" w:eastAsia="PMingLiU" w:hAnsi="Arial" w:cs="Arial"/>
        </w:rPr>
      </w:pPr>
      <w:bookmarkStart w:id="0" w:name="_Hlk63454948"/>
      <w:r w:rsidRPr="005B3185">
        <w:rPr>
          <w:rFonts w:ascii="Arial" w:eastAsia="PMingLiU" w:hAnsi="Arial" w:cs="Arial"/>
        </w:rPr>
        <w:t xml:space="preserve">Señores: </w:t>
      </w:r>
    </w:p>
    <w:p w14:paraId="49CFAA7F" w14:textId="6B2CF9BA" w:rsidR="003F537E" w:rsidRDefault="003F537E" w:rsidP="005B3185">
      <w:pPr>
        <w:spacing w:line="360" w:lineRule="auto"/>
        <w:ind w:hanging="10"/>
        <w:jc w:val="both"/>
        <w:rPr>
          <w:rFonts w:ascii="Arial" w:eastAsia="PMingLiU" w:hAnsi="Arial" w:cs="Arial"/>
          <w:b/>
          <w:bCs/>
        </w:rPr>
      </w:pPr>
      <w:r w:rsidRPr="003F537E">
        <w:rPr>
          <w:rFonts w:ascii="Arial" w:eastAsia="PMingLiU" w:hAnsi="Arial" w:cs="Arial"/>
          <w:b/>
          <w:bCs/>
        </w:rPr>
        <w:t xml:space="preserve">JUZGADO </w:t>
      </w:r>
      <w:r w:rsidR="009A1E5D">
        <w:rPr>
          <w:rFonts w:ascii="Arial" w:eastAsia="PMingLiU" w:hAnsi="Arial" w:cs="Arial"/>
          <w:b/>
          <w:bCs/>
        </w:rPr>
        <w:t xml:space="preserve">PRIMERO (1) </w:t>
      </w:r>
      <w:r w:rsidRPr="003F537E">
        <w:rPr>
          <w:rFonts w:ascii="Arial" w:eastAsia="PMingLiU" w:hAnsi="Arial" w:cs="Arial"/>
          <w:b/>
          <w:bCs/>
        </w:rPr>
        <w:t>CIVIL DEL CIRCUITO DE ARAUCA</w:t>
      </w:r>
    </w:p>
    <w:p w14:paraId="54D73A32" w14:textId="536F45C7" w:rsidR="003F537E" w:rsidRDefault="00030ADD" w:rsidP="005B3185">
      <w:pPr>
        <w:spacing w:line="360" w:lineRule="auto"/>
        <w:ind w:hanging="10"/>
        <w:jc w:val="both"/>
        <w:rPr>
          <w:rFonts w:ascii="Arial" w:eastAsia="PMingLiU" w:hAnsi="Arial" w:cs="Arial"/>
        </w:rPr>
      </w:pPr>
      <w:hyperlink r:id="rId11" w:history="1">
        <w:r w:rsidR="003F537E" w:rsidRPr="003D79F3">
          <w:rPr>
            <w:rStyle w:val="Hipervnculo"/>
            <w:rFonts w:ascii="Arial" w:eastAsia="PMingLiU" w:hAnsi="Arial" w:cs="Arial"/>
          </w:rPr>
          <w:t>j1ccarau@cendoj.ramajudicial.gov.co</w:t>
        </w:r>
      </w:hyperlink>
    </w:p>
    <w:p w14:paraId="0A459947" w14:textId="23AA3C47" w:rsidR="00EC11E4" w:rsidRPr="005B3185" w:rsidRDefault="00DD0938" w:rsidP="005B3185">
      <w:pPr>
        <w:spacing w:line="360" w:lineRule="auto"/>
        <w:ind w:hanging="10"/>
        <w:jc w:val="both"/>
        <w:rPr>
          <w:rFonts w:ascii="Arial" w:eastAsia="Arial" w:hAnsi="Arial" w:cs="Arial"/>
          <w:color w:val="000000"/>
          <w:lang w:eastAsia="es-CO"/>
        </w:rPr>
      </w:pPr>
      <w:r w:rsidRPr="005B3185">
        <w:rPr>
          <w:rFonts w:ascii="Arial" w:eastAsia="PMingLiU" w:hAnsi="Arial" w:cs="Arial"/>
        </w:rPr>
        <w:t>E. S. D.</w:t>
      </w:r>
    </w:p>
    <w:p w14:paraId="283E6FD1" w14:textId="77777777" w:rsidR="00B95DFE" w:rsidRPr="005B3185" w:rsidRDefault="00B95DFE" w:rsidP="005B3185">
      <w:pPr>
        <w:pStyle w:val="Sinespaciado"/>
        <w:spacing w:line="360" w:lineRule="auto"/>
        <w:jc w:val="both"/>
        <w:rPr>
          <w:rFonts w:ascii="Arial" w:eastAsia="PMingLiU" w:hAnsi="Arial" w:cs="Arial"/>
          <w:b/>
        </w:rPr>
      </w:pPr>
    </w:p>
    <w:tbl>
      <w:tblPr>
        <w:tblStyle w:val="Tablaconcuadrcula"/>
        <w:tblW w:w="505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084"/>
        <w:gridCol w:w="327"/>
        <w:gridCol w:w="6780"/>
        <w:gridCol w:w="107"/>
      </w:tblGrid>
      <w:tr w:rsidR="00B95DFE" w:rsidRPr="005B3185" w14:paraId="28BDD46B" w14:textId="77777777" w:rsidTr="003F537E">
        <w:trPr>
          <w:gridAfter w:val="1"/>
          <w:wAfter w:w="58" w:type="pct"/>
        </w:trPr>
        <w:tc>
          <w:tcPr>
            <w:tcW w:w="1339" w:type="pct"/>
            <w:gridSpan w:val="3"/>
            <w:hideMark/>
          </w:tcPr>
          <w:p w14:paraId="7E547984" w14:textId="77777777" w:rsidR="00B95DFE" w:rsidRPr="005B3185" w:rsidRDefault="00B95DFE" w:rsidP="005B3185">
            <w:pPr>
              <w:pStyle w:val="Sinespaciado"/>
              <w:spacing w:line="360" w:lineRule="auto"/>
              <w:jc w:val="both"/>
              <w:rPr>
                <w:rFonts w:ascii="Arial" w:hAnsi="Arial" w:cs="Arial"/>
                <w:b/>
                <w:bCs/>
              </w:rPr>
            </w:pPr>
            <w:r w:rsidRPr="005B3185">
              <w:rPr>
                <w:rFonts w:ascii="Arial" w:hAnsi="Arial" w:cs="Arial"/>
                <w:b/>
                <w:bCs/>
              </w:rPr>
              <w:t>REFERENCIA:</w:t>
            </w:r>
          </w:p>
        </w:tc>
        <w:tc>
          <w:tcPr>
            <w:tcW w:w="3604" w:type="pct"/>
            <w:hideMark/>
          </w:tcPr>
          <w:p w14:paraId="09C6BFEE" w14:textId="64554C9F" w:rsidR="00B95DFE" w:rsidRPr="005B3185" w:rsidRDefault="003F537E" w:rsidP="005B3185">
            <w:pPr>
              <w:pStyle w:val="Sinespaciado"/>
              <w:spacing w:line="360" w:lineRule="auto"/>
              <w:jc w:val="both"/>
              <w:rPr>
                <w:rFonts w:ascii="Arial" w:hAnsi="Arial" w:cs="Arial"/>
              </w:rPr>
            </w:pPr>
            <w:r w:rsidRPr="003F537E">
              <w:rPr>
                <w:rFonts w:ascii="Arial" w:eastAsiaTheme="minorHAnsi" w:hAnsi="Arial" w:cs="Arial"/>
                <w:lang w:eastAsia="es-CO"/>
              </w:rPr>
              <w:t>VERBAL</w:t>
            </w:r>
          </w:p>
        </w:tc>
      </w:tr>
      <w:tr w:rsidR="00EC11E4" w:rsidRPr="005B3185" w14:paraId="50E3E7B6" w14:textId="77777777" w:rsidTr="003F537E">
        <w:trPr>
          <w:gridAfter w:val="1"/>
          <w:wAfter w:w="58" w:type="pct"/>
          <w:trHeight w:val="354"/>
        </w:trPr>
        <w:tc>
          <w:tcPr>
            <w:tcW w:w="1339" w:type="pct"/>
            <w:gridSpan w:val="3"/>
            <w:hideMark/>
          </w:tcPr>
          <w:p w14:paraId="0D3A1E94" w14:textId="1148550D" w:rsidR="00EC11E4" w:rsidRPr="005B3185" w:rsidRDefault="003F537E" w:rsidP="005B3185">
            <w:pPr>
              <w:pStyle w:val="Sinespaciado"/>
              <w:spacing w:line="360" w:lineRule="auto"/>
              <w:jc w:val="both"/>
              <w:rPr>
                <w:rFonts w:ascii="Arial" w:hAnsi="Arial" w:cs="Arial"/>
                <w:b/>
                <w:bCs/>
              </w:rPr>
            </w:pPr>
            <w:r>
              <w:rPr>
                <w:rFonts w:ascii="Arial" w:hAnsi="Arial" w:cs="Arial"/>
                <w:b/>
                <w:bCs/>
              </w:rPr>
              <w:t>DEMANDANTE</w:t>
            </w:r>
            <w:r w:rsidR="00EC11E4" w:rsidRPr="005B3185">
              <w:rPr>
                <w:rFonts w:ascii="Arial" w:hAnsi="Arial" w:cs="Arial"/>
                <w:b/>
                <w:bCs/>
              </w:rPr>
              <w:t>:</w:t>
            </w:r>
          </w:p>
        </w:tc>
        <w:tc>
          <w:tcPr>
            <w:tcW w:w="3604" w:type="pct"/>
            <w:hideMark/>
          </w:tcPr>
          <w:p w14:paraId="09B3C6F2" w14:textId="7D4E43F3" w:rsidR="00EC11E4" w:rsidRPr="005B3185" w:rsidRDefault="003F537E" w:rsidP="003F537E">
            <w:pPr>
              <w:pStyle w:val="Sinespaciado"/>
              <w:spacing w:line="360" w:lineRule="auto"/>
              <w:jc w:val="both"/>
              <w:rPr>
                <w:rFonts w:ascii="Arial" w:hAnsi="Arial" w:cs="Arial"/>
              </w:rPr>
            </w:pPr>
            <w:r w:rsidRPr="003F537E">
              <w:rPr>
                <w:rFonts w:ascii="Arial" w:eastAsiaTheme="minorHAnsi" w:hAnsi="Arial" w:cs="Arial"/>
              </w:rPr>
              <w:t xml:space="preserve">DIEGO NADER LASAGABASTER </w:t>
            </w:r>
          </w:p>
        </w:tc>
      </w:tr>
      <w:tr w:rsidR="00EC11E4" w:rsidRPr="005B3185" w14:paraId="1D808CD7" w14:textId="77777777" w:rsidTr="003F537E">
        <w:trPr>
          <w:gridAfter w:val="1"/>
          <w:wAfter w:w="58" w:type="pct"/>
        </w:trPr>
        <w:tc>
          <w:tcPr>
            <w:tcW w:w="1339" w:type="pct"/>
            <w:gridSpan w:val="3"/>
            <w:hideMark/>
          </w:tcPr>
          <w:p w14:paraId="632CB897" w14:textId="79CB194C" w:rsidR="00EC11E4" w:rsidRPr="005B3185" w:rsidRDefault="003F537E" w:rsidP="005B3185">
            <w:pPr>
              <w:pStyle w:val="Sinespaciado"/>
              <w:spacing w:line="360" w:lineRule="auto"/>
              <w:jc w:val="both"/>
              <w:rPr>
                <w:rFonts w:ascii="Arial" w:hAnsi="Arial" w:cs="Arial"/>
                <w:b/>
                <w:bCs/>
              </w:rPr>
            </w:pPr>
            <w:r>
              <w:rPr>
                <w:rFonts w:ascii="Arial" w:hAnsi="Arial" w:cs="Arial"/>
                <w:b/>
                <w:bCs/>
              </w:rPr>
              <w:t>DEMANDADO</w:t>
            </w:r>
            <w:r w:rsidR="00EC11E4" w:rsidRPr="005B3185">
              <w:rPr>
                <w:rFonts w:ascii="Arial" w:hAnsi="Arial" w:cs="Arial"/>
                <w:b/>
                <w:bCs/>
              </w:rPr>
              <w:t>:</w:t>
            </w:r>
          </w:p>
          <w:p w14:paraId="523D1AFD" w14:textId="3E2AC41C" w:rsidR="00DD0938" w:rsidRPr="005B3185" w:rsidRDefault="00DD0938" w:rsidP="005B3185">
            <w:pPr>
              <w:pStyle w:val="Sinespaciado"/>
              <w:spacing w:line="360" w:lineRule="auto"/>
              <w:jc w:val="both"/>
              <w:rPr>
                <w:rFonts w:ascii="Arial" w:hAnsi="Arial" w:cs="Arial"/>
                <w:b/>
                <w:bCs/>
              </w:rPr>
            </w:pPr>
          </w:p>
        </w:tc>
        <w:tc>
          <w:tcPr>
            <w:tcW w:w="3604" w:type="pct"/>
          </w:tcPr>
          <w:p w14:paraId="0D414F01" w14:textId="24713DAF" w:rsidR="00DD0938" w:rsidRPr="005B3185" w:rsidRDefault="003F537E" w:rsidP="005B3185">
            <w:pPr>
              <w:pStyle w:val="Sinespaciado"/>
              <w:spacing w:line="360" w:lineRule="auto"/>
              <w:jc w:val="both"/>
              <w:rPr>
                <w:rFonts w:ascii="Arial" w:hAnsi="Arial" w:cs="Arial"/>
              </w:rPr>
            </w:pPr>
            <w:r w:rsidRPr="003F537E">
              <w:rPr>
                <w:rFonts w:ascii="Arial" w:hAnsi="Arial" w:cs="Arial"/>
              </w:rPr>
              <w:t>EMPRESA DE TELEFONÍA CELULAR CLARO Y/O COMCEL S.A.</w:t>
            </w:r>
          </w:p>
        </w:tc>
      </w:tr>
      <w:tr w:rsidR="00554526" w:rsidRPr="005B3185" w14:paraId="68805F54" w14:textId="77777777" w:rsidTr="003F537E">
        <w:trPr>
          <w:gridAfter w:val="1"/>
          <w:wAfter w:w="58" w:type="pct"/>
        </w:trPr>
        <w:tc>
          <w:tcPr>
            <w:tcW w:w="1339" w:type="pct"/>
            <w:gridSpan w:val="3"/>
          </w:tcPr>
          <w:p w14:paraId="5BFFA52C" w14:textId="10BA98D8" w:rsidR="00554526" w:rsidRDefault="00554526" w:rsidP="005B3185">
            <w:pPr>
              <w:pStyle w:val="Sinespaciado"/>
              <w:spacing w:line="360" w:lineRule="auto"/>
              <w:jc w:val="both"/>
              <w:rPr>
                <w:rFonts w:ascii="Arial" w:hAnsi="Arial" w:cs="Arial"/>
                <w:b/>
                <w:bCs/>
              </w:rPr>
            </w:pPr>
            <w:r>
              <w:rPr>
                <w:rFonts w:ascii="Arial" w:hAnsi="Arial" w:cs="Arial"/>
                <w:b/>
                <w:bCs/>
              </w:rPr>
              <w:t>RADICADO:</w:t>
            </w:r>
          </w:p>
        </w:tc>
        <w:tc>
          <w:tcPr>
            <w:tcW w:w="3604" w:type="pct"/>
          </w:tcPr>
          <w:p w14:paraId="79706930" w14:textId="05B0501C" w:rsidR="00554526" w:rsidRPr="003F537E" w:rsidRDefault="00554526" w:rsidP="005B3185">
            <w:pPr>
              <w:pStyle w:val="Sinespaciado"/>
              <w:spacing w:line="360" w:lineRule="auto"/>
              <w:jc w:val="both"/>
              <w:rPr>
                <w:rFonts w:ascii="Arial" w:hAnsi="Arial" w:cs="Arial"/>
              </w:rPr>
            </w:pPr>
            <w:r w:rsidRPr="00554526">
              <w:rPr>
                <w:rFonts w:ascii="Arial" w:hAnsi="Arial" w:cs="Arial"/>
              </w:rPr>
              <w:t>810014089001</w:t>
            </w:r>
            <w:r>
              <w:rPr>
                <w:rFonts w:ascii="Arial" w:hAnsi="Arial" w:cs="Arial"/>
              </w:rPr>
              <w:t>-</w:t>
            </w:r>
            <w:r w:rsidRPr="00554526">
              <w:rPr>
                <w:rFonts w:ascii="Arial" w:hAnsi="Arial" w:cs="Arial"/>
              </w:rPr>
              <w:t>2020</w:t>
            </w:r>
            <w:r>
              <w:rPr>
                <w:rFonts w:ascii="Arial" w:hAnsi="Arial" w:cs="Arial"/>
              </w:rPr>
              <w:t>-</w:t>
            </w:r>
            <w:r w:rsidRPr="00554526">
              <w:rPr>
                <w:rFonts w:ascii="Arial" w:hAnsi="Arial" w:cs="Arial"/>
              </w:rPr>
              <w:t>00136</w:t>
            </w:r>
            <w:r>
              <w:rPr>
                <w:rFonts w:ascii="Arial" w:hAnsi="Arial" w:cs="Arial"/>
              </w:rPr>
              <w:t>-</w:t>
            </w:r>
            <w:r w:rsidRPr="00554526">
              <w:rPr>
                <w:rFonts w:ascii="Arial" w:hAnsi="Arial" w:cs="Arial"/>
              </w:rPr>
              <w:t>01</w:t>
            </w:r>
          </w:p>
        </w:tc>
      </w:tr>
      <w:tr w:rsidR="00B95DFE" w:rsidRPr="005B3185" w14:paraId="00ECF3CE" w14:textId="77777777" w:rsidTr="00DD0938">
        <w:trPr>
          <w:gridBefore w:val="1"/>
          <w:wBefore w:w="57" w:type="pct"/>
        </w:trPr>
        <w:tc>
          <w:tcPr>
            <w:tcW w:w="1108" w:type="pct"/>
          </w:tcPr>
          <w:p w14:paraId="67A7E5C6" w14:textId="77777777" w:rsidR="00B95DFE" w:rsidRPr="005B3185" w:rsidRDefault="00B95DFE" w:rsidP="005B3185">
            <w:pPr>
              <w:pStyle w:val="Sinespaciado"/>
              <w:spacing w:line="360" w:lineRule="auto"/>
              <w:jc w:val="both"/>
              <w:rPr>
                <w:rFonts w:ascii="Arial" w:hAnsi="Arial" w:cs="Arial"/>
                <w:b/>
                <w:bCs/>
              </w:rPr>
            </w:pPr>
          </w:p>
        </w:tc>
        <w:tc>
          <w:tcPr>
            <w:tcW w:w="3835" w:type="pct"/>
            <w:gridSpan w:val="3"/>
          </w:tcPr>
          <w:p w14:paraId="2F26DCAF" w14:textId="77777777" w:rsidR="00B95DFE" w:rsidRPr="005B3185" w:rsidRDefault="00B95DFE" w:rsidP="005B3185">
            <w:pPr>
              <w:pStyle w:val="Sinespaciado"/>
              <w:spacing w:line="360" w:lineRule="auto"/>
              <w:jc w:val="both"/>
              <w:rPr>
                <w:rFonts w:ascii="Arial" w:hAnsi="Arial" w:cs="Arial"/>
              </w:rPr>
            </w:pPr>
          </w:p>
        </w:tc>
      </w:tr>
      <w:tr w:rsidR="00B95DFE" w:rsidRPr="005B3185" w14:paraId="65EE3C0C" w14:textId="77777777" w:rsidTr="00DD0938">
        <w:trPr>
          <w:gridBefore w:val="1"/>
          <w:wBefore w:w="57" w:type="pct"/>
        </w:trPr>
        <w:tc>
          <w:tcPr>
            <w:tcW w:w="4943" w:type="pct"/>
            <w:gridSpan w:val="4"/>
          </w:tcPr>
          <w:p w14:paraId="1D51CB3A" w14:textId="1B44FA4D" w:rsidR="00B95DFE" w:rsidRPr="005B3185" w:rsidRDefault="00B95DFE" w:rsidP="005B3185">
            <w:pPr>
              <w:pStyle w:val="Sinespaciado"/>
              <w:spacing w:line="360" w:lineRule="auto"/>
              <w:ind w:left="709"/>
              <w:jc w:val="both"/>
              <w:rPr>
                <w:rFonts w:ascii="Arial" w:hAnsi="Arial" w:cs="Arial"/>
                <w:b/>
                <w:bCs/>
              </w:rPr>
            </w:pPr>
            <w:r w:rsidRPr="005B3185">
              <w:rPr>
                <w:rFonts w:ascii="Arial" w:hAnsi="Arial" w:cs="Arial"/>
                <w:b/>
                <w:bCs/>
              </w:rPr>
              <w:t xml:space="preserve">ASUNTO: </w:t>
            </w:r>
            <w:r w:rsidR="00A60DB9" w:rsidRPr="005B3185">
              <w:rPr>
                <w:rFonts w:ascii="Arial" w:hAnsi="Arial" w:cs="Arial"/>
                <w:b/>
                <w:bCs/>
              </w:rPr>
              <w:t xml:space="preserve">SOLICITUD DE ACLARACIÓN DE AUTO </w:t>
            </w:r>
            <w:r w:rsidR="00203C4C">
              <w:rPr>
                <w:rFonts w:ascii="Arial" w:hAnsi="Arial" w:cs="Arial"/>
                <w:b/>
                <w:bCs/>
              </w:rPr>
              <w:t>DEL 21 DE FEBRERO DE 2025</w:t>
            </w:r>
          </w:p>
        </w:tc>
      </w:tr>
    </w:tbl>
    <w:p w14:paraId="7F8284BD" w14:textId="77777777" w:rsidR="00B95DFE" w:rsidRPr="005B3185" w:rsidRDefault="00B95DFE" w:rsidP="005B3185">
      <w:pPr>
        <w:spacing w:line="360" w:lineRule="auto"/>
        <w:jc w:val="both"/>
        <w:rPr>
          <w:rFonts w:ascii="Arial" w:eastAsia="PMingLiU" w:hAnsi="Arial" w:cs="Arial"/>
        </w:rPr>
      </w:pPr>
      <w:r w:rsidRPr="005B3185">
        <w:rPr>
          <w:rFonts w:ascii="Arial" w:eastAsia="PMingLiU" w:hAnsi="Arial" w:cs="Arial"/>
        </w:rPr>
        <w:t xml:space="preserve">    </w:t>
      </w:r>
      <w:bookmarkEnd w:id="0"/>
    </w:p>
    <w:p w14:paraId="670F4606" w14:textId="28995336" w:rsidR="00A60DB9" w:rsidRPr="005B3185" w:rsidRDefault="00DD0938" w:rsidP="005B3185">
      <w:pPr>
        <w:pStyle w:val="Default"/>
        <w:spacing w:line="360" w:lineRule="auto"/>
        <w:jc w:val="both"/>
        <w:rPr>
          <w:sz w:val="22"/>
          <w:szCs w:val="22"/>
          <w:lang w:val="es-MX"/>
        </w:rPr>
      </w:pPr>
      <w:r w:rsidRPr="005B3185">
        <w:rPr>
          <w:rFonts w:eastAsia="Arial"/>
          <w:b/>
          <w:bCs/>
          <w:sz w:val="22"/>
          <w:szCs w:val="22"/>
          <w:shd w:val="clear" w:color="auto" w:fill="FFFFFF"/>
          <w:lang w:eastAsia="es-CO"/>
        </w:rPr>
        <w:t xml:space="preserve">GUSTAVO ALBERTO HERRERA ÁVILA, </w:t>
      </w:r>
      <w:r w:rsidRPr="005B3185">
        <w:rPr>
          <w:rFonts w:eastAsia="Arial"/>
          <w:sz w:val="22"/>
          <w:szCs w:val="22"/>
          <w:shd w:val="clear" w:color="auto" w:fill="FFFFFF"/>
          <w:lang w:eastAsia="es-CO"/>
        </w:rPr>
        <w:t>mayor de edad, vecino de Bogotá</w:t>
      </w:r>
      <w:r w:rsidR="001275BF" w:rsidRPr="005B3185">
        <w:rPr>
          <w:rFonts w:eastAsia="Arial"/>
          <w:sz w:val="22"/>
          <w:szCs w:val="22"/>
          <w:shd w:val="clear" w:color="auto" w:fill="FFFFFF"/>
          <w:lang w:eastAsia="es-CO"/>
        </w:rPr>
        <w:t xml:space="preserve"> D.C.</w:t>
      </w:r>
      <w:r w:rsidRPr="005B3185">
        <w:rPr>
          <w:rFonts w:eastAsia="Arial"/>
          <w:sz w:val="22"/>
          <w:szCs w:val="22"/>
          <w:shd w:val="clear" w:color="auto" w:fill="FFFFFF"/>
          <w:lang w:eastAsia="es-CO"/>
        </w:rPr>
        <w:t xml:space="preserve">, identificado con la Cédula de Ciudadanía No. 19.395.114 expedida en Bogotá D.C., abogado en ejercicio y portador de la Tarjeta Profesional No. 39.116 del Consejo Superior de la Judicatura, </w:t>
      </w:r>
      <w:r w:rsidR="00203C4C" w:rsidRPr="00203C4C">
        <w:rPr>
          <w:rFonts w:eastAsia="Arial"/>
          <w:sz w:val="22"/>
          <w:szCs w:val="22"/>
          <w:shd w:val="clear" w:color="auto" w:fill="FFFFFF"/>
          <w:lang w:val="es-ES" w:eastAsia="es-CO"/>
        </w:rPr>
        <w:t xml:space="preserve">obrando como apoderado especial de </w:t>
      </w:r>
      <w:r w:rsidR="00203C4C" w:rsidRPr="00203C4C">
        <w:rPr>
          <w:rFonts w:eastAsia="Arial"/>
          <w:b/>
          <w:bCs/>
          <w:sz w:val="22"/>
          <w:szCs w:val="22"/>
          <w:shd w:val="clear" w:color="auto" w:fill="FFFFFF"/>
          <w:lang w:val="es-ES" w:eastAsia="es-CO"/>
        </w:rPr>
        <w:t>COMUNICACIÓN CELULAR S.A. – COMCEL S.A</w:t>
      </w:r>
      <w:r w:rsidR="001275BF" w:rsidRPr="005B3185">
        <w:rPr>
          <w:rFonts w:eastAsia="Arial"/>
          <w:sz w:val="22"/>
          <w:szCs w:val="22"/>
          <w:shd w:val="clear" w:color="auto" w:fill="FFFFFF"/>
          <w:lang w:eastAsia="es-CO"/>
        </w:rPr>
        <w:t>, tal y como consta en el expediente. C</w:t>
      </w:r>
      <w:r w:rsidR="00A558CF" w:rsidRPr="005B3185">
        <w:rPr>
          <w:rFonts w:eastAsia="Arial"/>
          <w:sz w:val="22"/>
          <w:szCs w:val="22"/>
          <w:shd w:val="clear" w:color="auto" w:fill="FFFFFF"/>
          <w:lang w:eastAsia="es-CO"/>
        </w:rPr>
        <w:t xml:space="preserve">omedidamente </w:t>
      </w:r>
      <w:r w:rsidR="00A60DB9" w:rsidRPr="005B3185">
        <w:rPr>
          <w:sz w:val="22"/>
          <w:szCs w:val="22"/>
          <w:lang w:val="es-MX"/>
        </w:rPr>
        <w:t xml:space="preserve">me permito elevar </w:t>
      </w:r>
      <w:r w:rsidR="00A60DB9" w:rsidRPr="00365C96">
        <w:rPr>
          <w:b/>
          <w:bCs/>
          <w:sz w:val="22"/>
          <w:szCs w:val="22"/>
          <w:u w:val="single"/>
          <w:lang w:val="es-MX"/>
        </w:rPr>
        <w:t xml:space="preserve">SOLICITUD DE ACLARACIÓN </w:t>
      </w:r>
      <w:r w:rsidR="00203C4C" w:rsidRPr="00203C4C">
        <w:rPr>
          <w:sz w:val="22"/>
          <w:szCs w:val="22"/>
          <w:lang w:val="es-ES"/>
        </w:rPr>
        <w:t xml:space="preserve">respecto del Auto proferido por ese Despacho el veintiuno (21) de febrero de dos mil veinticinco (2025), con el fin de que se precise lo relacionado con la decisión adoptada sobre la recusación presentada. Esto, en atención a que el Auto del veintiuno (21) de octubre de dos mil veinticuatro (2024), emitido por el Juzgado Primero Civil Municipal de Arauca, mediante el cual se negó la recusación y se </w:t>
      </w:r>
      <w:r w:rsidR="00554526">
        <w:rPr>
          <w:sz w:val="22"/>
          <w:szCs w:val="22"/>
          <w:lang w:val="es-ES"/>
        </w:rPr>
        <w:t xml:space="preserve">ordenó </w:t>
      </w:r>
      <w:r w:rsidR="00203C4C" w:rsidRPr="00203C4C">
        <w:rPr>
          <w:sz w:val="22"/>
          <w:szCs w:val="22"/>
          <w:lang w:val="es-ES"/>
        </w:rPr>
        <w:t>remiti</w:t>
      </w:r>
      <w:r w:rsidR="00554526">
        <w:rPr>
          <w:sz w:val="22"/>
          <w:szCs w:val="22"/>
          <w:lang w:val="es-ES"/>
        </w:rPr>
        <w:t>r</w:t>
      </w:r>
      <w:r w:rsidR="00203C4C" w:rsidRPr="00203C4C">
        <w:rPr>
          <w:sz w:val="22"/>
          <w:szCs w:val="22"/>
          <w:lang w:val="es-ES"/>
        </w:rPr>
        <w:t xml:space="preserve"> el expediente al superior, no se </w:t>
      </w:r>
      <w:r w:rsidR="00554526" w:rsidRPr="00203C4C">
        <w:rPr>
          <w:sz w:val="22"/>
          <w:szCs w:val="22"/>
          <w:lang w:val="es-ES"/>
        </w:rPr>
        <w:t>enc</w:t>
      </w:r>
      <w:r w:rsidR="00554526">
        <w:rPr>
          <w:sz w:val="22"/>
          <w:szCs w:val="22"/>
          <w:lang w:val="es-ES"/>
        </w:rPr>
        <w:t>uentra</w:t>
      </w:r>
      <w:r w:rsidR="00554526" w:rsidRPr="00203C4C">
        <w:rPr>
          <w:sz w:val="22"/>
          <w:szCs w:val="22"/>
          <w:lang w:val="es-ES"/>
        </w:rPr>
        <w:t xml:space="preserve"> </w:t>
      </w:r>
      <w:r w:rsidR="00203C4C" w:rsidRPr="00203C4C">
        <w:rPr>
          <w:sz w:val="22"/>
          <w:szCs w:val="22"/>
          <w:lang w:val="es-ES"/>
        </w:rPr>
        <w:t>en firme, dado que mi representada presentó una solicitud de aclaración frente a dicha providencia</w:t>
      </w:r>
      <w:r w:rsidR="006343AA">
        <w:rPr>
          <w:sz w:val="22"/>
          <w:szCs w:val="22"/>
          <w:lang w:val="es-ES"/>
        </w:rPr>
        <w:t xml:space="preserve">, la cual aún no se </w:t>
      </w:r>
      <w:r w:rsidR="00554526">
        <w:rPr>
          <w:sz w:val="22"/>
          <w:szCs w:val="22"/>
          <w:lang w:val="es-ES"/>
        </w:rPr>
        <w:t xml:space="preserve">ha </w:t>
      </w:r>
      <w:r w:rsidR="006343AA">
        <w:rPr>
          <w:sz w:val="22"/>
          <w:szCs w:val="22"/>
          <w:lang w:val="es-ES"/>
        </w:rPr>
        <w:t>resue</w:t>
      </w:r>
      <w:r w:rsidR="00554526">
        <w:rPr>
          <w:sz w:val="22"/>
          <w:szCs w:val="22"/>
          <w:lang w:val="es-ES"/>
        </w:rPr>
        <w:t>lto, luego entonces se precisa aclarar los motivos por los cuales se resolvió la recusación de manera prematura</w:t>
      </w:r>
      <w:r w:rsidR="00203C4C">
        <w:rPr>
          <w:sz w:val="22"/>
          <w:szCs w:val="22"/>
          <w:lang w:val="es-ES"/>
        </w:rPr>
        <w:t xml:space="preserve">. </w:t>
      </w:r>
      <w:r w:rsidR="006343AA">
        <w:rPr>
          <w:sz w:val="22"/>
          <w:szCs w:val="22"/>
          <w:lang w:val="es-ES"/>
        </w:rPr>
        <w:t>La solicitud se present</w:t>
      </w:r>
      <w:r w:rsidR="00554526">
        <w:rPr>
          <w:sz w:val="22"/>
          <w:szCs w:val="22"/>
          <w:lang w:val="es-ES"/>
        </w:rPr>
        <w:t>a</w:t>
      </w:r>
      <w:r w:rsidR="00203C4C">
        <w:rPr>
          <w:sz w:val="22"/>
          <w:szCs w:val="22"/>
          <w:lang w:val="es-ES"/>
        </w:rPr>
        <w:t>,</w:t>
      </w:r>
      <w:r w:rsidR="00A60DB9" w:rsidRPr="005B3185">
        <w:rPr>
          <w:sz w:val="22"/>
          <w:szCs w:val="22"/>
          <w:lang w:val="es-MX"/>
        </w:rPr>
        <w:t xml:space="preserve"> con fundamento en </w:t>
      </w:r>
      <w:r w:rsidR="00554526">
        <w:rPr>
          <w:sz w:val="22"/>
          <w:szCs w:val="22"/>
          <w:lang w:val="es-MX"/>
        </w:rPr>
        <w:t>el</w:t>
      </w:r>
      <w:r w:rsidR="00554526" w:rsidRPr="005B3185">
        <w:rPr>
          <w:sz w:val="22"/>
          <w:szCs w:val="22"/>
          <w:lang w:val="es-MX"/>
        </w:rPr>
        <w:t xml:space="preserve"> </w:t>
      </w:r>
      <w:r w:rsidR="00A60DB9" w:rsidRPr="005B3185">
        <w:rPr>
          <w:sz w:val="22"/>
          <w:szCs w:val="22"/>
          <w:lang w:val="es-MX"/>
        </w:rPr>
        <w:t>artículo 287 del Código General del Proceso, en los siguientes términos:</w:t>
      </w:r>
    </w:p>
    <w:p w14:paraId="4FFE50B6" w14:textId="77777777" w:rsidR="00A60DB9" w:rsidRPr="005B3185" w:rsidRDefault="00A60DB9" w:rsidP="005B3185">
      <w:pPr>
        <w:widowControl/>
        <w:adjustRightInd w:val="0"/>
        <w:spacing w:line="360" w:lineRule="auto"/>
        <w:jc w:val="both"/>
        <w:rPr>
          <w:rFonts w:ascii="Arial" w:eastAsiaTheme="minorHAnsi" w:hAnsi="Arial" w:cs="Arial"/>
          <w:color w:val="000000"/>
          <w:lang w:val="es-MX"/>
        </w:rPr>
      </w:pPr>
    </w:p>
    <w:p w14:paraId="6A6B2B9C" w14:textId="3B13A7DF" w:rsidR="00A60DB9" w:rsidRPr="00365C96" w:rsidRDefault="00A60DB9" w:rsidP="005B3185">
      <w:pPr>
        <w:pStyle w:val="Prrafodelista"/>
        <w:numPr>
          <w:ilvl w:val="0"/>
          <w:numId w:val="25"/>
        </w:numPr>
        <w:spacing w:line="360" w:lineRule="auto"/>
        <w:jc w:val="center"/>
        <w:outlineLvl w:val="0"/>
        <w:rPr>
          <w:rFonts w:ascii="Arial" w:eastAsia="Calibri" w:hAnsi="Arial" w:cs="Arial"/>
          <w:b/>
          <w:bCs/>
          <w:sz w:val="22"/>
          <w:szCs w:val="22"/>
        </w:rPr>
      </w:pPr>
      <w:r w:rsidRPr="00365C96">
        <w:rPr>
          <w:rFonts w:ascii="Arial" w:eastAsia="Calibri" w:hAnsi="Arial" w:cs="Arial"/>
          <w:b/>
          <w:bCs/>
          <w:sz w:val="22"/>
          <w:szCs w:val="22"/>
        </w:rPr>
        <w:t xml:space="preserve">OPORTUNIDAD </w:t>
      </w:r>
    </w:p>
    <w:p w14:paraId="2C74E32E" w14:textId="77777777" w:rsidR="00A60DB9" w:rsidRPr="005B3185" w:rsidRDefault="00A60DB9" w:rsidP="005B3185">
      <w:pPr>
        <w:widowControl/>
        <w:adjustRightInd w:val="0"/>
        <w:spacing w:line="360" w:lineRule="auto"/>
        <w:rPr>
          <w:rFonts w:ascii="Arial" w:eastAsiaTheme="minorHAnsi" w:hAnsi="Arial" w:cs="Arial"/>
          <w:color w:val="000000"/>
          <w:lang w:val="es-MX"/>
        </w:rPr>
      </w:pPr>
    </w:p>
    <w:p w14:paraId="1B3C1795" w14:textId="2FB82E5B" w:rsidR="00A60DB9" w:rsidRPr="005B3185" w:rsidRDefault="00A60DB9" w:rsidP="005B3185">
      <w:pPr>
        <w:spacing w:line="360" w:lineRule="auto"/>
        <w:jc w:val="both"/>
        <w:outlineLvl w:val="0"/>
        <w:rPr>
          <w:rFonts w:ascii="Arial" w:eastAsia="Calibri" w:hAnsi="Arial" w:cs="Arial"/>
        </w:rPr>
      </w:pPr>
      <w:r w:rsidRPr="005B3185">
        <w:rPr>
          <w:rFonts w:ascii="Arial" w:eastAsia="Calibri" w:hAnsi="Arial" w:cs="Arial"/>
        </w:rPr>
        <w:t xml:space="preserve">La solicitud de aclaración que se presenta a través de este memorial es procedente a la luz de </w:t>
      </w:r>
      <w:r w:rsidRPr="005B3185">
        <w:rPr>
          <w:rFonts w:ascii="Arial" w:eastAsia="Calibri" w:hAnsi="Arial" w:cs="Arial"/>
        </w:rPr>
        <w:lastRenderedPageBreak/>
        <w:t xml:space="preserve">lo dispuesto por el artículo 285 del Código General del Proceso, de acuerdo con el cual, </w:t>
      </w:r>
      <w:r w:rsidR="00F139DF">
        <w:rPr>
          <w:rFonts w:ascii="Arial" w:eastAsia="Calibri" w:hAnsi="Arial" w:cs="Arial"/>
        </w:rPr>
        <w:t xml:space="preserve">procede respecto </w:t>
      </w:r>
      <w:r w:rsidRPr="005B3185">
        <w:rPr>
          <w:rFonts w:ascii="Arial" w:eastAsia="Calibri" w:hAnsi="Arial" w:cs="Arial"/>
        </w:rPr>
        <w:t>de los autos de oficio o a petición de parte si son formuladas dentro del término de ejecutoria:</w:t>
      </w:r>
    </w:p>
    <w:p w14:paraId="6B61679F" w14:textId="77777777" w:rsidR="00A60DB9" w:rsidRPr="005B3185" w:rsidRDefault="00A60DB9" w:rsidP="005B3185">
      <w:pPr>
        <w:spacing w:line="360" w:lineRule="auto"/>
        <w:jc w:val="both"/>
        <w:outlineLvl w:val="0"/>
        <w:rPr>
          <w:rFonts w:ascii="Arial" w:eastAsia="Calibri" w:hAnsi="Arial" w:cs="Arial"/>
        </w:rPr>
      </w:pPr>
    </w:p>
    <w:p w14:paraId="48C93539" w14:textId="2EDEF348" w:rsidR="001275BF" w:rsidRPr="00365C96" w:rsidRDefault="00A60DB9" w:rsidP="00365C96">
      <w:pPr>
        <w:spacing w:line="360" w:lineRule="auto"/>
        <w:ind w:left="851" w:right="793"/>
        <w:jc w:val="both"/>
        <w:rPr>
          <w:rFonts w:ascii="Arial" w:hAnsi="Arial" w:cs="Arial"/>
          <w:i/>
          <w:iCs/>
        </w:rPr>
      </w:pPr>
      <w:bookmarkStart w:id="1" w:name="287"/>
      <w:r w:rsidRPr="00365C96">
        <w:rPr>
          <w:rFonts w:ascii="Arial" w:hAnsi="Arial" w:cs="Arial"/>
          <w:i/>
          <w:iCs/>
        </w:rPr>
        <w:t>“</w:t>
      </w:r>
      <w:r w:rsidR="001275BF" w:rsidRPr="00365C96">
        <w:rPr>
          <w:rFonts w:ascii="Arial" w:hAnsi="Arial" w:cs="Arial"/>
          <w:b/>
          <w:bCs/>
          <w:i/>
          <w:iCs/>
        </w:rPr>
        <w:t>ARTÍCULO 285. ACLARACIÓN</w:t>
      </w:r>
      <w:r w:rsidR="001275BF" w:rsidRPr="00365C96">
        <w:rPr>
          <w:rFonts w:ascii="Arial" w:hAnsi="Arial" w:cs="Arial"/>
          <w:i/>
          <w:iCs/>
        </w:rPr>
        <w:t xml:space="preserve">. </w:t>
      </w:r>
      <w:r w:rsidRPr="00365C96">
        <w:rPr>
          <w:rFonts w:ascii="Arial" w:hAnsi="Arial" w:cs="Arial"/>
          <w:i/>
          <w:iCs/>
        </w:rPr>
        <w:t>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14:paraId="74415CB1" w14:textId="77777777" w:rsidR="001275BF" w:rsidRPr="00365C96" w:rsidRDefault="001275BF" w:rsidP="00365C96">
      <w:pPr>
        <w:spacing w:line="360" w:lineRule="auto"/>
        <w:ind w:left="851" w:right="793"/>
        <w:jc w:val="both"/>
        <w:rPr>
          <w:rFonts w:ascii="Arial" w:hAnsi="Arial" w:cs="Arial"/>
          <w:i/>
          <w:iCs/>
        </w:rPr>
      </w:pPr>
    </w:p>
    <w:p w14:paraId="433F0956" w14:textId="24FF71E2" w:rsidR="001275BF" w:rsidRPr="00365C96" w:rsidRDefault="00A60DB9" w:rsidP="00365C96">
      <w:pPr>
        <w:spacing w:line="360" w:lineRule="auto"/>
        <w:ind w:left="851" w:right="793"/>
        <w:jc w:val="both"/>
        <w:rPr>
          <w:rFonts w:ascii="Arial" w:hAnsi="Arial" w:cs="Arial"/>
          <w:i/>
          <w:iCs/>
        </w:rPr>
      </w:pPr>
      <w:r w:rsidRPr="00365C96">
        <w:rPr>
          <w:rFonts w:ascii="Arial" w:hAnsi="Arial" w:cs="Arial"/>
          <w:i/>
          <w:iCs/>
        </w:rPr>
        <w:t>En las mismas circunstancias procederá la aclaración de auto. La aclaración procederá de oficio o a petición de parte formulada dentro del término de ejecutoria de la providencia.</w:t>
      </w:r>
    </w:p>
    <w:p w14:paraId="1FD8471C" w14:textId="77777777" w:rsidR="001275BF" w:rsidRPr="00365C96" w:rsidRDefault="001275BF" w:rsidP="00365C96">
      <w:pPr>
        <w:spacing w:line="360" w:lineRule="auto"/>
        <w:ind w:left="851" w:right="793"/>
        <w:jc w:val="both"/>
        <w:rPr>
          <w:rFonts w:ascii="Arial" w:hAnsi="Arial" w:cs="Arial"/>
          <w:i/>
          <w:iCs/>
        </w:rPr>
      </w:pPr>
    </w:p>
    <w:p w14:paraId="6ADA1E15" w14:textId="4FD72ACA" w:rsidR="00A60DB9" w:rsidRPr="00365C96" w:rsidRDefault="00A60DB9" w:rsidP="00365C96">
      <w:pPr>
        <w:spacing w:line="360" w:lineRule="auto"/>
        <w:ind w:left="851" w:right="793"/>
        <w:jc w:val="both"/>
        <w:rPr>
          <w:rFonts w:ascii="Arial" w:hAnsi="Arial" w:cs="Arial"/>
          <w:i/>
          <w:iCs/>
        </w:rPr>
      </w:pPr>
      <w:r w:rsidRPr="00365C96">
        <w:rPr>
          <w:rFonts w:ascii="Arial" w:hAnsi="Arial" w:cs="Arial"/>
          <w:i/>
          <w:iCs/>
        </w:rPr>
        <w:t>La providencia que resuelva sobre la aclaración no admite recursos, pero dentro de su ejecutoria podrán interponerse los que procedan contra la providencia objeto de aclaración.</w:t>
      </w:r>
      <w:r w:rsidR="001275BF" w:rsidRPr="005B3185">
        <w:rPr>
          <w:rFonts w:ascii="Arial" w:hAnsi="Arial" w:cs="Arial"/>
          <w:i/>
          <w:iCs/>
        </w:rPr>
        <w:t>”</w:t>
      </w:r>
    </w:p>
    <w:p w14:paraId="7C3EEC36" w14:textId="77777777" w:rsidR="001275BF" w:rsidRPr="005B3185" w:rsidRDefault="001275BF" w:rsidP="00365C96">
      <w:pPr>
        <w:pStyle w:val="Sinespaciado"/>
        <w:spacing w:line="360" w:lineRule="auto"/>
        <w:rPr>
          <w:rFonts w:ascii="Arial" w:hAnsi="Arial" w:cs="Arial"/>
        </w:rPr>
      </w:pPr>
    </w:p>
    <w:bookmarkEnd w:id="1"/>
    <w:p w14:paraId="064CEBA7" w14:textId="2F520730" w:rsidR="00A60DB9" w:rsidRPr="005B3185" w:rsidRDefault="00A60DB9" w:rsidP="005B3185">
      <w:pPr>
        <w:spacing w:line="360" w:lineRule="auto"/>
        <w:jc w:val="both"/>
        <w:outlineLvl w:val="0"/>
        <w:rPr>
          <w:rFonts w:ascii="Arial" w:eastAsia="Calibri" w:hAnsi="Arial" w:cs="Arial"/>
        </w:rPr>
      </w:pPr>
      <w:r w:rsidRPr="005B3185">
        <w:rPr>
          <w:rFonts w:ascii="Arial" w:eastAsia="Calibri" w:hAnsi="Arial" w:cs="Arial"/>
        </w:rPr>
        <w:t xml:space="preserve">En el presente caso, el </w:t>
      </w:r>
      <w:r w:rsidR="001275BF" w:rsidRPr="005B3185">
        <w:rPr>
          <w:rFonts w:ascii="Arial" w:eastAsia="Calibri" w:hAnsi="Arial" w:cs="Arial"/>
        </w:rPr>
        <w:t>A</w:t>
      </w:r>
      <w:r w:rsidRPr="005B3185">
        <w:rPr>
          <w:rFonts w:ascii="Arial" w:eastAsia="Calibri" w:hAnsi="Arial" w:cs="Arial"/>
        </w:rPr>
        <w:t>uto</w:t>
      </w:r>
      <w:r w:rsidR="00F139DF">
        <w:rPr>
          <w:rFonts w:ascii="Arial" w:eastAsia="Calibri" w:hAnsi="Arial" w:cs="Arial"/>
        </w:rPr>
        <w:t xml:space="preserve"> del</w:t>
      </w:r>
      <w:r w:rsidRPr="005B3185">
        <w:rPr>
          <w:rFonts w:ascii="Arial" w:eastAsia="Calibri" w:hAnsi="Arial" w:cs="Arial"/>
        </w:rPr>
        <w:t xml:space="preserve"> </w:t>
      </w:r>
      <w:r w:rsidR="00C41045" w:rsidRPr="00C41045">
        <w:rPr>
          <w:rFonts w:ascii="Arial" w:eastAsia="Calibri" w:hAnsi="Arial" w:cs="Arial"/>
        </w:rPr>
        <w:t>veintiuno (21) de febrero de dos mil veinticinco (2025)</w:t>
      </w:r>
      <w:r w:rsidR="00C41045">
        <w:rPr>
          <w:rFonts w:ascii="Arial" w:eastAsia="Calibri" w:hAnsi="Arial" w:cs="Arial"/>
        </w:rPr>
        <w:t xml:space="preserve"> </w:t>
      </w:r>
      <w:r w:rsidRPr="005B3185">
        <w:rPr>
          <w:rFonts w:ascii="Arial" w:eastAsia="Calibri" w:hAnsi="Arial" w:cs="Arial"/>
        </w:rPr>
        <w:t xml:space="preserve">proferido por </w:t>
      </w:r>
      <w:r w:rsidR="00C41045" w:rsidRPr="00C41045">
        <w:rPr>
          <w:rFonts w:ascii="Arial" w:eastAsia="Calibri" w:hAnsi="Arial" w:cs="Arial"/>
        </w:rPr>
        <w:t xml:space="preserve">Juzgado Civil </w:t>
      </w:r>
      <w:r w:rsidR="00C41045">
        <w:rPr>
          <w:rFonts w:ascii="Arial" w:eastAsia="Calibri" w:hAnsi="Arial" w:cs="Arial"/>
        </w:rPr>
        <w:t>d</w:t>
      </w:r>
      <w:r w:rsidR="00C41045" w:rsidRPr="00C41045">
        <w:rPr>
          <w:rFonts w:ascii="Arial" w:eastAsia="Calibri" w:hAnsi="Arial" w:cs="Arial"/>
        </w:rPr>
        <w:t xml:space="preserve">el Circuito </w:t>
      </w:r>
      <w:r w:rsidR="00C41045">
        <w:rPr>
          <w:rFonts w:ascii="Arial" w:eastAsia="Calibri" w:hAnsi="Arial" w:cs="Arial"/>
        </w:rPr>
        <w:t>d</w:t>
      </w:r>
      <w:r w:rsidR="00C41045" w:rsidRPr="00C41045">
        <w:rPr>
          <w:rFonts w:ascii="Arial" w:eastAsia="Calibri" w:hAnsi="Arial" w:cs="Arial"/>
        </w:rPr>
        <w:t>e Arauca</w:t>
      </w:r>
      <w:r w:rsidR="00C41045">
        <w:rPr>
          <w:rFonts w:ascii="Arial" w:eastAsia="Calibri" w:hAnsi="Arial" w:cs="Arial"/>
        </w:rPr>
        <w:t xml:space="preserve"> </w:t>
      </w:r>
      <w:r w:rsidRPr="005B3185">
        <w:rPr>
          <w:rFonts w:ascii="Arial" w:eastAsia="Calibri" w:hAnsi="Arial" w:cs="Arial"/>
        </w:rPr>
        <w:t xml:space="preserve">fue notificado </w:t>
      </w:r>
      <w:r w:rsidR="00F139DF">
        <w:rPr>
          <w:rFonts w:ascii="Arial" w:eastAsia="Calibri" w:hAnsi="Arial" w:cs="Arial"/>
        </w:rPr>
        <w:t>por estados el 24 de febrero de 2025</w:t>
      </w:r>
      <w:r w:rsidRPr="005B3185">
        <w:rPr>
          <w:rFonts w:ascii="Arial" w:eastAsia="Calibri" w:hAnsi="Arial" w:cs="Arial"/>
        </w:rPr>
        <w:t>, por lo que</w:t>
      </w:r>
      <w:r w:rsidR="001275BF" w:rsidRPr="005B3185">
        <w:rPr>
          <w:rFonts w:ascii="Arial" w:eastAsia="Calibri" w:hAnsi="Arial" w:cs="Arial"/>
        </w:rPr>
        <w:t>,</w:t>
      </w:r>
      <w:r w:rsidRPr="005B3185">
        <w:rPr>
          <w:rFonts w:ascii="Arial" w:eastAsia="Calibri" w:hAnsi="Arial" w:cs="Arial"/>
        </w:rPr>
        <w:t xml:space="preserve"> la presente solicitud de aclaración se presenta dentro de la oportunidad correspondiente</w:t>
      </w:r>
      <w:r w:rsidR="001275BF" w:rsidRPr="005B3185">
        <w:rPr>
          <w:rFonts w:ascii="Arial" w:eastAsia="Calibri" w:hAnsi="Arial" w:cs="Arial"/>
        </w:rPr>
        <w:t>, es decir, dentro de los tres (3) días de ejecutoria</w:t>
      </w:r>
      <w:r w:rsidRPr="005B3185">
        <w:rPr>
          <w:rFonts w:ascii="Arial" w:eastAsia="Calibri" w:hAnsi="Arial" w:cs="Arial"/>
        </w:rPr>
        <w:t>.</w:t>
      </w:r>
    </w:p>
    <w:p w14:paraId="2187C66A" w14:textId="77777777" w:rsidR="00A60DB9" w:rsidRPr="005B3185" w:rsidRDefault="00A60DB9" w:rsidP="005B3185">
      <w:pPr>
        <w:spacing w:line="360" w:lineRule="auto"/>
        <w:jc w:val="both"/>
        <w:outlineLvl w:val="0"/>
        <w:rPr>
          <w:rFonts w:ascii="Arial" w:eastAsia="Calibri" w:hAnsi="Arial" w:cs="Arial"/>
        </w:rPr>
      </w:pPr>
    </w:p>
    <w:p w14:paraId="4308CC26" w14:textId="3CDBA81B" w:rsidR="00A60DB9" w:rsidRPr="00365C96" w:rsidRDefault="00A60DB9" w:rsidP="005B3185">
      <w:pPr>
        <w:pStyle w:val="Prrafodelista"/>
        <w:numPr>
          <w:ilvl w:val="0"/>
          <w:numId w:val="25"/>
        </w:numPr>
        <w:spacing w:line="360" w:lineRule="auto"/>
        <w:jc w:val="center"/>
        <w:outlineLvl w:val="0"/>
        <w:rPr>
          <w:rFonts w:ascii="Arial" w:eastAsia="Calibri" w:hAnsi="Arial" w:cs="Arial"/>
          <w:b/>
          <w:bCs/>
          <w:sz w:val="22"/>
          <w:szCs w:val="22"/>
        </w:rPr>
      </w:pPr>
      <w:r w:rsidRPr="00365C96">
        <w:rPr>
          <w:rFonts w:ascii="Arial" w:eastAsia="Calibri" w:hAnsi="Arial" w:cs="Arial"/>
          <w:b/>
          <w:bCs/>
          <w:sz w:val="22"/>
          <w:szCs w:val="22"/>
        </w:rPr>
        <w:t xml:space="preserve">FUNDAMENTOS DE LA SOLICITUD </w:t>
      </w:r>
    </w:p>
    <w:p w14:paraId="438CA492" w14:textId="77777777" w:rsidR="00A60DB9" w:rsidRPr="005B3185" w:rsidRDefault="00A60DB9" w:rsidP="005B3185">
      <w:pPr>
        <w:spacing w:line="360" w:lineRule="auto"/>
        <w:ind w:left="720"/>
        <w:outlineLvl w:val="0"/>
        <w:rPr>
          <w:rFonts w:ascii="Arial" w:eastAsia="Calibri" w:hAnsi="Arial" w:cs="Arial"/>
          <w:b/>
          <w:bCs/>
        </w:rPr>
      </w:pPr>
    </w:p>
    <w:p w14:paraId="434047EC" w14:textId="77777777" w:rsidR="00554526" w:rsidRDefault="007932C9" w:rsidP="00C41045">
      <w:pPr>
        <w:tabs>
          <w:tab w:val="left" w:pos="8364"/>
        </w:tabs>
        <w:spacing w:line="360" w:lineRule="auto"/>
        <w:ind w:right="-7"/>
        <w:jc w:val="both"/>
        <w:outlineLvl w:val="0"/>
        <w:rPr>
          <w:rFonts w:ascii="Arial" w:eastAsiaTheme="minorHAnsi" w:hAnsi="Arial" w:cs="Arial"/>
          <w:color w:val="000000"/>
        </w:rPr>
      </w:pPr>
      <w:r w:rsidRPr="005B3185">
        <w:rPr>
          <w:rFonts w:ascii="Arial" w:eastAsiaTheme="minorHAnsi" w:hAnsi="Arial" w:cs="Arial"/>
          <w:color w:val="000000"/>
          <w:lang w:val="es-MX"/>
        </w:rPr>
        <w:t xml:space="preserve">El </w:t>
      </w:r>
      <w:r w:rsidR="00C41045" w:rsidRPr="00C41045">
        <w:rPr>
          <w:rFonts w:ascii="Arial" w:eastAsia="Calibri" w:hAnsi="Arial" w:cs="Arial"/>
        </w:rPr>
        <w:t xml:space="preserve">Juzgado Civil </w:t>
      </w:r>
      <w:r w:rsidR="00C41045">
        <w:rPr>
          <w:rFonts w:ascii="Arial" w:eastAsia="Calibri" w:hAnsi="Arial" w:cs="Arial"/>
        </w:rPr>
        <w:t>d</w:t>
      </w:r>
      <w:r w:rsidR="00C41045" w:rsidRPr="00C41045">
        <w:rPr>
          <w:rFonts w:ascii="Arial" w:eastAsia="Calibri" w:hAnsi="Arial" w:cs="Arial"/>
        </w:rPr>
        <w:t xml:space="preserve">el Circuito </w:t>
      </w:r>
      <w:r w:rsidR="00C41045">
        <w:rPr>
          <w:rFonts w:ascii="Arial" w:eastAsia="Calibri" w:hAnsi="Arial" w:cs="Arial"/>
        </w:rPr>
        <w:t>d</w:t>
      </w:r>
      <w:r w:rsidR="00C41045" w:rsidRPr="00C41045">
        <w:rPr>
          <w:rFonts w:ascii="Arial" w:eastAsia="Calibri" w:hAnsi="Arial" w:cs="Arial"/>
        </w:rPr>
        <w:t>e Arauca</w:t>
      </w:r>
      <w:r w:rsidRPr="005B3185">
        <w:rPr>
          <w:rFonts w:ascii="Arial" w:eastAsiaTheme="minorHAnsi" w:hAnsi="Arial" w:cs="Arial"/>
          <w:color w:val="000000"/>
          <w:lang w:val="es-MX"/>
        </w:rPr>
        <w:t xml:space="preserve"> mediante Auto </w:t>
      </w:r>
      <w:r w:rsidR="00554526">
        <w:rPr>
          <w:rFonts w:ascii="Arial" w:eastAsiaTheme="minorHAnsi" w:hAnsi="Arial" w:cs="Arial"/>
          <w:color w:val="000000"/>
          <w:lang w:val="es-MX"/>
        </w:rPr>
        <w:t xml:space="preserve">del </w:t>
      </w:r>
      <w:r w:rsidR="00C41045" w:rsidRPr="00C41045">
        <w:rPr>
          <w:rFonts w:ascii="Arial" w:eastAsiaTheme="minorHAnsi" w:hAnsi="Arial" w:cs="Arial"/>
          <w:color w:val="000000"/>
        </w:rPr>
        <w:t>veintiuno (21) de febrero de dos mil veinticinco (2025)</w:t>
      </w:r>
      <w:r w:rsidR="00B710D1" w:rsidRPr="005B3185">
        <w:rPr>
          <w:rFonts w:ascii="Arial" w:eastAsiaTheme="minorHAnsi" w:hAnsi="Arial" w:cs="Arial"/>
          <w:color w:val="000000"/>
        </w:rPr>
        <w:t xml:space="preserve"> decidió</w:t>
      </w:r>
      <w:r w:rsidR="00C41045">
        <w:rPr>
          <w:rFonts w:ascii="Arial" w:eastAsiaTheme="minorHAnsi" w:hAnsi="Arial" w:cs="Arial"/>
          <w:color w:val="000000"/>
        </w:rPr>
        <w:t>:</w:t>
      </w:r>
      <w:r w:rsidR="00B710D1" w:rsidRPr="005B3185">
        <w:rPr>
          <w:rFonts w:ascii="Arial" w:eastAsiaTheme="minorHAnsi" w:hAnsi="Arial" w:cs="Arial"/>
          <w:color w:val="000000"/>
        </w:rPr>
        <w:t xml:space="preserve"> </w:t>
      </w:r>
    </w:p>
    <w:p w14:paraId="62261807" w14:textId="77777777" w:rsidR="00554526" w:rsidRDefault="00554526" w:rsidP="00C41045">
      <w:pPr>
        <w:tabs>
          <w:tab w:val="left" w:pos="8364"/>
        </w:tabs>
        <w:spacing w:line="360" w:lineRule="auto"/>
        <w:ind w:right="-7"/>
        <w:jc w:val="both"/>
        <w:outlineLvl w:val="0"/>
        <w:rPr>
          <w:rFonts w:ascii="Arial" w:eastAsiaTheme="minorHAnsi" w:hAnsi="Arial" w:cs="Arial"/>
          <w:color w:val="000000"/>
        </w:rPr>
      </w:pPr>
    </w:p>
    <w:p w14:paraId="24B0E3CA" w14:textId="26EF3E93" w:rsidR="00554526" w:rsidRDefault="00C41045" w:rsidP="009A1E5D">
      <w:pPr>
        <w:tabs>
          <w:tab w:val="left" w:pos="8364"/>
        </w:tabs>
        <w:spacing w:line="360" w:lineRule="auto"/>
        <w:ind w:left="709" w:right="-7"/>
        <w:jc w:val="both"/>
        <w:outlineLvl w:val="0"/>
        <w:rPr>
          <w:rFonts w:ascii="Arial" w:eastAsiaTheme="minorHAnsi" w:hAnsi="Arial" w:cs="Arial"/>
          <w:color w:val="000000"/>
        </w:rPr>
      </w:pPr>
      <w:r>
        <w:rPr>
          <w:rFonts w:ascii="Arial" w:eastAsiaTheme="minorHAnsi" w:hAnsi="Arial" w:cs="Arial"/>
          <w:color w:val="000000"/>
        </w:rPr>
        <w:t>“</w:t>
      </w:r>
      <w:r w:rsidRPr="00C41045">
        <w:rPr>
          <w:rFonts w:ascii="Arial" w:eastAsiaTheme="minorHAnsi" w:hAnsi="Arial" w:cs="Arial"/>
          <w:i/>
          <w:iCs/>
          <w:color w:val="000000"/>
        </w:rPr>
        <w:t xml:space="preserve">DECLARAR INFUNDADA la recusación formulada por la abogada ANA MARIA BARON MENDOZA contra el doctor Luis Arnulfo Sarmiento Pérez, en su condición de Juez </w:t>
      </w:r>
      <w:r w:rsidRPr="00C41045">
        <w:rPr>
          <w:rFonts w:ascii="Arial" w:eastAsiaTheme="minorHAnsi" w:hAnsi="Arial" w:cs="Arial"/>
          <w:i/>
          <w:iCs/>
          <w:color w:val="000000"/>
        </w:rPr>
        <w:lastRenderedPageBreak/>
        <w:t>Primero Civil Municipal de Arauca, por lo motivado en esta providencia. SEGUNDO: DEVOLVER las presentes diligencias al juzgado de origen, para lo de su cargo</w:t>
      </w:r>
      <w:r w:rsidRPr="00C41045">
        <w:rPr>
          <w:rFonts w:ascii="Arial" w:eastAsiaTheme="minorHAnsi" w:hAnsi="Arial" w:cs="Arial"/>
          <w:color w:val="000000"/>
        </w:rPr>
        <w:t>.</w:t>
      </w:r>
      <w:r>
        <w:rPr>
          <w:rFonts w:ascii="Arial" w:eastAsiaTheme="minorHAnsi" w:hAnsi="Arial" w:cs="Arial"/>
          <w:color w:val="000000"/>
        </w:rPr>
        <w:t>”</w:t>
      </w:r>
      <w:r w:rsidR="00B710D1" w:rsidRPr="005B3185">
        <w:rPr>
          <w:rFonts w:ascii="Arial" w:eastAsiaTheme="minorHAnsi" w:hAnsi="Arial" w:cs="Arial"/>
          <w:color w:val="000000"/>
        </w:rPr>
        <w:t xml:space="preserve"> </w:t>
      </w:r>
    </w:p>
    <w:p w14:paraId="715DE4EB" w14:textId="77777777" w:rsidR="00554526" w:rsidRDefault="00554526" w:rsidP="00C41045">
      <w:pPr>
        <w:tabs>
          <w:tab w:val="left" w:pos="8364"/>
        </w:tabs>
        <w:spacing w:line="360" w:lineRule="auto"/>
        <w:ind w:right="-7"/>
        <w:jc w:val="both"/>
        <w:outlineLvl w:val="0"/>
        <w:rPr>
          <w:rFonts w:ascii="Arial" w:eastAsiaTheme="minorHAnsi" w:hAnsi="Arial" w:cs="Arial"/>
          <w:color w:val="000000"/>
        </w:rPr>
      </w:pPr>
    </w:p>
    <w:p w14:paraId="57A0AE1B" w14:textId="07F90DEE" w:rsidR="00554526" w:rsidRDefault="00B710D1" w:rsidP="00C41045">
      <w:pPr>
        <w:tabs>
          <w:tab w:val="left" w:pos="8364"/>
        </w:tabs>
        <w:spacing w:line="360" w:lineRule="auto"/>
        <w:ind w:right="-7"/>
        <w:jc w:val="both"/>
        <w:outlineLvl w:val="0"/>
        <w:rPr>
          <w:rFonts w:ascii="Arial" w:eastAsiaTheme="minorHAnsi" w:hAnsi="Arial" w:cs="Arial"/>
          <w:color w:val="000000"/>
        </w:rPr>
      </w:pPr>
      <w:r w:rsidRPr="005B3185">
        <w:rPr>
          <w:rFonts w:ascii="Arial" w:eastAsiaTheme="minorHAnsi" w:hAnsi="Arial" w:cs="Arial"/>
          <w:color w:val="000000"/>
        </w:rPr>
        <w:t>Sin embargo,</w:t>
      </w:r>
      <w:r w:rsidR="00C41045">
        <w:rPr>
          <w:rFonts w:ascii="Arial" w:eastAsiaTheme="minorHAnsi" w:hAnsi="Arial" w:cs="Arial"/>
          <w:color w:val="000000"/>
        </w:rPr>
        <w:t xml:space="preserve"> no se entiende por qué</w:t>
      </w:r>
      <w:r w:rsidR="00554526">
        <w:rPr>
          <w:rFonts w:ascii="Arial" w:eastAsiaTheme="minorHAnsi" w:hAnsi="Arial" w:cs="Arial"/>
          <w:color w:val="000000"/>
        </w:rPr>
        <w:t xml:space="preserve"> su H. despacho efectuó dicho pronunciamiento</w:t>
      </w:r>
      <w:r w:rsidR="00C41045">
        <w:rPr>
          <w:rFonts w:ascii="Arial" w:eastAsiaTheme="minorHAnsi" w:hAnsi="Arial" w:cs="Arial"/>
          <w:color w:val="000000"/>
        </w:rPr>
        <w:t xml:space="preserve">, si por parte de esta representación judicial se radicó una solicitud de aclaración respecto del auto del </w:t>
      </w:r>
      <w:r w:rsidR="00C41045" w:rsidRPr="00C41045">
        <w:rPr>
          <w:rFonts w:ascii="Arial" w:eastAsiaTheme="minorHAnsi" w:hAnsi="Arial" w:cs="Arial"/>
          <w:color w:val="000000"/>
        </w:rPr>
        <w:t>veintiuno (21) de octubre de dos mil veinticuatro (2.024)</w:t>
      </w:r>
      <w:r w:rsidR="00C41045">
        <w:rPr>
          <w:rFonts w:ascii="Arial" w:eastAsiaTheme="minorHAnsi" w:hAnsi="Arial" w:cs="Arial"/>
          <w:color w:val="000000"/>
        </w:rPr>
        <w:t xml:space="preserve"> proferido por el </w:t>
      </w:r>
      <w:r w:rsidR="00C41045" w:rsidRPr="00C41045">
        <w:rPr>
          <w:rFonts w:ascii="Arial" w:eastAsiaTheme="minorHAnsi" w:hAnsi="Arial" w:cs="Arial"/>
          <w:color w:val="000000"/>
        </w:rPr>
        <w:t xml:space="preserve">Juzgado Primero Civil Municipal </w:t>
      </w:r>
      <w:r w:rsidR="00C41045">
        <w:rPr>
          <w:rFonts w:ascii="Arial" w:eastAsiaTheme="minorHAnsi" w:hAnsi="Arial" w:cs="Arial"/>
          <w:color w:val="000000"/>
        </w:rPr>
        <w:t>d</w:t>
      </w:r>
      <w:r w:rsidR="00C41045" w:rsidRPr="00C41045">
        <w:rPr>
          <w:rFonts w:ascii="Arial" w:eastAsiaTheme="minorHAnsi" w:hAnsi="Arial" w:cs="Arial"/>
          <w:color w:val="000000"/>
        </w:rPr>
        <w:t>e Arauca</w:t>
      </w:r>
      <w:r w:rsidR="00C41045">
        <w:rPr>
          <w:rFonts w:ascii="Arial" w:eastAsiaTheme="minorHAnsi" w:hAnsi="Arial" w:cs="Arial"/>
          <w:color w:val="000000"/>
        </w:rPr>
        <w:t>,</w:t>
      </w:r>
      <w:r w:rsidR="00554526">
        <w:rPr>
          <w:rFonts w:ascii="Arial" w:eastAsiaTheme="minorHAnsi" w:hAnsi="Arial" w:cs="Arial"/>
          <w:color w:val="000000"/>
        </w:rPr>
        <w:t xml:space="preserve"> mismo que resolvió la recusación y ordenó la remisión ante el superior jerárquico, pese a ello, dicha providencia no quedó ejecutoriada</w:t>
      </w:r>
      <w:r w:rsidR="00C41045">
        <w:rPr>
          <w:rFonts w:ascii="Arial" w:eastAsiaTheme="minorHAnsi" w:hAnsi="Arial" w:cs="Arial"/>
          <w:color w:val="000000"/>
        </w:rPr>
        <w:t xml:space="preserve"> </w:t>
      </w:r>
      <w:r w:rsidR="00554526">
        <w:rPr>
          <w:rFonts w:ascii="Arial" w:eastAsiaTheme="minorHAnsi" w:hAnsi="Arial" w:cs="Arial"/>
          <w:color w:val="000000"/>
        </w:rPr>
        <w:t xml:space="preserve">en virtud de la aclaración </w:t>
      </w:r>
      <w:r w:rsidR="00C41045">
        <w:rPr>
          <w:rFonts w:ascii="Arial" w:eastAsiaTheme="minorHAnsi" w:hAnsi="Arial" w:cs="Arial"/>
          <w:color w:val="000000"/>
        </w:rPr>
        <w:t>que a la fecha no ha sido resuelta por el Juzgado de origen</w:t>
      </w:r>
      <w:r w:rsidR="00554526">
        <w:rPr>
          <w:rFonts w:ascii="Arial" w:eastAsiaTheme="minorHAnsi" w:hAnsi="Arial" w:cs="Arial"/>
          <w:color w:val="000000"/>
        </w:rPr>
        <w:t xml:space="preserve">. </w:t>
      </w:r>
    </w:p>
    <w:p w14:paraId="4475ABD9" w14:textId="77777777" w:rsidR="00554526" w:rsidRDefault="00554526" w:rsidP="00C41045">
      <w:pPr>
        <w:tabs>
          <w:tab w:val="left" w:pos="8364"/>
        </w:tabs>
        <w:spacing w:line="360" w:lineRule="auto"/>
        <w:ind w:right="-7"/>
        <w:jc w:val="both"/>
        <w:outlineLvl w:val="0"/>
        <w:rPr>
          <w:rFonts w:ascii="Arial" w:eastAsiaTheme="minorHAnsi" w:hAnsi="Arial" w:cs="Arial"/>
          <w:color w:val="000000"/>
        </w:rPr>
      </w:pPr>
    </w:p>
    <w:p w14:paraId="3F95FE9E" w14:textId="6D61CE70" w:rsidR="003D62CC" w:rsidRDefault="00554526" w:rsidP="009A1E5D">
      <w:pPr>
        <w:tabs>
          <w:tab w:val="left" w:pos="8364"/>
        </w:tabs>
        <w:spacing w:line="360" w:lineRule="auto"/>
        <w:ind w:right="-7"/>
        <w:jc w:val="both"/>
        <w:outlineLvl w:val="0"/>
        <w:rPr>
          <w:rFonts w:ascii="Arial" w:eastAsiaTheme="minorHAnsi" w:hAnsi="Arial" w:cs="Arial"/>
          <w:color w:val="000000"/>
        </w:rPr>
      </w:pPr>
      <w:r>
        <w:rPr>
          <w:rFonts w:ascii="Arial" w:eastAsiaTheme="minorHAnsi" w:hAnsi="Arial" w:cs="Arial"/>
          <w:color w:val="000000"/>
        </w:rPr>
        <w:t>Así las cosas, como el auto que ordenó la remisión del asunto a su señoría no quedó ejecutoriado, se advierte que e</w:t>
      </w:r>
      <w:r w:rsidR="00C41045">
        <w:rPr>
          <w:rFonts w:ascii="Arial" w:eastAsiaTheme="minorHAnsi" w:hAnsi="Arial" w:cs="Arial"/>
          <w:color w:val="000000"/>
        </w:rPr>
        <w:t xml:space="preserve">l Honorable Juzgado </w:t>
      </w:r>
      <w:r w:rsidR="00C41045" w:rsidRPr="00C41045">
        <w:rPr>
          <w:rFonts w:ascii="Arial" w:eastAsia="Calibri" w:hAnsi="Arial" w:cs="Arial"/>
        </w:rPr>
        <w:t xml:space="preserve">Civil </w:t>
      </w:r>
      <w:r w:rsidR="00C41045">
        <w:rPr>
          <w:rFonts w:ascii="Arial" w:eastAsia="Calibri" w:hAnsi="Arial" w:cs="Arial"/>
        </w:rPr>
        <w:t>d</w:t>
      </w:r>
      <w:r w:rsidR="00C41045" w:rsidRPr="00C41045">
        <w:rPr>
          <w:rFonts w:ascii="Arial" w:eastAsia="Calibri" w:hAnsi="Arial" w:cs="Arial"/>
        </w:rPr>
        <w:t xml:space="preserve">el Circuito </w:t>
      </w:r>
      <w:r w:rsidR="00C41045">
        <w:rPr>
          <w:rFonts w:ascii="Arial" w:eastAsia="Calibri" w:hAnsi="Arial" w:cs="Arial"/>
        </w:rPr>
        <w:t>d</w:t>
      </w:r>
      <w:r w:rsidR="00C41045" w:rsidRPr="00C41045">
        <w:rPr>
          <w:rFonts w:ascii="Arial" w:eastAsia="Calibri" w:hAnsi="Arial" w:cs="Arial"/>
        </w:rPr>
        <w:t>e Arauca</w:t>
      </w:r>
      <w:r w:rsidR="00C41045">
        <w:rPr>
          <w:rFonts w:ascii="Arial" w:eastAsia="Calibri" w:hAnsi="Arial" w:cs="Arial"/>
        </w:rPr>
        <w:t xml:space="preserve"> en sede de segunda instancia por </w:t>
      </w:r>
      <w:r w:rsidR="00F965CB">
        <w:rPr>
          <w:rFonts w:ascii="Arial" w:eastAsia="Calibri" w:hAnsi="Arial" w:cs="Arial"/>
        </w:rPr>
        <w:t>aplicación de lo dispuesto en e</w:t>
      </w:r>
      <w:r w:rsidR="00F965CB" w:rsidRPr="00F965CB">
        <w:rPr>
          <w:rFonts w:ascii="Arial" w:eastAsia="Calibri" w:hAnsi="Arial" w:cs="Arial"/>
        </w:rPr>
        <w:t>l inciso 3º del artículo 143 del C.G.</w:t>
      </w:r>
      <w:r>
        <w:rPr>
          <w:rFonts w:ascii="Arial" w:eastAsia="Calibri" w:hAnsi="Arial" w:cs="Arial"/>
        </w:rPr>
        <w:t>P. profirió el</w:t>
      </w:r>
      <w:r w:rsidR="00F965CB">
        <w:rPr>
          <w:rFonts w:ascii="Arial" w:eastAsia="Calibri" w:hAnsi="Arial" w:cs="Arial"/>
        </w:rPr>
        <w:t xml:space="preserve"> auto (i) sin la advertencia de lo aquí dicho, esto es la falta de decisión respecto de la solicitud de aclaración radica</w:t>
      </w:r>
      <w:r>
        <w:rPr>
          <w:rFonts w:ascii="Arial" w:eastAsia="Calibri" w:hAnsi="Arial" w:cs="Arial"/>
        </w:rPr>
        <w:t>d</w:t>
      </w:r>
      <w:r w:rsidR="00F965CB">
        <w:rPr>
          <w:rFonts w:ascii="Arial" w:eastAsia="Calibri" w:hAnsi="Arial" w:cs="Arial"/>
        </w:rPr>
        <w:t xml:space="preserve">a </w:t>
      </w:r>
      <w:r>
        <w:rPr>
          <w:rFonts w:ascii="Arial" w:eastAsia="Calibri" w:hAnsi="Arial" w:cs="Arial"/>
        </w:rPr>
        <w:t>frente al</w:t>
      </w:r>
      <w:r w:rsidR="00F965CB">
        <w:rPr>
          <w:rFonts w:ascii="Arial" w:eastAsia="Calibri" w:hAnsi="Arial" w:cs="Arial"/>
        </w:rPr>
        <w:t xml:space="preserve"> auto</w:t>
      </w:r>
      <w:r w:rsidR="00F965CB">
        <w:rPr>
          <w:rFonts w:ascii="Arial" w:eastAsiaTheme="minorHAnsi" w:hAnsi="Arial" w:cs="Arial"/>
          <w:color w:val="000000"/>
        </w:rPr>
        <w:t xml:space="preserve"> del </w:t>
      </w:r>
      <w:r w:rsidR="00F965CB" w:rsidRPr="00C41045">
        <w:rPr>
          <w:rFonts w:ascii="Arial" w:eastAsiaTheme="minorHAnsi" w:hAnsi="Arial" w:cs="Arial"/>
          <w:color w:val="000000"/>
        </w:rPr>
        <w:t>veintiuno (21) de octubre de dos mil veinticuatro (2.024)</w:t>
      </w:r>
      <w:r w:rsidR="00F965CB">
        <w:rPr>
          <w:rFonts w:ascii="Arial" w:eastAsiaTheme="minorHAnsi" w:hAnsi="Arial" w:cs="Arial"/>
          <w:color w:val="000000"/>
        </w:rPr>
        <w:t xml:space="preserve"> proferido por el </w:t>
      </w:r>
      <w:r w:rsidR="00F965CB" w:rsidRPr="00C41045">
        <w:rPr>
          <w:rFonts w:ascii="Arial" w:eastAsiaTheme="minorHAnsi" w:hAnsi="Arial" w:cs="Arial"/>
          <w:color w:val="000000"/>
        </w:rPr>
        <w:t xml:space="preserve">Juzgado Primero Civil Municipal </w:t>
      </w:r>
      <w:r w:rsidR="00F965CB">
        <w:rPr>
          <w:rFonts w:ascii="Arial" w:eastAsiaTheme="minorHAnsi" w:hAnsi="Arial" w:cs="Arial"/>
          <w:color w:val="000000"/>
        </w:rPr>
        <w:t>d</w:t>
      </w:r>
      <w:r w:rsidR="00F965CB" w:rsidRPr="00C41045">
        <w:rPr>
          <w:rFonts w:ascii="Arial" w:eastAsiaTheme="minorHAnsi" w:hAnsi="Arial" w:cs="Arial"/>
          <w:color w:val="000000"/>
        </w:rPr>
        <w:t>e Arauca</w:t>
      </w:r>
      <w:r w:rsidR="00F965CB">
        <w:rPr>
          <w:rFonts w:ascii="Arial" w:eastAsiaTheme="minorHAnsi" w:hAnsi="Arial" w:cs="Arial"/>
          <w:color w:val="000000"/>
        </w:rPr>
        <w:t xml:space="preserve"> y (</w:t>
      </w:r>
      <w:proofErr w:type="spellStart"/>
      <w:r w:rsidR="00F965CB">
        <w:rPr>
          <w:rFonts w:ascii="Arial" w:eastAsiaTheme="minorHAnsi" w:hAnsi="Arial" w:cs="Arial"/>
          <w:color w:val="000000"/>
        </w:rPr>
        <w:t>ii</w:t>
      </w:r>
      <w:proofErr w:type="spellEnd"/>
      <w:r w:rsidR="00F965CB">
        <w:rPr>
          <w:rFonts w:ascii="Arial" w:eastAsiaTheme="minorHAnsi" w:hAnsi="Arial" w:cs="Arial"/>
          <w:color w:val="000000"/>
        </w:rPr>
        <w:t xml:space="preserve">) </w:t>
      </w:r>
      <w:r>
        <w:rPr>
          <w:rFonts w:ascii="Arial" w:eastAsiaTheme="minorHAnsi" w:hAnsi="Arial" w:cs="Arial"/>
          <w:color w:val="000000"/>
        </w:rPr>
        <w:t xml:space="preserve">asumió competencia </w:t>
      </w:r>
      <w:r w:rsidR="00CB1348">
        <w:rPr>
          <w:rFonts w:ascii="Arial" w:eastAsiaTheme="minorHAnsi" w:hAnsi="Arial" w:cs="Arial"/>
          <w:color w:val="000000"/>
        </w:rPr>
        <w:t>y decidió aun cuando el auto no estaba en firme, por lo que dicho pronunciamiento resultaría prematuro, pues a la fecha esta representación se encuentra a la espera de lo que resuelva el señor juez civil municipal de Arauca.</w:t>
      </w:r>
    </w:p>
    <w:p w14:paraId="3E3141BB" w14:textId="77777777" w:rsidR="00F965CB" w:rsidRDefault="00F965CB" w:rsidP="00C41045">
      <w:pPr>
        <w:tabs>
          <w:tab w:val="left" w:pos="8364"/>
        </w:tabs>
        <w:spacing w:line="360" w:lineRule="auto"/>
        <w:ind w:right="-7"/>
        <w:jc w:val="both"/>
        <w:outlineLvl w:val="0"/>
        <w:rPr>
          <w:rFonts w:ascii="Arial" w:eastAsiaTheme="minorHAnsi" w:hAnsi="Arial" w:cs="Arial"/>
          <w:color w:val="000000"/>
        </w:rPr>
      </w:pPr>
    </w:p>
    <w:p w14:paraId="3C33992D" w14:textId="7210AF46" w:rsidR="00F965CB" w:rsidRDefault="00F965CB" w:rsidP="00C41045">
      <w:pPr>
        <w:tabs>
          <w:tab w:val="left" w:pos="8364"/>
        </w:tabs>
        <w:spacing w:line="360" w:lineRule="auto"/>
        <w:ind w:right="-7"/>
        <w:jc w:val="both"/>
        <w:outlineLvl w:val="0"/>
        <w:rPr>
          <w:rFonts w:ascii="Arial" w:eastAsia="Calibri" w:hAnsi="Arial" w:cs="Arial"/>
        </w:rPr>
      </w:pPr>
      <w:r>
        <w:rPr>
          <w:rFonts w:ascii="Arial" w:eastAsiaTheme="minorHAnsi" w:hAnsi="Arial" w:cs="Arial"/>
          <w:color w:val="000000"/>
        </w:rPr>
        <w:t xml:space="preserve">En argumento de lo expuesto, obsérvese conforme trazabilidad que se adjuntará al presente memorial y que aquí se </w:t>
      </w:r>
      <w:r w:rsidR="003D62CC">
        <w:rPr>
          <w:rFonts w:ascii="Arial" w:eastAsiaTheme="minorHAnsi" w:hAnsi="Arial" w:cs="Arial"/>
          <w:color w:val="000000"/>
        </w:rPr>
        <w:t>proyecta</w:t>
      </w:r>
      <w:r w:rsidR="00CB1348">
        <w:rPr>
          <w:rFonts w:ascii="Arial" w:eastAsiaTheme="minorHAnsi" w:hAnsi="Arial" w:cs="Arial"/>
          <w:color w:val="000000"/>
        </w:rPr>
        <w:t xml:space="preserve">, </w:t>
      </w:r>
      <w:r>
        <w:rPr>
          <w:rFonts w:ascii="Arial" w:eastAsiaTheme="minorHAnsi" w:hAnsi="Arial" w:cs="Arial"/>
          <w:color w:val="000000"/>
        </w:rPr>
        <w:t xml:space="preserve">que, </w:t>
      </w:r>
      <w:r w:rsidR="00CB1348">
        <w:rPr>
          <w:rFonts w:ascii="Arial" w:eastAsiaTheme="minorHAnsi" w:hAnsi="Arial" w:cs="Arial"/>
          <w:color w:val="000000"/>
        </w:rPr>
        <w:t xml:space="preserve">el auto por medio del cual el a quo resolvió la recusación y ordenó la remisión al superior, fue notificado en estado del 22 de octubre de 2024, y que </w:t>
      </w:r>
      <w:r>
        <w:rPr>
          <w:rFonts w:ascii="Arial" w:eastAsiaTheme="minorHAnsi" w:hAnsi="Arial" w:cs="Arial"/>
          <w:color w:val="000000"/>
        </w:rPr>
        <w:t xml:space="preserve">mediante </w:t>
      </w:r>
      <w:r w:rsidR="003D62CC">
        <w:rPr>
          <w:rFonts w:ascii="Arial" w:eastAsiaTheme="minorHAnsi" w:hAnsi="Arial" w:cs="Arial"/>
          <w:color w:val="000000"/>
        </w:rPr>
        <w:t>documento</w:t>
      </w:r>
      <w:r>
        <w:rPr>
          <w:rFonts w:ascii="Arial" w:eastAsiaTheme="minorHAnsi" w:hAnsi="Arial" w:cs="Arial"/>
          <w:color w:val="000000"/>
        </w:rPr>
        <w:t xml:space="preserve"> allegado el 25 de octubre de 2024, por medios electrónicos y ante el correo institucional del Juzgado de origen </w:t>
      </w:r>
      <w:hyperlink r:id="rId12" w:history="1">
        <w:r w:rsidRPr="003D79F3">
          <w:rPr>
            <w:rStyle w:val="Hipervnculo"/>
            <w:rFonts w:ascii="Arial" w:eastAsiaTheme="minorHAnsi" w:hAnsi="Arial" w:cs="Arial"/>
          </w:rPr>
          <w:t>j01cmpalarauca@cendoj.ramajudicial.gov.co</w:t>
        </w:r>
      </w:hyperlink>
      <w:r>
        <w:rPr>
          <w:rFonts w:ascii="Arial" w:eastAsiaTheme="minorHAnsi" w:hAnsi="Arial" w:cs="Arial"/>
          <w:color w:val="000000"/>
        </w:rPr>
        <w:t xml:space="preserve">. </w:t>
      </w:r>
      <w:r w:rsidR="00CB1348">
        <w:rPr>
          <w:rFonts w:ascii="Arial" w:eastAsiaTheme="minorHAnsi" w:hAnsi="Arial" w:cs="Arial"/>
          <w:color w:val="000000"/>
        </w:rPr>
        <w:t>esta representación</w:t>
      </w:r>
      <w:r>
        <w:rPr>
          <w:rFonts w:ascii="Arial" w:eastAsiaTheme="minorHAnsi" w:hAnsi="Arial" w:cs="Arial"/>
          <w:color w:val="000000"/>
        </w:rPr>
        <w:t xml:space="preserve"> dentro de la ejecutoria del auto del </w:t>
      </w:r>
      <w:r w:rsidRPr="00C41045">
        <w:rPr>
          <w:rFonts w:ascii="Arial" w:eastAsiaTheme="minorHAnsi" w:hAnsi="Arial" w:cs="Arial"/>
          <w:color w:val="000000"/>
        </w:rPr>
        <w:t>veintiuno (21) de octubre de dos mil veinticuatro (2.024)</w:t>
      </w:r>
      <w:r>
        <w:rPr>
          <w:rFonts w:ascii="Arial" w:eastAsiaTheme="minorHAnsi" w:hAnsi="Arial" w:cs="Arial"/>
          <w:color w:val="000000"/>
        </w:rPr>
        <w:t xml:space="preserve"> proferido por el </w:t>
      </w:r>
      <w:r w:rsidRPr="00C41045">
        <w:rPr>
          <w:rFonts w:ascii="Arial" w:eastAsiaTheme="minorHAnsi" w:hAnsi="Arial" w:cs="Arial"/>
          <w:color w:val="000000"/>
        </w:rPr>
        <w:t xml:space="preserve">Juzgado Primero Civil Municipal </w:t>
      </w:r>
      <w:r>
        <w:rPr>
          <w:rFonts w:ascii="Arial" w:eastAsiaTheme="minorHAnsi" w:hAnsi="Arial" w:cs="Arial"/>
          <w:color w:val="000000"/>
        </w:rPr>
        <w:t>d</w:t>
      </w:r>
      <w:r w:rsidRPr="00C41045">
        <w:rPr>
          <w:rFonts w:ascii="Arial" w:eastAsiaTheme="minorHAnsi" w:hAnsi="Arial" w:cs="Arial"/>
          <w:color w:val="000000"/>
        </w:rPr>
        <w:t>e Arauca</w:t>
      </w:r>
      <w:r w:rsidR="00CB1348">
        <w:rPr>
          <w:rFonts w:ascii="Arial" w:eastAsiaTheme="minorHAnsi" w:hAnsi="Arial" w:cs="Arial"/>
          <w:color w:val="000000"/>
        </w:rPr>
        <w:t>,</w:t>
      </w:r>
      <w:r>
        <w:rPr>
          <w:rFonts w:ascii="Arial" w:eastAsiaTheme="minorHAnsi" w:hAnsi="Arial" w:cs="Arial"/>
          <w:color w:val="000000"/>
        </w:rPr>
        <w:t xml:space="preserve"> </w:t>
      </w:r>
      <w:r w:rsidR="00CB1348">
        <w:rPr>
          <w:rFonts w:ascii="Arial" w:eastAsiaTheme="minorHAnsi" w:hAnsi="Arial" w:cs="Arial"/>
          <w:color w:val="000000"/>
        </w:rPr>
        <w:t xml:space="preserve">presentó una </w:t>
      </w:r>
      <w:r>
        <w:rPr>
          <w:rFonts w:ascii="Arial" w:eastAsiaTheme="minorHAnsi" w:hAnsi="Arial" w:cs="Arial"/>
          <w:color w:val="000000"/>
        </w:rPr>
        <w:t xml:space="preserve">“SOLICITUD DE ACLARACIÓN” del referido auto, conforme lo prevé el artículo </w:t>
      </w:r>
      <w:r w:rsidRPr="005B3185">
        <w:rPr>
          <w:rFonts w:ascii="Arial" w:eastAsia="Calibri" w:hAnsi="Arial" w:cs="Arial"/>
        </w:rPr>
        <w:t>285 del Código General del Proceso</w:t>
      </w:r>
      <w:r w:rsidR="00CB1348">
        <w:rPr>
          <w:rFonts w:ascii="Arial" w:eastAsia="Calibri" w:hAnsi="Arial" w:cs="Arial"/>
        </w:rPr>
        <w:t>, veamos:</w:t>
      </w:r>
    </w:p>
    <w:p w14:paraId="216B97F2" w14:textId="4DDAA6F7" w:rsidR="00CB1348" w:rsidRDefault="00A106D8" w:rsidP="009A1E5D">
      <w:pPr>
        <w:tabs>
          <w:tab w:val="left" w:pos="8364"/>
        </w:tabs>
        <w:spacing w:line="360" w:lineRule="auto"/>
        <w:ind w:left="2127" w:right="-7"/>
        <w:jc w:val="both"/>
        <w:outlineLvl w:val="0"/>
        <w:rPr>
          <w:rFonts w:ascii="Arial" w:eastAsia="Calibri" w:hAnsi="Arial" w:cs="Arial"/>
        </w:rPr>
      </w:pPr>
      <w:r w:rsidRPr="00A106D8">
        <w:rPr>
          <w:rFonts w:ascii="Arial" w:eastAsia="Calibri" w:hAnsi="Arial" w:cs="Arial"/>
          <w:noProof/>
        </w:rPr>
        <w:lastRenderedPageBreak/>
        <w:drawing>
          <wp:inline distT="0" distB="0" distL="0" distR="0" wp14:anchorId="58442188" wp14:editId="70D7CFA8">
            <wp:extent cx="2997412" cy="2279812"/>
            <wp:effectExtent l="152400" t="152400" r="355600" b="361950"/>
            <wp:docPr id="1533091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1038" name=""/>
                    <pic:cNvPicPr/>
                  </pic:nvPicPr>
                  <pic:blipFill>
                    <a:blip r:embed="rId13"/>
                    <a:stretch>
                      <a:fillRect/>
                    </a:stretch>
                  </pic:blipFill>
                  <pic:spPr>
                    <a:xfrm>
                      <a:off x="0" y="0"/>
                      <a:ext cx="3029038" cy="2303867"/>
                    </a:xfrm>
                    <a:prstGeom prst="rect">
                      <a:avLst/>
                    </a:prstGeom>
                    <a:ln>
                      <a:noFill/>
                    </a:ln>
                    <a:effectLst>
                      <a:outerShdw blurRad="292100" dist="139700" dir="2700000" algn="tl" rotWithShape="0">
                        <a:srgbClr val="333333">
                          <a:alpha val="65000"/>
                        </a:srgbClr>
                      </a:outerShdw>
                    </a:effectLst>
                  </pic:spPr>
                </pic:pic>
              </a:graphicData>
            </a:graphic>
          </wp:inline>
        </w:drawing>
      </w:r>
    </w:p>
    <w:p w14:paraId="3020C298" w14:textId="73BA05F6" w:rsidR="00CB1348" w:rsidRDefault="00CB1348" w:rsidP="009A1E5D">
      <w:pPr>
        <w:tabs>
          <w:tab w:val="left" w:pos="8364"/>
        </w:tabs>
        <w:spacing w:line="360" w:lineRule="auto"/>
        <w:ind w:left="2127" w:right="-7"/>
        <w:jc w:val="both"/>
        <w:outlineLvl w:val="0"/>
        <w:rPr>
          <w:rFonts w:ascii="Arial" w:eastAsiaTheme="minorHAnsi" w:hAnsi="Arial" w:cs="Arial"/>
          <w:color w:val="000000"/>
        </w:rPr>
      </w:pPr>
      <w:r w:rsidRPr="00CB1348">
        <w:rPr>
          <w:rFonts w:ascii="Arial" w:eastAsiaTheme="minorHAnsi" w:hAnsi="Arial" w:cs="Arial"/>
          <w:noProof/>
          <w:color w:val="000000"/>
        </w:rPr>
        <w:drawing>
          <wp:inline distT="0" distB="0" distL="0" distR="0" wp14:anchorId="42839C36" wp14:editId="7B84346A">
            <wp:extent cx="2768600" cy="2644826"/>
            <wp:effectExtent l="152400" t="152400" r="355600" b="352425"/>
            <wp:docPr id="1207343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43255" name=""/>
                    <pic:cNvPicPr/>
                  </pic:nvPicPr>
                  <pic:blipFill>
                    <a:blip r:embed="rId14"/>
                    <a:stretch>
                      <a:fillRect/>
                    </a:stretch>
                  </pic:blipFill>
                  <pic:spPr>
                    <a:xfrm>
                      <a:off x="0" y="0"/>
                      <a:ext cx="2794013" cy="2669102"/>
                    </a:xfrm>
                    <a:prstGeom prst="rect">
                      <a:avLst/>
                    </a:prstGeom>
                    <a:ln>
                      <a:noFill/>
                    </a:ln>
                    <a:effectLst>
                      <a:outerShdw blurRad="292100" dist="139700" dir="2700000" algn="tl" rotWithShape="0">
                        <a:srgbClr val="333333">
                          <a:alpha val="65000"/>
                        </a:srgbClr>
                      </a:outerShdw>
                    </a:effectLst>
                  </pic:spPr>
                </pic:pic>
              </a:graphicData>
            </a:graphic>
          </wp:inline>
        </w:drawing>
      </w:r>
    </w:p>
    <w:p w14:paraId="4CB42F90" w14:textId="173BBE48" w:rsidR="00F965CB" w:rsidRPr="009A1E5D" w:rsidRDefault="00A106D8" w:rsidP="009A1E5D">
      <w:pPr>
        <w:tabs>
          <w:tab w:val="left" w:pos="8364"/>
        </w:tabs>
        <w:spacing w:line="360" w:lineRule="auto"/>
        <w:ind w:left="709" w:right="-7"/>
        <w:jc w:val="both"/>
        <w:outlineLvl w:val="0"/>
        <w:rPr>
          <w:rFonts w:ascii="Arial" w:eastAsiaTheme="minorHAnsi" w:hAnsi="Arial" w:cs="Arial"/>
          <w:i/>
          <w:iCs/>
          <w:color w:val="000000"/>
        </w:rPr>
      </w:pPr>
      <w:r>
        <w:rPr>
          <w:rFonts w:ascii="Arial" w:eastAsiaTheme="minorHAnsi" w:hAnsi="Arial" w:cs="Arial"/>
          <w:i/>
          <w:iCs/>
          <w:color w:val="000000"/>
        </w:rPr>
        <w:t xml:space="preserve">Documento: </w:t>
      </w:r>
      <w:r w:rsidRPr="009A1E5D">
        <w:rPr>
          <w:rFonts w:ascii="Arial" w:eastAsiaTheme="minorHAnsi" w:hAnsi="Arial" w:cs="Arial"/>
          <w:i/>
          <w:iCs/>
          <w:color w:val="000000"/>
        </w:rPr>
        <w:t>Auto del 21 de octubre de 2024 y notificado en estado del 22 de octubre siguiente, por parte del juzgado primero civil municipal de Arauca.</w:t>
      </w:r>
    </w:p>
    <w:p w14:paraId="64C3DEF3" w14:textId="32EE5594" w:rsidR="00F965CB" w:rsidRDefault="00F965CB" w:rsidP="00F965CB">
      <w:pPr>
        <w:tabs>
          <w:tab w:val="left" w:pos="8364"/>
        </w:tabs>
        <w:spacing w:line="360" w:lineRule="auto"/>
        <w:ind w:right="-7"/>
        <w:jc w:val="center"/>
        <w:outlineLvl w:val="0"/>
        <w:rPr>
          <w:rFonts w:ascii="Arial" w:eastAsia="Calibri" w:hAnsi="Arial" w:cs="Arial"/>
        </w:rPr>
      </w:pPr>
      <w:r w:rsidRPr="00F965CB">
        <w:rPr>
          <w:rFonts w:ascii="Arial" w:eastAsia="Calibri" w:hAnsi="Arial" w:cs="Arial"/>
          <w:noProof/>
        </w:rPr>
        <w:lastRenderedPageBreak/>
        <w:drawing>
          <wp:inline distT="0" distB="0" distL="0" distR="0" wp14:anchorId="7C55E1B5" wp14:editId="7D87CECF">
            <wp:extent cx="5631180" cy="2438400"/>
            <wp:effectExtent l="114300" t="95250" r="121920" b="95250"/>
            <wp:docPr id="357891068"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91068" name="Imagen 1" descr="Interfaz de usuario gráfica, Texto, Aplicación, Correo electrónico&#10;&#10;El contenido generado por IA puede ser incorrecto."/>
                    <pic:cNvPicPr/>
                  </pic:nvPicPr>
                  <pic:blipFill>
                    <a:blip r:embed="rId15"/>
                    <a:stretch>
                      <a:fillRect/>
                    </a:stretch>
                  </pic:blipFill>
                  <pic:spPr>
                    <a:xfrm>
                      <a:off x="0" y="0"/>
                      <a:ext cx="5643081" cy="2443553"/>
                    </a:xfrm>
                    <a:prstGeom prst="rect">
                      <a:avLst/>
                    </a:prstGeom>
                    <a:effectLst>
                      <a:outerShdw blurRad="63500" sx="102000" sy="102000" algn="ctr" rotWithShape="0">
                        <a:prstClr val="black">
                          <a:alpha val="40000"/>
                        </a:prstClr>
                      </a:outerShdw>
                    </a:effectLst>
                  </pic:spPr>
                </pic:pic>
              </a:graphicData>
            </a:graphic>
          </wp:inline>
        </w:drawing>
      </w:r>
    </w:p>
    <w:p w14:paraId="6F2D3DD7" w14:textId="2C867411" w:rsidR="00F965CB" w:rsidRDefault="00A106D8" w:rsidP="009A1E5D">
      <w:pPr>
        <w:tabs>
          <w:tab w:val="left" w:pos="8364"/>
        </w:tabs>
        <w:spacing w:line="360" w:lineRule="auto"/>
        <w:ind w:left="709" w:right="-7"/>
        <w:jc w:val="both"/>
        <w:outlineLvl w:val="0"/>
        <w:rPr>
          <w:rFonts w:ascii="Arial" w:eastAsia="Calibri" w:hAnsi="Arial" w:cs="Arial"/>
        </w:rPr>
      </w:pPr>
      <w:r>
        <w:rPr>
          <w:rFonts w:ascii="Arial" w:eastAsia="Calibri" w:hAnsi="Arial" w:cs="Arial"/>
        </w:rPr>
        <w:t xml:space="preserve">Documento: Comprobante de radicación de la solicitud de aclaración al auto del </w:t>
      </w:r>
      <w:r w:rsidRPr="001C55C3">
        <w:rPr>
          <w:rFonts w:ascii="Arial" w:eastAsiaTheme="minorHAnsi" w:hAnsi="Arial" w:cs="Arial"/>
          <w:i/>
          <w:iCs/>
          <w:color w:val="000000"/>
        </w:rPr>
        <w:t>del 21 de octubre de 2024 y notificado en estado del 22 de octubre siguiente, por parte del juzgado primero civil municipal de Arauca</w:t>
      </w:r>
      <w:r>
        <w:rPr>
          <w:rFonts w:ascii="Arial" w:eastAsiaTheme="minorHAnsi" w:hAnsi="Arial" w:cs="Arial"/>
          <w:i/>
          <w:iCs/>
          <w:color w:val="000000"/>
        </w:rPr>
        <w:t>.</w:t>
      </w:r>
    </w:p>
    <w:p w14:paraId="0E8A322F" w14:textId="77777777" w:rsidR="00A106D8" w:rsidRDefault="00A106D8" w:rsidP="0004245C">
      <w:pPr>
        <w:tabs>
          <w:tab w:val="left" w:pos="8364"/>
        </w:tabs>
        <w:spacing w:line="360" w:lineRule="auto"/>
        <w:ind w:right="-7"/>
        <w:jc w:val="both"/>
        <w:outlineLvl w:val="0"/>
        <w:rPr>
          <w:rFonts w:ascii="Arial" w:eastAsia="Calibri" w:hAnsi="Arial" w:cs="Arial"/>
          <w:lang w:val="es-CO"/>
        </w:rPr>
      </w:pPr>
    </w:p>
    <w:p w14:paraId="49FF4DCC" w14:textId="250D6937" w:rsidR="00CB1348" w:rsidRDefault="0004245C" w:rsidP="0004245C">
      <w:pPr>
        <w:tabs>
          <w:tab w:val="left" w:pos="8364"/>
        </w:tabs>
        <w:spacing w:line="360" w:lineRule="auto"/>
        <w:ind w:right="-7"/>
        <w:jc w:val="both"/>
        <w:outlineLvl w:val="0"/>
        <w:rPr>
          <w:rFonts w:ascii="Arial" w:eastAsia="Calibri" w:hAnsi="Arial" w:cs="Arial"/>
          <w:lang w:val="es-CO"/>
        </w:rPr>
      </w:pPr>
      <w:r w:rsidRPr="0004245C">
        <w:rPr>
          <w:rFonts w:ascii="Arial" w:eastAsia="Calibri" w:hAnsi="Arial" w:cs="Arial"/>
          <w:lang w:val="es-CO"/>
        </w:rPr>
        <w:t xml:space="preserve">En este sentido, la remisión del expediente al superior jerárquico solo procede una vez la decisión que resuelve la recusación haya </w:t>
      </w:r>
      <w:r w:rsidRPr="0004245C">
        <w:rPr>
          <w:rFonts w:ascii="Arial" w:eastAsia="Calibri" w:hAnsi="Arial" w:cs="Arial"/>
          <w:b/>
          <w:bCs/>
          <w:lang w:val="es-CO"/>
        </w:rPr>
        <w:t>quedado ejecutoriada</w:t>
      </w:r>
      <w:r w:rsidRPr="0004245C">
        <w:rPr>
          <w:rFonts w:ascii="Arial" w:eastAsia="Calibri" w:hAnsi="Arial" w:cs="Arial"/>
          <w:lang w:val="es-CO"/>
        </w:rPr>
        <w:t>. No obstante, en este caso, al momento de la remisión, el auto del veintiuno (21) de octubre de 2024, emitido por el Juzgado Primero Civil Municipal de Arauca y mediante el cual se negó la recusación, no se encontraba en firme,</w:t>
      </w:r>
      <w:r w:rsidR="00CB1348">
        <w:rPr>
          <w:rFonts w:ascii="Arial" w:eastAsia="Calibri" w:hAnsi="Arial" w:cs="Arial"/>
          <w:lang w:val="es-CO"/>
        </w:rPr>
        <w:t xml:space="preserve"> y ni siquiera en este momento ha cobrado ejecutoria, en tanto el a quo no ha resuelto la precitada solicitud de aclaración.</w:t>
      </w:r>
      <w:r w:rsidRPr="0004245C">
        <w:rPr>
          <w:rFonts w:ascii="Arial" w:eastAsia="Calibri" w:hAnsi="Arial" w:cs="Arial"/>
          <w:lang w:val="es-CO"/>
        </w:rPr>
        <w:t xml:space="preserve"> </w:t>
      </w:r>
    </w:p>
    <w:p w14:paraId="1C93DCDD" w14:textId="77777777" w:rsidR="00CB1348" w:rsidRDefault="00CB1348" w:rsidP="0004245C">
      <w:pPr>
        <w:tabs>
          <w:tab w:val="left" w:pos="8364"/>
        </w:tabs>
        <w:spacing w:line="360" w:lineRule="auto"/>
        <w:ind w:right="-7"/>
        <w:jc w:val="both"/>
        <w:outlineLvl w:val="0"/>
        <w:rPr>
          <w:rFonts w:ascii="Arial" w:eastAsia="Calibri" w:hAnsi="Arial" w:cs="Arial"/>
          <w:lang w:val="es-CO"/>
        </w:rPr>
      </w:pPr>
    </w:p>
    <w:p w14:paraId="4EDBDB61" w14:textId="3022B1BF" w:rsidR="0004245C" w:rsidRDefault="0004245C" w:rsidP="0004245C">
      <w:pPr>
        <w:tabs>
          <w:tab w:val="left" w:pos="8364"/>
        </w:tabs>
        <w:spacing w:line="360" w:lineRule="auto"/>
        <w:ind w:right="-7"/>
        <w:jc w:val="both"/>
        <w:outlineLvl w:val="0"/>
        <w:rPr>
          <w:rFonts w:ascii="Arial" w:eastAsia="Calibri" w:hAnsi="Arial" w:cs="Arial"/>
          <w:lang w:val="es-CO"/>
        </w:rPr>
      </w:pPr>
      <w:r w:rsidRPr="0004245C">
        <w:rPr>
          <w:rFonts w:ascii="Arial" w:eastAsia="Calibri" w:hAnsi="Arial" w:cs="Arial"/>
          <w:lang w:val="es-CO"/>
        </w:rPr>
        <w:t xml:space="preserve">En consecuencia, el superior jerárquico no podía adoptar decisión alguna sobre la recusación mientras el auto que resolvió en primera instancia no estuviera ejecutoriado. Al no haberse resuelto la solicitud de aclaración dentro del trámite </w:t>
      </w:r>
      <w:r>
        <w:rPr>
          <w:rFonts w:ascii="Arial" w:eastAsia="Calibri" w:hAnsi="Arial" w:cs="Arial"/>
          <w:lang w:val="es-CO"/>
        </w:rPr>
        <w:t>de primera instancia respecto</w:t>
      </w:r>
      <w:r w:rsidRPr="0004245C">
        <w:rPr>
          <w:rFonts w:ascii="Arial" w:eastAsia="Calibri" w:hAnsi="Arial" w:cs="Arial"/>
          <w:lang w:val="es-CO"/>
        </w:rPr>
        <w:t xml:space="preserve"> del auto del 21 de octubre de 2024, su firmeza est</w:t>
      </w:r>
      <w:r w:rsidR="00CB1348">
        <w:rPr>
          <w:rFonts w:ascii="Arial" w:eastAsia="Calibri" w:hAnsi="Arial" w:cs="Arial"/>
          <w:lang w:val="es-CO"/>
        </w:rPr>
        <w:t>á</w:t>
      </w:r>
      <w:r w:rsidRPr="0004245C">
        <w:rPr>
          <w:rFonts w:ascii="Arial" w:eastAsia="Calibri" w:hAnsi="Arial" w:cs="Arial"/>
          <w:lang w:val="es-CO"/>
        </w:rPr>
        <w:t xml:space="preserve"> en suspenso, lo que impedía la remisión del expediente y, por ende, la adopción de cualquier decisión en sede de segunda instancia.</w:t>
      </w:r>
    </w:p>
    <w:p w14:paraId="455D170B" w14:textId="77777777" w:rsidR="00CB1348" w:rsidRPr="0004245C" w:rsidRDefault="00CB1348" w:rsidP="0004245C">
      <w:pPr>
        <w:tabs>
          <w:tab w:val="left" w:pos="8364"/>
        </w:tabs>
        <w:spacing w:line="360" w:lineRule="auto"/>
        <w:ind w:right="-7"/>
        <w:jc w:val="both"/>
        <w:outlineLvl w:val="0"/>
        <w:rPr>
          <w:rFonts w:ascii="Arial" w:eastAsia="Calibri" w:hAnsi="Arial" w:cs="Arial"/>
          <w:lang w:val="es-CO"/>
        </w:rPr>
      </w:pPr>
    </w:p>
    <w:p w14:paraId="626FBBF2" w14:textId="13CDA15F" w:rsidR="00F965CB" w:rsidRPr="0004245C" w:rsidRDefault="0004245C" w:rsidP="0004245C">
      <w:pPr>
        <w:tabs>
          <w:tab w:val="left" w:pos="8364"/>
        </w:tabs>
        <w:spacing w:line="360" w:lineRule="auto"/>
        <w:ind w:right="-7"/>
        <w:jc w:val="both"/>
        <w:outlineLvl w:val="0"/>
        <w:rPr>
          <w:rFonts w:ascii="Arial" w:eastAsia="Calibri" w:hAnsi="Arial" w:cs="Arial"/>
        </w:rPr>
      </w:pPr>
      <w:r w:rsidRPr="0004245C">
        <w:rPr>
          <w:rFonts w:ascii="Arial" w:eastAsia="Calibri" w:hAnsi="Arial" w:cs="Arial"/>
        </w:rPr>
        <w:t>En conclusión, la decisión adoptada por el Juzgado Civil del Circuito de Arauca el 21 de febrero de 2025 resulta improcedente</w:t>
      </w:r>
      <w:r w:rsidR="00CB1348">
        <w:rPr>
          <w:rFonts w:ascii="Arial" w:eastAsia="Calibri" w:hAnsi="Arial" w:cs="Arial"/>
        </w:rPr>
        <w:t xml:space="preserve"> y prematura</w:t>
      </w:r>
      <w:r w:rsidRPr="0004245C">
        <w:rPr>
          <w:rFonts w:ascii="Arial" w:eastAsia="Calibri" w:hAnsi="Arial" w:cs="Arial"/>
        </w:rPr>
        <w:t xml:space="preserve">, toda vez </w:t>
      </w:r>
      <w:r>
        <w:rPr>
          <w:rFonts w:ascii="Arial" w:eastAsia="Calibri" w:hAnsi="Arial" w:cs="Arial"/>
        </w:rPr>
        <w:t>entró a</w:t>
      </w:r>
      <w:r w:rsidRPr="0004245C">
        <w:rPr>
          <w:rFonts w:ascii="Arial" w:eastAsia="Calibri" w:hAnsi="Arial" w:cs="Arial"/>
        </w:rPr>
        <w:t xml:space="preserve"> resolver la recusación sin que el </w:t>
      </w:r>
      <w:r w:rsidRPr="0004245C">
        <w:rPr>
          <w:rFonts w:ascii="Arial" w:eastAsia="Calibri" w:hAnsi="Arial" w:cs="Arial"/>
        </w:rPr>
        <w:lastRenderedPageBreak/>
        <w:t xml:space="preserve">auto del 21 de octubre de 2024 estuviera </w:t>
      </w:r>
      <w:r w:rsidRPr="0004245C">
        <w:rPr>
          <w:rFonts w:ascii="Arial" w:eastAsia="Calibri" w:hAnsi="Arial" w:cs="Arial"/>
          <w:b/>
          <w:bCs/>
        </w:rPr>
        <w:t>ejecutoriado</w:t>
      </w:r>
      <w:r w:rsidRPr="0004245C">
        <w:rPr>
          <w:rFonts w:ascii="Arial" w:eastAsia="Calibri" w:hAnsi="Arial" w:cs="Arial"/>
        </w:rPr>
        <w:t xml:space="preserve">, debido a la solicitud de aclaración oportunamente presentada. En tal sentido, era improcedente tanto la remisión del expediente al superior jerárquico como la adopción de una decisión en segunda instancia, pues la falta de firmeza del auto en primera instancia suspendía la posibilidad de </w:t>
      </w:r>
      <w:r>
        <w:rPr>
          <w:rFonts w:ascii="Arial" w:eastAsia="Calibri" w:hAnsi="Arial" w:cs="Arial"/>
        </w:rPr>
        <w:t xml:space="preserve">lo que respecta a la </w:t>
      </w:r>
      <w:r w:rsidR="00CB1348">
        <w:rPr>
          <w:rFonts w:ascii="Arial" w:eastAsia="Calibri" w:hAnsi="Arial" w:cs="Arial"/>
        </w:rPr>
        <w:t xml:space="preserve">resolución de la </w:t>
      </w:r>
      <w:r>
        <w:rPr>
          <w:rFonts w:ascii="Arial" w:eastAsia="Calibri" w:hAnsi="Arial" w:cs="Arial"/>
        </w:rPr>
        <w:t>recusación</w:t>
      </w:r>
      <w:r w:rsidR="00CB1348">
        <w:rPr>
          <w:rFonts w:ascii="Arial" w:eastAsia="Calibri" w:hAnsi="Arial" w:cs="Arial"/>
        </w:rPr>
        <w:t xml:space="preserve"> por parte del superior jerárquico</w:t>
      </w:r>
      <w:r w:rsidRPr="0004245C">
        <w:rPr>
          <w:rFonts w:ascii="Arial" w:eastAsia="Calibri" w:hAnsi="Arial" w:cs="Arial"/>
        </w:rPr>
        <w:t xml:space="preserve">. Por ello, se solicita la correspondiente aclaración de la providencia del 21 de febrero de 2025, en aras de garantizar el respeto al debido proceso y evitar una decisión prematura </w:t>
      </w:r>
      <w:r w:rsidR="00CB1348">
        <w:rPr>
          <w:rFonts w:ascii="Arial" w:eastAsia="Calibri" w:hAnsi="Arial" w:cs="Arial"/>
        </w:rPr>
        <w:t xml:space="preserve">en el caso de marras. </w:t>
      </w:r>
    </w:p>
    <w:p w14:paraId="2837044E" w14:textId="77777777" w:rsidR="00A60DB9" w:rsidRPr="005B3185" w:rsidRDefault="00A60DB9" w:rsidP="005B3185">
      <w:pPr>
        <w:spacing w:line="360" w:lineRule="auto"/>
        <w:jc w:val="both"/>
        <w:outlineLvl w:val="0"/>
        <w:rPr>
          <w:rFonts w:ascii="Arial" w:eastAsia="Calibri" w:hAnsi="Arial" w:cs="Arial"/>
          <w:b/>
          <w:bCs/>
        </w:rPr>
      </w:pPr>
    </w:p>
    <w:p w14:paraId="61ACF748" w14:textId="48994741" w:rsidR="00A60DB9" w:rsidRPr="00365C96" w:rsidRDefault="00A60DB9" w:rsidP="00365C96">
      <w:pPr>
        <w:pStyle w:val="Prrafodelista"/>
        <w:numPr>
          <w:ilvl w:val="0"/>
          <w:numId w:val="25"/>
        </w:numPr>
        <w:spacing w:line="360" w:lineRule="auto"/>
        <w:jc w:val="center"/>
        <w:outlineLvl w:val="0"/>
        <w:rPr>
          <w:rFonts w:ascii="Arial" w:eastAsia="Calibri" w:hAnsi="Arial" w:cs="Arial"/>
          <w:b/>
          <w:bCs/>
        </w:rPr>
      </w:pPr>
      <w:r w:rsidRPr="00365C96">
        <w:rPr>
          <w:rFonts w:ascii="Arial" w:eastAsia="Calibri" w:hAnsi="Arial" w:cs="Arial"/>
          <w:b/>
          <w:bCs/>
          <w:sz w:val="22"/>
          <w:szCs w:val="22"/>
        </w:rPr>
        <w:t>PETICIÓN</w:t>
      </w:r>
    </w:p>
    <w:p w14:paraId="439761EB" w14:textId="77777777" w:rsidR="00A60DB9" w:rsidRPr="005B3185" w:rsidRDefault="00A60DB9" w:rsidP="005B3185">
      <w:pPr>
        <w:widowControl/>
        <w:adjustRightInd w:val="0"/>
        <w:spacing w:line="360" w:lineRule="auto"/>
        <w:jc w:val="both"/>
        <w:rPr>
          <w:rFonts w:ascii="Arial" w:eastAsiaTheme="minorHAnsi" w:hAnsi="Arial" w:cs="Arial"/>
          <w:color w:val="000000"/>
          <w:lang w:val="es-MX"/>
        </w:rPr>
      </w:pPr>
    </w:p>
    <w:p w14:paraId="4FA661DB" w14:textId="70F39E7D" w:rsidR="00000B3C" w:rsidRDefault="00A60DB9" w:rsidP="005B3185">
      <w:pPr>
        <w:widowControl/>
        <w:adjustRightInd w:val="0"/>
        <w:spacing w:line="360" w:lineRule="auto"/>
        <w:jc w:val="both"/>
        <w:rPr>
          <w:rFonts w:ascii="Arial" w:eastAsiaTheme="minorHAnsi" w:hAnsi="Arial" w:cs="Arial"/>
          <w:color w:val="000000"/>
        </w:rPr>
      </w:pPr>
      <w:r w:rsidRPr="005B3185">
        <w:rPr>
          <w:rFonts w:ascii="Arial" w:eastAsiaTheme="minorHAnsi" w:hAnsi="Arial" w:cs="Arial"/>
          <w:color w:val="000000"/>
          <w:lang w:val="es-MX"/>
        </w:rPr>
        <w:t xml:space="preserve">En virtud de lo expuesto, respetuosamente solicito se sirva el Despacho </w:t>
      </w:r>
      <w:r w:rsidR="0004245C" w:rsidRPr="0004245C">
        <w:rPr>
          <w:rFonts w:ascii="Arial" w:eastAsiaTheme="minorHAnsi" w:hAnsi="Arial" w:cs="Arial"/>
          <w:b/>
          <w:bCs/>
          <w:color w:val="000000"/>
        </w:rPr>
        <w:t xml:space="preserve">ACLARACIÓN </w:t>
      </w:r>
      <w:r w:rsidR="0004245C" w:rsidRPr="0004245C">
        <w:rPr>
          <w:rFonts w:ascii="Arial" w:eastAsiaTheme="minorHAnsi" w:hAnsi="Arial" w:cs="Arial"/>
          <w:color w:val="000000"/>
        </w:rPr>
        <w:t xml:space="preserve">de la providencia del veintiuno (21) de febrero de 2025, a fin de que se precise </w:t>
      </w:r>
      <w:r w:rsidR="00CB1348">
        <w:rPr>
          <w:rFonts w:ascii="Arial" w:eastAsiaTheme="minorHAnsi" w:hAnsi="Arial" w:cs="Arial"/>
          <w:color w:val="000000"/>
        </w:rPr>
        <w:t xml:space="preserve">los motivos para adoptar dicha decisión aun cuando el auto proferido por el a quo el </w:t>
      </w:r>
      <w:r w:rsidR="00CB1348" w:rsidRPr="0004245C">
        <w:rPr>
          <w:rFonts w:ascii="Arial" w:eastAsia="Calibri" w:hAnsi="Arial" w:cs="Arial"/>
          <w:lang w:val="es-CO"/>
        </w:rPr>
        <w:t>21 de octubre de 2024</w:t>
      </w:r>
      <w:r w:rsidR="00CB1348">
        <w:rPr>
          <w:rFonts w:ascii="Arial" w:eastAsia="Calibri" w:hAnsi="Arial" w:cs="Arial"/>
          <w:lang w:val="es-CO"/>
        </w:rPr>
        <w:t xml:space="preserve"> por medio del cual se ordenó </w:t>
      </w:r>
      <w:r w:rsidR="00CB1348">
        <w:rPr>
          <w:rFonts w:ascii="Arial" w:eastAsiaTheme="minorHAnsi" w:hAnsi="Arial" w:cs="Arial"/>
          <w:color w:val="000000"/>
        </w:rPr>
        <w:t>la remisión del expediente al superior, aún no se ha resuelto, es decir no ha cobrado firmeza la providencia mencionada.</w:t>
      </w:r>
    </w:p>
    <w:p w14:paraId="0FC43F59" w14:textId="77777777" w:rsidR="0004245C" w:rsidRDefault="0004245C" w:rsidP="005B3185">
      <w:pPr>
        <w:widowControl/>
        <w:adjustRightInd w:val="0"/>
        <w:spacing w:line="360" w:lineRule="auto"/>
        <w:jc w:val="both"/>
        <w:rPr>
          <w:rFonts w:ascii="Arial" w:eastAsiaTheme="minorHAnsi" w:hAnsi="Arial" w:cs="Arial"/>
          <w:color w:val="000000"/>
        </w:rPr>
      </w:pPr>
    </w:p>
    <w:p w14:paraId="17727D26" w14:textId="588B01C5" w:rsidR="0004245C" w:rsidRDefault="0004245C" w:rsidP="0004245C">
      <w:pPr>
        <w:pStyle w:val="Prrafodelista"/>
        <w:numPr>
          <w:ilvl w:val="0"/>
          <w:numId w:val="25"/>
        </w:numPr>
        <w:adjustRightInd w:val="0"/>
        <w:spacing w:line="360" w:lineRule="auto"/>
        <w:jc w:val="center"/>
        <w:rPr>
          <w:rFonts w:ascii="Arial" w:eastAsiaTheme="minorHAnsi" w:hAnsi="Arial" w:cs="Arial"/>
          <w:b/>
          <w:bCs/>
          <w:color w:val="000000"/>
        </w:rPr>
      </w:pPr>
      <w:r>
        <w:rPr>
          <w:rFonts w:ascii="Arial" w:eastAsiaTheme="minorHAnsi" w:hAnsi="Arial" w:cs="Arial"/>
          <w:b/>
          <w:bCs/>
          <w:color w:val="000000"/>
        </w:rPr>
        <w:t xml:space="preserve"> </w:t>
      </w:r>
      <w:r w:rsidRPr="0004245C">
        <w:rPr>
          <w:rFonts w:ascii="Arial" w:eastAsiaTheme="minorHAnsi" w:hAnsi="Arial" w:cs="Arial"/>
          <w:b/>
          <w:bCs/>
          <w:color w:val="000000"/>
        </w:rPr>
        <w:t>ANEXOS</w:t>
      </w:r>
    </w:p>
    <w:p w14:paraId="5D34385E" w14:textId="77777777" w:rsidR="0004245C" w:rsidRPr="0004245C" w:rsidRDefault="0004245C" w:rsidP="0004245C">
      <w:pPr>
        <w:adjustRightInd w:val="0"/>
        <w:spacing w:line="360" w:lineRule="auto"/>
        <w:rPr>
          <w:rFonts w:ascii="Arial" w:eastAsiaTheme="minorHAnsi" w:hAnsi="Arial" w:cs="Arial"/>
          <w:color w:val="000000"/>
          <w:lang w:val="es-MX"/>
        </w:rPr>
      </w:pPr>
    </w:p>
    <w:p w14:paraId="7B4433EE" w14:textId="263D1079" w:rsidR="0004245C" w:rsidRPr="0004245C" w:rsidRDefault="0004245C" w:rsidP="0004245C">
      <w:pPr>
        <w:pStyle w:val="Prrafodelista"/>
        <w:numPr>
          <w:ilvl w:val="0"/>
          <w:numId w:val="26"/>
        </w:numPr>
        <w:adjustRightInd w:val="0"/>
        <w:spacing w:line="360" w:lineRule="auto"/>
        <w:jc w:val="both"/>
        <w:rPr>
          <w:rFonts w:ascii="Arial" w:eastAsiaTheme="minorHAnsi" w:hAnsi="Arial" w:cs="Arial"/>
          <w:color w:val="000000"/>
          <w:sz w:val="22"/>
          <w:szCs w:val="22"/>
          <w:lang w:val="es-ES" w:eastAsia="en-US"/>
        </w:rPr>
      </w:pPr>
      <w:r w:rsidRPr="0004245C">
        <w:rPr>
          <w:rFonts w:ascii="Arial" w:eastAsiaTheme="minorHAnsi" w:hAnsi="Arial" w:cs="Arial"/>
          <w:color w:val="000000"/>
          <w:sz w:val="22"/>
          <w:szCs w:val="22"/>
          <w:lang w:val="es-ES" w:eastAsia="en-US"/>
        </w:rPr>
        <w:t xml:space="preserve">Solicitud de aclaración del auto del 21 de octubre de 2024 Juzgado Primero Civil Municipal de Arauca con su constancia de radicado. </w:t>
      </w:r>
    </w:p>
    <w:p w14:paraId="41E663E6" w14:textId="77777777" w:rsidR="0004245C" w:rsidRPr="0004245C" w:rsidRDefault="0004245C" w:rsidP="0004245C">
      <w:pPr>
        <w:widowControl/>
        <w:adjustRightInd w:val="0"/>
        <w:spacing w:line="360" w:lineRule="auto"/>
        <w:jc w:val="center"/>
        <w:rPr>
          <w:rFonts w:ascii="Arial" w:eastAsiaTheme="minorHAnsi" w:hAnsi="Arial" w:cs="Arial"/>
          <w:color w:val="000000"/>
          <w:lang w:val="es-MX"/>
        </w:rPr>
      </w:pPr>
    </w:p>
    <w:p w14:paraId="7039E96F" w14:textId="77777777" w:rsidR="0004245C" w:rsidRPr="005B3185" w:rsidRDefault="0004245C" w:rsidP="005B3185">
      <w:pPr>
        <w:widowControl/>
        <w:adjustRightInd w:val="0"/>
        <w:spacing w:line="360" w:lineRule="auto"/>
        <w:jc w:val="both"/>
        <w:rPr>
          <w:rFonts w:ascii="Arial" w:eastAsiaTheme="minorHAnsi" w:hAnsi="Arial" w:cs="Arial"/>
          <w:color w:val="000000"/>
          <w:lang w:val="es-MX"/>
        </w:rPr>
      </w:pPr>
    </w:p>
    <w:p w14:paraId="261B8221" w14:textId="7F3689EB" w:rsidR="00B95DFE" w:rsidRPr="005B3185" w:rsidRDefault="005B3185" w:rsidP="005B3185">
      <w:pPr>
        <w:spacing w:line="360" w:lineRule="auto"/>
        <w:ind w:right="773"/>
        <w:jc w:val="both"/>
        <w:rPr>
          <w:rFonts w:ascii="Arial" w:eastAsia="Arial" w:hAnsi="Arial" w:cs="Arial"/>
          <w:color w:val="000000"/>
          <w:lang w:eastAsia="es-CO"/>
        </w:rPr>
      </w:pPr>
      <w:r w:rsidRPr="005B3185">
        <w:rPr>
          <w:rFonts w:ascii="Arial" w:eastAsia="Arial" w:hAnsi="Arial" w:cs="Arial"/>
          <w:noProof/>
          <w:color w:val="000000"/>
          <w:lang w:eastAsia="es-CO"/>
        </w:rPr>
        <w:drawing>
          <wp:anchor distT="0" distB="0" distL="114300" distR="114300" simplePos="0" relativeHeight="251659264" behindDoc="1" locked="0" layoutInCell="1" allowOverlap="0" wp14:anchorId="359DE9FA" wp14:editId="4DBE61A5">
            <wp:simplePos x="0" y="0"/>
            <wp:positionH relativeFrom="column">
              <wp:posOffset>321310</wp:posOffset>
            </wp:positionH>
            <wp:positionV relativeFrom="paragraph">
              <wp:posOffset>160655</wp:posOffset>
            </wp:positionV>
            <wp:extent cx="2039620" cy="927100"/>
            <wp:effectExtent l="0" t="0" r="0" b="635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6"/>
                    <a:stretch>
                      <a:fillRect/>
                    </a:stretch>
                  </pic:blipFill>
                  <pic:spPr>
                    <a:xfrm>
                      <a:off x="0" y="0"/>
                      <a:ext cx="2039620" cy="927100"/>
                    </a:xfrm>
                    <a:prstGeom prst="rect">
                      <a:avLst/>
                    </a:prstGeom>
                  </pic:spPr>
                </pic:pic>
              </a:graphicData>
            </a:graphic>
            <wp14:sizeRelH relativeFrom="margin">
              <wp14:pctWidth>0</wp14:pctWidth>
            </wp14:sizeRelH>
            <wp14:sizeRelV relativeFrom="margin">
              <wp14:pctHeight>0</wp14:pctHeight>
            </wp14:sizeRelV>
          </wp:anchor>
        </w:drawing>
      </w:r>
      <w:r w:rsidR="00B95DFE" w:rsidRPr="005B3185">
        <w:rPr>
          <w:rFonts w:ascii="Arial" w:eastAsia="Arial" w:hAnsi="Arial" w:cs="Arial"/>
          <w:color w:val="000000"/>
          <w:lang w:eastAsia="es-CO"/>
        </w:rPr>
        <w:t xml:space="preserve">Atentamente, </w:t>
      </w:r>
    </w:p>
    <w:p w14:paraId="085BE071" w14:textId="7F3DC188" w:rsidR="00B95DFE" w:rsidRPr="005B3185" w:rsidRDefault="00B95DFE" w:rsidP="005B3185">
      <w:pPr>
        <w:spacing w:line="360" w:lineRule="auto"/>
        <w:ind w:left="568"/>
        <w:jc w:val="both"/>
        <w:rPr>
          <w:rFonts w:ascii="Arial" w:eastAsia="Arial" w:hAnsi="Arial" w:cs="Arial"/>
          <w:color w:val="000000"/>
          <w:lang w:eastAsia="es-CO"/>
        </w:rPr>
      </w:pPr>
      <w:r w:rsidRPr="005B3185">
        <w:rPr>
          <w:rFonts w:ascii="Arial" w:eastAsia="Arial" w:hAnsi="Arial" w:cs="Arial"/>
          <w:color w:val="000000"/>
          <w:lang w:eastAsia="es-CO"/>
        </w:rPr>
        <w:t xml:space="preserve"> </w:t>
      </w:r>
    </w:p>
    <w:p w14:paraId="47BE0839" w14:textId="77777777" w:rsidR="00B95DFE" w:rsidRPr="005B3185" w:rsidRDefault="00B95DFE" w:rsidP="005B3185">
      <w:pPr>
        <w:spacing w:line="360" w:lineRule="auto"/>
        <w:ind w:left="568"/>
        <w:jc w:val="both"/>
        <w:rPr>
          <w:rFonts w:ascii="Arial" w:eastAsia="Arial" w:hAnsi="Arial" w:cs="Arial"/>
          <w:color w:val="000000"/>
          <w:lang w:eastAsia="es-CO"/>
        </w:rPr>
      </w:pPr>
      <w:r w:rsidRPr="005B3185">
        <w:rPr>
          <w:rFonts w:ascii="Arial" w:eastAsia="Arial" w:hAnsi="Arial" w:cs="Arial"/>
          <w:color w:val="000000"/>
          <w:lang w:eastAsia="es-CO"/>
        </w:rPr>
        <w:t xml:space="preserve"> </w:t>
      </w:r>
    </w:p>
    <w:p w14:paraId="12C98FA6" w14:textId="77777777" w:rsidR="00B95DFE" w:rsidRPr="005B3185" w:rsidRDefault="00B95DFE" w:rsidP="005B3185">
      <w:pPr>
        <w:spacing w:line="360" w:lineRule="auto"/>
        <w:jc w:val="both"/>
        <w:rPr>
          <w:rFonts w:ascii="Arial" w:eastAsia="Arial" w:hAnsi="Arial" w:cs="Arial"/>
          <w:color w:val="000000"/>
          <w:lang w:eastAsia="es-CO"/>
        </w:rPr>
      </w:pPr>
      <w:r w:rsidRPr="005B3185">
        <w:rPr>
          <w:rFonts w:ascii="Arial" w:eastAsia="Arial" w:hAnsi="Arial" w:cs="Arial"/>
          <w:b/>
          <w:color w:val="000000"/>
          <w:lang w:eastAsia="es-CO"/>
        </w:rPr>
        <w:t>GUSTAVO ALBERTO HERRERA ÁVILA</w:t>
      </w:r>
      <w:r w:rsidRPr="005B3185">
        <w:rPr>
          <w:rFonts w:ascii="Arial" w:eastAsia="Arial" w:hAnsi="Arial" w:cs="Arial"/>
          <w:color w:val="000000"/>
          <w:lang w:eastAsia="es-CO"/>
        </w:rPr>
        <w:t xml:space="preserve"> </w:t>
      </w:r>
    </w:p>
    <w:p w14:paraId="59989FF5" w14:textId="77777777" w:rsidR="00B95DFE" w:rsidRPr="005B3185" w:rsidRDefault="00B95DFE" w:rsidP="005B3185">
      <w:pPr>
        <w:spacing w:line="360" w:lineRule="auto"/>
        <w:ind w:right="773"/>
        <w:jc w:val="both"/>
        <w:rPr>
          <w:rFonts w:ascii="Arial" w:eastAsia="Arial" w:hAnsi="Arial" w:cs="Arial"/>
          <w:color w:val="000000"/>
          <w:lang w:eastAsia="es-CO"/>
        </w:rPr>
      </w:pPr>
      <w:r w:rsidRPr="005B3185">
        <w:rPr>
          <w:rFonts w:ascii="Arial" w:eastAsia="Arial" w:hAnsi="Arial" w:cs="Arial"/>
          <w:color w:val="000000"/>
          <w:lang w:eastAsia="es-CO"/>
        </w:rPr>
        <w:t>C.C. No. 19.395.114 expedida en Bogotá D.C.</w:t>
      </w:r>
    </w:p>
    <w:p w14:paraId="4F3D4CE0" w14:textId="77777777" w:rsidR="00B95DFE" w:rsidRPr="005B3185" w:rsidRDefault="00B95DFE" w:rsidP="005B3185">
      <w:pPr>
        <w:tabs>
          <w:tab w:val="left" w:pos="851"/>
        </w:tabs>
        <w:spacing w:line="360" w:lineRule="auto"/>
        <w:ind w:right="50"/>
        <w:jc w:val="both"/>
        <w:rPr>
          <w:rFonts w:ascii="Arial" w:eastAsia="Arial" w:hAnsi="Arial" w:cs="Arial"/>
          <w:color w:val="000000"/>
          <w:lang w:eastAsia="es-CO"/>
        </w:rPr>
      </w:pPr>
      <w:r w:rsidRPr="005B3185">
        <w:rPr>
          <w:rFonts w:ascii="Arial" w:eastAsia="Arial" w:hAnsi="Arial" w:cs="Arial"/>
          <w:color w:val="000000"/>
          <w:lang w:eastAsia="es-CO"/>
        </w:rPr>
        <w:t>T. P. No. 39.116 del C. S. de la J.</w:t>
      </w:r>
    </w:p>
    <w:sectPr w:rsidR="00B95DFE" w:rsidRPr="005B3185" w:rsidSect="003C6D84">
      <w:headerReference w:type="default" r:id="rId17"/>
      <w:footerReference w:type="default" r:id="rId18"/>
      <w:pgSz w:w="11906" w:h="16838" w:code="9"/>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465D" w14:textId="77777777" w:rsidR="00030ADD" w:rsidRDefault="00030ADD" w:rsidP="0025591F">
      <w:r>
        <w:separator/>
      </w:r>
    </w:p>
  </w:endnote>
  <w:endnote w:type="continuationSeparator" w:id="0">
    <w:p w14:paraId="21CEACD2" w14:textId="77777777" w:rsidR="00030ADD" w:rsidRDefault="00030AD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5D654762"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1E4FFA1F">
              <wp:simplePos x="0" y="0"/>
              <wp:positionH relativeFrom="margin">
                <wp:posOffset>1790700</wp:posOffset>
              </wp:positionH>
              <wp:positionV relativeFrom="page">
                <wp:posOffset>9308465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31052A7C"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C4191B" w:rsidRPr="00C4191B">
                            <w:rPr>
                              <w:rFonts w:ascii="Raleway" w:hAnsi="Raleway"/>
                              <w:color w:val="11213B"/>
                              <w:w w:val="105"/>
                              <w:sz w:val="14"/>
                              <w:szCs w:val="14"/>
                            </w:rPr>
                            <w:t>Carrera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2C45B1B" id="Rectángulo 799899045" o:spid="_x0000_s1026" style="position:absolute;margin-left:141pt;margin-top:73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31052A7C"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C4191B" w:rsidRPr="00C4191B">
                      <w:rPr>
                        <w:rFonts w:ascii="Raleway" w:hAnsi="Raleway"/>
                        <w:color w:val="11213B"/>
                        <w:w w:val="105"/>
                        <w:sz w:val="14"/>
                        <w:szCs w:val="14"/>
                      </w:rPr>
                      <w:t>Carrera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281105776" name="Imagen 28110577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65354239" name="Imagen 56535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2037951595" name="Imagen 203795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0FE9ACA7" w:rsidR="00416F84" w:rsidRDefault="00416F84" w:rsidP="00416F84">
    <w:pPr>
      <w:ind w:left="7080" w:firstLine="708"/>
      <w:rPr>
        <w:color w:val="222A35" w:themeColor="text2" w:themeShade="80"/>
      </w:rPr>
    </w:pPr>
  </w:p>
  <w:p w14:paraId="2E4D503A" w14:textId="736B34BB" w:rsidR="00416F84" w:rsidRDefault="00ED1A03"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435F5B38">
              <wp:simplePos x="0" y="0"/>
              <wp:positionH relativeFrom="page">
                <wp:posOffset>205740</wp:posOffset>
              </wp:positionH>
              <wp:positionV relativeFrom="page">
                <wp:posOffset>9894570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5EF7691F" w:rsidR="00265B06" w:rsidRPr="004A356B" w:rsidRDefault="00F02475"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AMVA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3E0F5CF" id="Rectángulo 1508856763" o:spid="_x0000_s1028" style="position:absolute;left:0;text-align:left;margin-left:16.2pt;margin-top:779.1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" filled="f" stroked="f" strokeweight="1pt">
              <v:textbox>
                <w:txbxContent>
                  <w:p w14:paraId="03277C3A" w14:textId="5EF7691F" w:rsidR="00265B06" w:rsidRPr="004A356B" w:rsidRDefault="00F02475"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AMVA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CC5F46F">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0E8DDD30"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FCC0" w14:textId="77777777" w:rsidR="00030ADD" w:rsidRDefault="00030ADD" w:rsidP="0025591F">
      <w:r>
        <w:separator/>
      </w:r>
    </w:p>
  </w:footnote>
  <w:footnote w:type="continuationSeparator" w:id="0">
    <w:p w14:paraId="63FF18E1" w14:textId="77777777" w:rsidR="00030ADD" w:rsidRDefault="00030AD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83644829" name="Imagen 28364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001AB2"/>
    <w:multiLevelType w:val="hybridMultilevel"/>
    <w:tmpl w:val="E4D2FB0C"/>
    <w:lvl w:ilvl="0" w:tplc="2A348A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9B023F"/>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960F53"/>
    <w:multiLevelType w:val="hybridMultilevel"/>
    <w:tmpl w:val="A5A8C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704681"/>
    <w:multiLevelType w:val="hybridMultilevel"/>
    <w:tmpl w:val="EF041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870FA"/>
    <w:multiLevelType w:val="hybridMultilevel"/>
    <w:tmpl w:val="E48C6ED2"/>
    <w:lvl w:ilvl="0" w:tplc="54084470">
      <w:start w:val="2022"/>
      <w:numFmt w:val="bullet"/>
      <w:lvlText w:val=""/>
      <w:lvlJc w:val="left"/>
      <w:pPr>
        <w:ind w:left="1211" w:hanging="360"/>
      </w:pPr>
      <w:rPr>
        <w:rFonts w:ascii="Symbol" w:eastAsia="Arial MT" w:hAnsi="Symbo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6" w15:restartNumberingAfterBreak="0">
    <w:nsid w:val="20BC177E"/>
    <w:multiLevelType w:val="multilevel"/>
    <w:tmpl w:val="68A4CF6A"/>
    <w:lvl w:ilvl="0">
      <w:start w:val="1"/>
      <w:numFmt w:val="decimal"/>
      <w:lvlText w:val="%1."/>
      <w:lvlJc w:val="left"/>
      <w:pPr>
        <w:ind w:left="720" w:hanging="360"/>
      </w:pPr>
      <w:rPr>
        <w:rFonts w:hint="default"/>
        <w:b/>
        <w:bCs/>
      </w:rPr>
    </w:lvl>
    <w:lvl w:ilvl="1">
      <w:numFmt w:val="bullet"/>
      <w:lvlText w:val=""/>
      <w:lvlJc w:val="left"/>
      <w:pPr>
        <w:ind w:left="720" w:hanging="360"/>
      </w:pPr>
      <w:rPr>
        <w:rFonts w:ascii="Symbol" w:eastAsia="Times New Roman" w:hAnsi="Symbo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C26411"/>
    <w:multiLevelType w:val="hybridMultilevel"/>
    <w:tmpl w:val="5A4ED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11470"/>
    <w:multiLevelType w:val="hybridMultilevel"/>
    <w:tmpl w:val="E78EF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91777"/>
    <w:multiLevelType w:val="hybridMultilevel"/>
    <w:tmpl w:val="EA287CF0"/>
    <w:lvl w:ilvl="0" w:tplc="C746556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5E1754"/>
    <w:multiLevelType w:val="multilevel"/>
    <w:tmpl w:val="68A4CF6A"/>
    <w:lvl w:ilvl="0">
      <w:start w:val="1"/>
      <w:numFmt w:val="decimal"/>
      <w:lvlText w:val="%1."/>
      <w:lvlJc w:val="left"/>
      <w:pPr>
        <w:ind w:left="720" w:hanging="360"/>
      </w:pPr>
      <w:rPr>
        <w:rFonts w:hint="default"/>
      </w:rPr>
    </w:lvl>
    <w:lvl w:ilvl="1">
      <w:numFmt w:val="bullet"/>
      <w:lvlText w:val=""/>
      <w:lvlJc w:val="left"/>
      <w:pPr>
        <w:ind w:left="720" w:hanging="360"/>
      </w:pPr>
      <w:rPr>
        <w:rFonts w:ascii="Symbol" w:eastAsia="Times New Roman" w:hAnsi="Symbo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600BBB"/>
    <w:multiLevelType w:val="hybridMultilevel"/>
    <w:tmpl w:val="67F2469A"/>
    <w:lvl w:ilvl="0" w:tplc="C746556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BF2C93"/>
    <w:multiLevelType w:val="hybridMultilevel"/>
    <w:tmpl w:val="91029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F07AAF"/>
    <w:multiLevelType w:val="hybridMultilevel"/>
    <w:tmpl w:val="322AE23C"/>
    <w:lvl w:ilvl="0" w:tplc="795403CE">
      <w:start w:val="3"/>
      <w:numFmt w:val="bullet"/>
      <w:lvlText w:val="-"/>
      <w:lvlJc w:val="left"/>
      <w:pPr>
        <w:ind w:left="1800" w:hanging="360"/>
      </w:pPr>
      <w:rPr>
        <w:rFonts w:ascii="Times New Roman" w:eastAsia="Times New Roman" w:hAnsi="Times New Roman" w:cs="Times New Roman" w:hint="default"/>
      </w:rPr>
    </w:lvl>
    <w:lvl w:ilvl="1" w:tplc="080A0003">
      <w:start w:val="1"/>
      <w:numFmt w:val="bullet"/>
      <w:lvlText w:val="o"/>
      <w:lvlJc w:val="left"/>
      <w:pPr>
        <w:ind w:left="2520" w:hanging="360"/>
      </w:pPr>
      <w:rPr>
        <w:rFonts w:ascii="Courier New" w:hAnsi="Courier New" w:cs="Times New Roman" w:hint="default"/>
      </w:rPr>
    </w:lvl>
    <w:lvl w:ilvl="2" w:tplc="080A0005">
      <w:start w:val="1"/>
      <w:numFmt w:val="bullet"/>
      <w:lvlText w:val=""/>
      <w:lvlJc w:val="left"/>
      <w:pPr>
        <w:ind w:left="3240" w:hanging="360"/>
      </w:pPr>
      <w:rPr>
        <w:rFonts w:ascii="Wingdings" w:hAnsi="Wingdings" w:hint="default"/>
      </w:rPr>
    </w:lvl>
    <w:lvl w:ilvl="3" w:tplc="080A0001">
      <w:start w:val="1"/>
      <w:numFmt w:val="bullet"/>
      <w:lvlText w:val=""/>
      <w:lvlJc w:val="left"/>
      <w:pPr>
        <w:ind w:left="3960" w:hanging="360"/>
      </w:pPr>
      <w:rPr>
        <w:rFonts w:ascii="Symbol" w:hAnsi="Symbol" w:hint="default"/>
      </w:rPr>
    </w:lvl>
    <w:lvl w:ilvl="4" w:tplc="080A0003">
      <w:start w:val="1"/>
      <w:numFmt w:val="bullet"/>
      <w:lvlText w:val="o"/>
      <w:lvlJc w:val="left"/>
      <w:pPr>
        <w:ind w:left="4680" w:hanging="360"/>
      </w:pPr>
      <w:rPr>
        <w:rFonts w:ascii="Courier New" w:hAnsi="Courier New" w:cs="Times New Roman" w:hint="default"/>
      </w:rPr>
    </w:lvl>
    <w:lvl w:ilvl="5" w:tplc="080A0005">
      <w:start w:val="1"/>
      <w:numFmt w:val="bullet"/>
      <w:lvlText w:val=""/>
      <w:lvlJc w:val="left"/>
      <w:pPr>
        <w:ind w:left="5400" w:hanging="360"/>
      </w:pPr>
      <w:rPr>
        <w:rFonts w:ascii="Wingdings" w:hAnsi="Wingdings" w:hint="default"/>
      </w:rPr>
    </w:lvl>
    <w:lvl w:ilvl="6" w:tplc="080A0001">
      <w:start w:val="1"/>
      <w:numFmt w:val="bullet"/>
      <w:lvlText w:val=""/>
      <w:lvlJc w:val="left"/>
      <w:pPr>
        <w:ind w:left="6120" w:hanging="360"/>
      </w:pPr>
      <w:rPr>
        <w:rFonts w:ascii="Symbol" w:hAnsi="Symbol" w:hint="default"/>
      </w:rPr>
    </w:lvl>
    <w:lvl w:ilvl="7" w:tplc="080A0003">
      <w:start w:val="1"/>
      <w:numFmt w:val="bullet"/>
      <w:lvlText w:val="o"/>
      <w:lvlJc w:val="left"/>
      <w:pPr>
        <w:ind w:left="6840" w:hanging="360"/>
      </w:pPr>
      <w:rPr>
        <w:rFonts w:ascii="Courier New" w:hAnsi="Courier New" w:cs="Times New Roman" w:hint="default"/>
      </w:rPr>
    </w:lvl>
    <w:lvl w:ilvl="8" w:tplc="080A0005">
      <w:start w:val="1"/>
      <w:numFmt w:val="bullet"/>
      <w:lvlText w:val=""/>
      <w:lvlJc w:val="left"/>
      <w:pPr>
        <w:ind w:left="7560" w:hanging="360"/>
      </w:pPr>
      <w:rPr>
        <w:rFonts w:ascii="Wingdings" w:hAnsi="Wingdings" w:hint="default"/>
      </w:rPr>
    </w:lvl>
  </w:abstractNum>
  <w:abstractNum w:abstractNumId="14" w15:restartNumberingAfterBreak="0">
    <w:nsid w:val="3F5308B8"/>
    <w:multiLevelType w:val="hybridMultilevel"/>
    <w:tmpl w:val="C8EC9BD8"/>
    <w:lvl w:ilvl="0" w:tplc="97401A92">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390ED6"/>
    <w:multiLevelType w:val="hybridMultilevel"/>
    <w:tmpl w:val="0600B0A2"/>
    <w:lvl w:ilvl="0" w:tplc="8C18F6E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15:restartNumberingAfterBreak="0">
    <w:nsid w:val="464C27DD"/>
    <w:multiLevelType w:val="hybridMultilevel"/>
    <w:tmpl w:val="FC608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CE1563"/>
    <w:multiLevelType w:val="hybridMultilevel"/>
    <w:tmpl w:val="E78EF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4D240E"/>
    <w:multiLevelType w:val="hybridMultilevel"/>
    <w:tmpl w:val="E78EF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BF48D8"/>
    <w:multiLevelType w:val="hybridMultilevel"/>
    <w:tmpl w:val="FFA87DCC"/>
    <w:lvl w:ilvl="0" w:tplc="9D2C0FD6">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A51B91"/>
    <w:multiLevelType w:val="multilevel"/>
    <w:tmpl w:val="68A4CF6A"/>
    <w:lvl w:ilvl="0">
      <w:start w:val="1"/>
      <w:numFmt w:val="decimal"/>
      <w:lvlText w:val="%1."/>
      <w:lvlJc w:val="left"/>
      <w:pPr>
        <w:ind w:left="720" w:hanging="360"/>
      </w:pPr>
      <w:rPr>
        <w:rFonts w:hint="default"/>
      </w:rPr>
    </w:lvl>
    <w:lvl w:ilvl="1">
      <w:numFmt w:val="bullet"/>
      <w:lvlText w:val=""/>
      <w:lvlJc w:val="left"/>
      <w:pPr>
        <w:ind w:left="720" w:hanging="360"/>
      </w:pPr>
      <w:rPr>
        <w:rFonts w:ascii="Symbol" w:eastAsia="Times New Roman" w:hAnsi="Symbo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4A0035"/>
    <w:multiLevelType w:val="hybridMultilevel"/>
    <w:tmpl w:val="29644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7A5041"/>
    <w:multiLevelType w:val="hybridMultilevel"/>
    <w:tmpl w:val="3D6CDEE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C4D273E"/>
    <w:multiLevelType w:val="hybridMultilevel"/>
    <w:tmpl w:val="7C7E6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7B2A5C"/>
    <w:multiLevelType w:val="hybridMultilevel"/>
    <w:tmpl w:val="9D904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B512BA"/>
    <w:multiLevelType w:val="hybridMultilevel"/>
    <w:tmpl w:val="5F3C0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20"/>
  </w:num>
  <w:num w:numId="9">
    <w:abstractNumId w:val="2"/>
  </w:num>
  <w:num w:numId="10">
    <w:abstractNumId w:val="6"/>
  </w:num>
  <w:num w:numId="11">
    <w:abstractNumId w:val="11"/>
  </w:num>
  <w:num w:numId="12">
    <w:abstractNumId w:val="12"/>
  </w:num>
  <w:num w:numId="13">
    <w:abstractNumId w:val="7"/>
  </w:num>
  <w:num w:numId="14">
    <w:abstractNumId w:val="23"/>
  </w:num>
  <w:num w:numId="15">
    <w:abstractNumId w:val="24"/>
  </w:num>
  <w:num w:numId="16">
    <w:abstractNumId w:val="18"/>
  </w:num>
  <w:num w:numId="17">
    <w:abstractNumId w:val="14"/>
  </w:num>
  <w:num w:numId="18">
    <w:abstractNumId w:val="19"/>
  </w:num>
  <w:num w:numId="19">
    <w:abstractNumId w:val="8"/>
  </w:num>
  <w:num w:numId="20">
    <w:abstractNumId w:val="17"/>
  </w:num>
  <w:num w:numId="21">
    <w:abstractNumId w:val="16"/>
  </w:num>
  <w:num w:numId="22">
    <w:abstractNumId w:val="21"/>
  </w:num>
  <w:num w:numId="23">
    <w:abstractNumId w:val="4"/>
  </w:num>
  <w:num w:numId="24">
    <w:abstractNumId w:val="3"/>
  </w:num>
  <w:num w:numId="25">
    <w:abstractNumId w:val="1"/>
  </w:num>
  <w:num w:numId="2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0B3C"/>
    <w:rsid w:val="00003A57"/>
    <w:rsid w:val="0000683D"/>
    <w:rsid w:val="00011645"/>
    <w:rsid w:val="000127BD"/>
    <w:rsid w:val="00015F62"/>
    <w:rsid w:val="000254C2"/>
    <w:rsid w:val="00030ADD"/>
    <w:rsid w:val="0003111F"/>
    <w:rsid w:val="00032269"/>
    <w:rsid w:val="000343C9"/>
    <w:rsid w:val="00037A8B"/>
    <w:rsid w:val="0004245C"/>
    <w:rsid w:val="0004301B"/>
    <w:rsid w:val="0004759B"/>
    <w:rsid w:val="00052D18"/>
    <w:rsid w:val="00061647"/>
    <w:rsid w:val="0006238F"/>
    <w:rsid w:val="0007373B"/>
    <w:rsid w:val="00073C6E"/>
    <w:rsid w:val="000743DA"/>
    <w:rsid w:val="00075615"/>
    <w:rsid w:val="00075624"/>
    <w:rsid w:val="00082103"/>
    <w:rsid w:val="000849E8"/>
    <w:rsid w:val="00084D79"/>
    <w:rsid w:val="000855BE"/>
    <w:rsid w:val="00085B11"/>
    <w:rsid w:val="00092A03"/>
    <w:rsid w:val="000970F9"/>
    <w:rsid w:val="000B3CC8"/>
    <w:rsid w:val="000B6B35"/>
    <w:rsid w:val="000C2815"/>
    <w:rsid w:val="000C39B4"/>
    <w:rsid w:val="000F5029"/>
    <w:rsid w:val="00102349"/>
    <w:rsid w:val="0010796E"/>
    <w:rsid w:val="0011173A"/>
    <w:rsid w:val="001145D9"/>
    <w:rsid w:val="001275BF"/>
    <w:rsid w:val="001540CC"/>
    <w:rsid w:val="00154D72"/>
    <w:rsid w:val="00155C86"/>
    <w:rsid w:val="00171B10"/>
    <w:rsid w:val="001824E3"/>
    <w:rsid w:val="0018251D"/>
    <w:rsid w:val="001925A0"/>
    <w:rsid w:val="00194536"/>
    <w:rsid w:val="00194DAC"/>
    <w:rsid w:val="001A318F"/>
    <w:rsid w:val="001D0FE9"/>
    <w:rsid w:val="001D269F"/>
    <w:rsid w:val="001D5FE9"/>
    <w:rsid w:val="001F4B73"/>
    <w:rsid w:val="001F5933"/>
    <w:rsid w:val="001F5B68"/>
    <w:rsid w:val="0020265F"/>
    <w:rsid w:val="00203C4C"/>
    <w:rsid w:val="00213851"/>
    <w:rsid w:val="0021568C"/>
    <w:rsid w:val="00220909"/>
    <w:rsid w:val="00221193"/>
    <w:rsid w:val="00222947"/>
    <w:rsid w:val="00225507"/>
    <w:rsid w:val="0022605B"/>
    <w:rsid w:val="00230DCB"/>
    <w:rsid w:val="0023253E"/>
    <w:rsid w:val="00232989"/>
    <w:rsid w:val="00234F3F"/>
    <w:rsid w:val="002358F8"/>
    <w:rsid w:val="002370E0"/>
    <w:rsid w:val="00241924"/>
    <w:rsid w:val="00245F40"/>
    <w:rsid w:val="00254E27"/>
    <w:rsid w:val="0025591F"/>
    <w:rsid w:val="002568C0"/>
    <w:rsid w:val="00263310"/>
    <w:rsid w:val="00263695"/>
    <w:rsid w:val="00265B06"/>
    <w:rsid w:val="00267DDC"/>
    <w:rsid w:val="00273814"/>
    <w:rsid w:val="00280863"/>
    <w:rsid w:val="00281D90"/>
    <w:rsid w:val="002858E9"/>
    <w:rsid w:val="002911C8"/>
    <w:rsid w:val="00295EDD"/>
    <w:rsid w:val="0029705D"/>
    <w:rsid w:val="002A210A"/>
    <w:rsid w:val="002B4C38"/>
    <w:rsid w:val="002B5E76"/>
    <w:rsid w:val="002C0EC1"/>
    <w:rsid w:val="002C596D"/>
    <w:rsid w:val="002C60FC"/>
    <w:rsid w:val="002D0E2E"/>
    <w:rsid w:val="002E4355"/>
    <w:rsid w:val="002E4A1B"/>
    <w:rsid w:val="002E5834"/>
    <w:rsid w:val="002E5E72"/>
    <w:rsid w:val="002F1340"/>
    <w:rsid w:val="00304AEE"/>
    <w:rsid w:val="00305C2C"/>
    <w:rsid w:val="00310569"/>
    <w:rsid w:val="0031237F"/>
    <w:rsid w:val="00326560"/>
    <w:rsid w:val="0033036A"/>
    <w:rsid w:val="00331486"/>
    <w:rsid w:val="00333F2A"/>
    <w:rsid w:val="003402A3"/>
    <w:rsid w:val="00354FF7"/>
    <w:rsid w:val="00357BE4"/>
    <w:rsid w:val="00362378"/>
    <w:rsid w:val="00364EA9"/>
    <w:rsid w:val="00365C96"/>
    <w:rsid w:val="00375521"/>
    <w:rsid w:val="00375AFE"/>
    <w:rsid w:val="00381CA8"/>
    <w:rsid w:val="00383D35"/>
    <w:rsid w:val="0039458D"/>
    <w:rsid w:val="003B570D"/>
    <w:rsid w:val="003C09CE"/>
    <w:rsid w:val="003C5BCE"/>
    <w:rsid w:val="003C6D84"/>
    <w:rsid w:val="003D62CC"/>
    <w:rsid w:val="003E0811"/>
    <w:rsid w:val="003F26B0"/>
    <w:rsid w:val="003F537E"/>
    <w:rsid w:val="00401649"/>
    <w:rsid w:val="004029D9"/>
    <w:rsid w:val="004032FD"/>
    <w:rsid w:val="00405432"/>
    <w:rsid w:val="00405476"/>
    <w:rsid w:val="00407A14"/>
    <w:rsid w:val="00412306"/>
    <w:rsid w:val="00416F84"/>
    <w:rsid w:val="00420774"/>
    <w:rsid w:val="0042497F"/>
    <w:rsid w:val="00437EEF"/>
    <w:rsid w:val="004420F3"/>
    <w:rsid w:val="00443488"/>
    <w:rsid w:val="004479E9"/>
    <w:rsid w:val="00453F42"/>
    <w:rsid w:val="00461721"/>
    <w:rsid w:val="00470810"/>
    <w:rsid w:val="00475C7C"/>
    <w:rsid w:val="004829FB"/>
    <w:rsid w:val="00490181"/>
    <w:rsid w:val="0049069C"/>
    <w:rsid w:val="00493795"/>
    <w:rsid w:val="00494308"/>
    <w:rsid w:val="004A356B"/>
    <w:rsid w:val="004A4D6A"/>
    <w:rsid w:val="004A7E53"/>
    <w:rsid w:val="004C01CE"/>
    <w:rsid w:val="004C30CE"/>
    <w:rsid w:val="004C6E51"/>
    <w:rsid w:val="004D171A"/>
    <w:rsid w:val="004E6963"/>
    <w:rsid w:val="004F3AE1"/>
    <w:rsid w:val="00502390"/>
    <w:rsid w:val="00505F3C"/>
    <w:rsid w:val="005077EA"/>
    <w:rsid w:val="00510E7D"/>
    <w:rsid w:val="0051555D"/>
    <w:rsid w:val="00515982"/>
    <w:rsid w:val="005316DA"/>
    <w:rsid w:val="00543F6F"/>
    <w:rsid w:val="00547A7B"/>
    <w:rsid w:val="00551CBB"/>
    <w:rsid w:val="00552EE6"/>
    <w:rsid w:val="00554526"/>
    <w:rsid w:val="00554576"/>
    <w:rsid w:val="0056057E"/>
    <w:rsid w:val="00572542"/>
    <w:rsid w:val="00572B55"/>
    <w:rsid w:val="0057408B"/>
    <w:rsid w:val="00574CBB"/>
    <w:rsid w:val="00580F15"/>
    <w:rsid w:val="00581816"/>
    <w:rsid w:val="0059597F"/>
    <w:rsid w:val="005A3F2C"/>
    <w:rsid w:val="005A431E"/>
    <w:rsid w:val="005B3185"/>
    <w:rsid w:val="005B6195"/>
    <w:rsid w:val="005B69ED"/>
    <w:rsid w:val="005C4D9D"/>
    <w:rsid w:val="005D7117"/>
    <w:rsid w:val="005E30DC"/>
    <w:rsid w:val="005E4B9E"/>
    <w:rsid w:val="005F17F5"/>
    <w:rsid w:val="005F5469"/>
    <w:rsid w:val="00602C2C"/>
    <w:rsid w:val="00607C14"/>
    <w:rsid w:val="006113EF"/>
    <w:rsid w:val="00615209"/>
    <w:rsid w:val="0062352A"/>
    <w:rsid w:val="006343AA"/>
    <w:rsid w:val="00637020"/>
    <w:rsid w:val="00642D7F"/>
    <w:rsid w:val="00654FCF"/>
    <w:rsid w:val="00660832"/>
    <w:rsid w:val="0066266F"/>
    <w:rsid w:val="00670B01"/>
    <w:rsid w:val="00672477"/>
    <w:rsid w:val="00673CD6"/>
    <w:rsid w:val="00674A91"/>
    <w:rsid w:val="00682AA2"/>
    <w:rsid w:val="006923AE"/>
    <w:rsid w:val="006934AD"/>
    <w:rsid w:val="006947C8"/>
    <w:rsid w:val="00694F97"/>
    <w:rsid w:val="00695E3E"/>
    <w:rsid w:val="00697430"/>
    <w:rsid w:val="006A0A7C"/>
    <w:rsid w:val="006A0A8C"/>
    <w:rsid w:val="006A1C11"/>
    <w:rsid w:val="006B6DDA"/>
    <w:rsid w:val="006C7885"/>
    <w:rsid w:val="006D11DC"/>
    <w:rsid w:val="006E0EA6"/>
    <w:rsid w:val="006F3F7B"/>
    <w:rsid w:val="007004EE"/>
    <w:rsid w:val="00700F57"/>
    <w:rsid w:val="0070102A"/>
    <w:rsid w:val="00701336"/>
    <w:rsid w:val="00705286"/>
    <w:rsid w:val="00720AB0"/>
    <w:rsid w:val="00721F6B"/>
    <w:rsid w:val="00730B86"/>
    <w:rsid w:val="00735039"/>
    <w:rsid w:val="00740633"/>
    <w:rsid w:val="00740FCE"/>
    <w:rsid w:val="00742DA1"/>
    <w:rsid w:val="00766932"/>
    <w:rsid w:val="00772EAE"/>
    <w:rsid w:val="007739C0"/>
    <w:rsid w:val="007765F3"/>
    <w:rsid w:val="00781B0F"/>
    <w:rsid w:val="00790376"/>
    <w:rsid w:val="007932C9"/>
    <w:rsid w:val="00793C8E"/>
    <w:rsid w:val="007A10C1"/>
    <w:rsid w:val="007A3FEE"/>
    <w:rsid w:val="007A6591"/>
    <w:rsid w:val="007C1A65"/>
    <w:rsid w:val="007E2B59"/>
    <w:rsid w:val="007E5A77"/>
    <w:rsid w:val="007E6F10"/>
    <w:rsid w:val="007E76E0"/>
    <w:rsid w:val="007F1A71"/>
    <w:rsid w:val="007F632D"/>
    <w:rsid w:val="007F674B"/>
    <w:rsid w:val="007F6A39"/>
    <w:rsid w:val="007F7C61"/>
    <w:rsid w:val="008018B5"/>
    <w:rsid w:val="00802DAE"/>
    <w:rsid w:val="008079AB"/>
    <w:rsid w:val="00823A98"/>
    <w:rsid w:val="0082492E"/>
    <w:rsid w:val="00826CA0"/>
    <w:rsid w:val="008461CC"/>
    <w:rsid w:val="00857C44"/>
    <w:rsid w:val="008654F0"/>
    <w:rsid w:val="008679DA"/>
    <w:rsid w:val="0087456F"/>
    <w:rsid w:val="00876267"/>
    <w:rsid w:val="00876FC5"/>
    <w:rsid w:val="00881D82"/>
    <w:rsid w:val="008830A7"/>
    <w:rsid w:val="00885426"/>
    <w:rsid w:val="008A3EE5"/>
    <w:rsid w:val="008C0309"/>
    <w:rsid w:val="008C39C1"/>
    <w:rsid w:val="008C5F27"/>
    <w:rsid w:val="008C6ED9"/>
    <w:rsid w:val="008D3AAF"/>
    <w:rsid w:val="008D45A6"/>
    <w:rsid w:val="008E48C3"/>
    <w:rsid w:val="008E4E08"/>
    <w:rsid w:val="008E5AB7"/>
    <w:rsid w:val="008E6B17"/>
    <w:rsid w:val="008F1E2F"/>
    <w:rsid w:val="008F5A11"/>
    <w:rsid w:val="00900188"/>
    <w:rsid w:val="00911448"/>
    <w:rsid w:val="00912669"/>
    <w:rsid w:val="00915521"/>
    <w:rsid w:val="00917CC7"/>
    <w:rsid w:val="009332AA"/>
    <w:rsid w:val="009403D4"/>
    <w:rsid w:val="00952292"/>
    <w:rsid w:val="009630C9"/>
    <w:rsid w:val="00980610"/>
    <w:rsid w:val="0098619E"/>
    <w:rsid w:val="0099174C"/>
    <w:rsid w:val="00993E5A"/>
    <w:rsid w:val="00997C0E"/>
    <w:rsid w:val="009A1E5D"/>
    <w:rsid w:val="009A6728"/>
    <w:rsid w:val="009B1124"/>
    <w:rsid w:val="009B6EFA"/>
    <w:rsid w:val="009C59D1"/>
    <w:rsid w:val="009C5E33"/>
    <w:rsid w:val="009D3803"/>
    <w:rsid w:val="009E1AA4"/>
    <w:rsid w:val="009E72F2"/>
    <w:rsid w:val="009E7C9E"/>
    <w:rsid w:val="009F2BD8"/>
    <w:rsid w:val="009F7EF2"/>
    <w:rsid w:val="00A05EC7"/>
    <w:rsid w:val="00A061DB"/>
    <w:rsid w:val="00A071BC"/>
    <w:rsid w:val="00A106D8"/>
    <w:rsid w:val="00A21609"/>
    <w:rsid w:val="00A222A8"/>
    <w:rsid w:val="00A23030"/>
    <w:rsid w:val="00A233AA"/>
    <w:rsid w:val="00A37D77"/>
    <w:rsid w:val="00A405EF"/>
    <w:rsid w:val="00A46268"/>
    <w:rsid w:val="00A50775"/>
    <w:rsid w:val="00A558CF"/>
    <w:rsid w:val="00A56FF4"/>
    <w:rsid w:val="00A60DB9"/>
    <w:rsid w:val="00A679D7"/>
    <w:rsid w:val="00A67CFC"/>
    <w:rsid w:val="00A702C8"/>
    <w:rsid w:val="00A8175C"/>
    <w:rsid w:val="00A8333B"/>
    <w:rsid w:val="00A877E6"/>
    <w:rsid w:val="00A901AD"/>
    <w:rsid w:val="00A9288A"/>
    <w:rsid w:val="00A96A5C"/>
    <w:rsid w:val="00AA06A4"/>
    <w:rsid w:val="00AA5473"/>
    <w:rsid w:val="00AB3A2C"/>
    <w:rsid w:val="00AB4BC9"/>
    <w:rsid w:val="00AB66AC"/>
    <w:rsid w:val="00AD03AA"/>
    <w:rsid w:val="00AD278F"/>
    <w:rsid w:val="00AE21FE"/>
    <w:rsid w:val="00AE3AC5"/>
    <w:rsid w:val="00AE5B62"/>
    <w:rsid w:val="00B000A0"/>
    <w:rsid w:val="00B200F8"/>
    <w:rsid w:val="00B20189"/>
    <w:rsid w:val="00B234A9"/>
    <w:rsid w:val="00B306DE"/>
    <w:rsid w:val="00B30DC9"/>
    <w:rsid w:val="00B314AD"/>
    <w:rsid w:val="00B3240A"/>
    <w:rsid w:val="00B5177D"/>
    <w:rsid w:val="00B5344B"/>
    <w:rsid w:val="00B54DCC"/>
    <w:rsid w:val="00B649A3"/>
    <w:rsid w:val="00B710D1"/>
    <w:rsid w:val="00B7378F"/>
    <w:rsid w:val="00B76F5D"/>
    <w:rsid w:val="00B77F91"/>
    <w:rsid w:val="00B81E76"/>
    <w:rsid w:val="00B837E3"/>
    <w:rsid w:val="00B85B26"/>
    <w:rsid w:val="00B90D09"/>
    <w:rsid w:val="00B95DFE"/>
    <w:rsid w:val="00BA33E1"/>
    <w:rsid w:val="00BB31D7"/>
    <w:rsid w:val="00BB7105"/>
    <w:rsid w:val="00BC65D4"/>
    <w:rsid w:val="00BC7FB8"/>
    <w:rsid w:val="00BE1B0F"/>
    <w:rsid w:val="00BE6214"/>
    <w:rsid w:val="00BE6870"/>
    <w:rsid w:val="00BF0176"/>
    <w:rsid w:val="00BF183B"/>
    <w:rsid w:val="00BF1A90"/>
    <w:rsid w:val="00C14331"/>
    <w:rsid w:val="00C17478"/>
    <w:rsid w:val="00C23E84"/>
    <w:rsid w:val="00C311B8"/>
    <w:rsid w:val="00C41045"/>
    <w:rsid w:val="00C4191B"/>
    <w:rsid w:val="00C43636"/>
    <w:rsid w:val="00C454F4"/>
    <w:rsid w:val="00C4774B"/>
    <w:rsid w:val="00C53500"/>
    <w:rsid w:val="00C64093"/>
    <w:rsid w:val="00C651AC"/>
    <w:rsid w:val="00C70FF5"/>
    <w:rsid w:val="00C71A0D"/>
    <w:rsid w:val="00C7766B"/>
    <w:rsid w:val="00C83C3B"/>
    <w:rsid w:val="00CB1348"/>
    <w:rsid w:val="00CC23D1"/>
    <w:rsid w:val="00CC4EBA"/>
    <w:rsid w:val="00CC7F98"/>
    <w:rsid w:val="00CD2278"/>
    <w:rsid w:val="00CE0D30"/>
    <w:rsid w:val="00CE4DCB"/>
    <w:rsid w:val="00CF2A78"/>
    <w:rsid w:val="00D022A5"/>
    <w:rsid w:val="00D15D1E"/>
    <w:rsid w:val="00D202D7"/>
    <w:rsid w:val="00D23A48"/>
    <w:rsid w:val="00D3150A"/>
    <w:rsid w:val="00D36232"/>
    <w:rsid w:val="00D37F0E"/>
    <w:rsid w:val="00D538D7"/>
    <w:rsid w:val="00D544DB"/>
    <w:rsid w:val="00D5632E"/>
    <w:rsid w:val="00D57F6D"/>
    <w:rsid w:val="00D611D4"/>
    <w:rsid w:val="00D6322A"/>
    <w:rsid w:val="00D9257B"/>
    <w:rsid w:val="00D93008"/>
    <w:rsid w:val="00D9603F"/>
    <w:rsid w:val="00D9729A"/>
    <w:rsid w:val="00DA2A11"/>
    <w:rsid w:val="00DB2CA2"/>
    <w:rsid w:val="00DB5B70"/>
    <w:rsid w:val="00DC2AED"/>
    <w:rsid w:val="00DC6676"/>
    <w:rsid w:val="00DD0938"/>
    <w:rsid w:val="00DD2BBF"/>
    <w:rsid w:val="00DD49E7"/>
    <w:rsid w:val="00DD5122"/>
    <w:rsid w:val="00DD6575"/>
    <w:rsid w:val="00DE0582"/>
    <w:rsid w:val="00DE7EC0"/>
    <w:rsid w:val="00DF2367"/>
    <w:rsid w:val="00E02346"/>
    <w:rsid w:val="00E048BF"/>
    <w:rsid w:val="00E23DED"/>
    <w:rsid w:val="00E25E79"/>
    <w:rsid w:val="00E2663D"/>
    <w:rsid w:val="00E367D4"/>
    <w:rsid w:val="00E4085B"/>
    <w:rsid w:val="00E43BA7"/>
    <w:rsid w:val="00E46C9F"/>
    <w:rsid w:val="00E46E8B"/>
    <w:rsid w:val="00E473B2"/>
    <w:rsid w:val="00E611AF"/>
    <w:rsid w:val="00E63CC0"/>
    <w:rsid w:val="00E6744A"/>
    <w:rsid w:val="00E71AC7"/>
    <w:rsid w:val="00E77CFD"/>
    <w:rsid w:val="00E80495"/>
    <w:rsid w:val="00E97A48"/>
    <w:rsid w:val="00EA750E"/>
    <w:rsid w:val="00EB06B6"/>
    <w:rsid w:val="00EB258E"/>
    <w:rsid w:val="00EB4465"/>
    <w:rsid w:val="00EB5B37"/>
    <w:rsid w:val="00EC11E4"/>
    <w:rsid w:val="00EC168C"/>
    <w:rsid w:val="00EC434B"/>
    <w:rsid w:val="00EC5F3B"/>
    <w:rsid w:val="00ED1A03"/>
    <w:rsid w:val="00ED1D8D"/>
    <w:rsid w:val="00ED3CCA"/>
    <w:rsid w:val="00EE29D7"/>
    <w:rsid w:val="00EE40E3"/>
    <w:rsid w:val="00EF0023"/>
    <w:rsid w:val="00EF61E7"/>
    <w:rsid w:val="00EF6A0A"/>
    <w:rsid w:val="00F02475"/>
    <w:rsid w:val="00F1065B"/>
    <w:rsid w:val="00F138A0"/>
    <w:rsid w:val="00F139DF"/>
    <w:rsid w:val="00F16705"/>
    <w:rsid w:val="00F212C3"/>
    <w:rsid w:val="00F250A9"/>
    <w:rsid w:val="00F260CE"/>
    <w:rsid w:val="00F279B5"/>
    <w:rsid w:val="00F334BF"/>
    <w:rsid w:val="00F4610A"/>
    <w:rsid w:val="00F47823"/>
    <w:rsid w:val="00F604DE"/>
    <w:rsid w:val="00F62403"/>
    <w:rsid w:val="00F65FE6"/>
    <w:rsid w:val="00F7572B"/>
    <w:rsid w:val="00F76143"/>
    <w:rsid w:val="00F83760"/>
    <w:rsid w:val="00F854BA"/>
    <w:rsid w:val="00F90990"/>
    <w:rsid w:val="00F95354"/>
    <w:rsid w:val="00F965CB"/>
    <w:rsid w:val="00FA0686"/>
    <w:rsid w:val="00FA4FFB"/>
    <w:rsid w:val="00FC019E"/>
    <w:rsid w:val="00FE10B5"/>
    <w:rsid w:val="00FE5E2E"/>
    <w:rsid w:val="00FE68BE"/>
    <w:rsid w:val="00FF2098"/>
    <w:rsid w:val="00FF6AC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7078">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202449021">
      <w:bodyDiv w:val="1"/>
      <w:marLeft w:val="0"/>
      <w:marRight w:val="0"/>
      <w:marTop w:val="0"/>
      <w:marBottom w:val="0"/>
      <w:divBdr>
        <w:top w:val="none" w:sz="0" w:space="0" w:color="auto"/>
        <w:left w:val="none" w:sz="0" w:space="0" w:color="auto"/>
        <w:bottom w:val="none" w:sz="0" w:space="0" w:color="auto"/>
        <w:right w:val="none" w:sz="0" w:space="0" w:color="auto"/>
      </w:divBdr>
    </w:div>
    <w:div w:id="346833911">
      <w:bodyDiv w:val="1"/>
      <w:marLeft w:val="0"/>
      <w:marRight w:val="0"/>
      <w:marTop w:val="0"/>
      <w:marBottom w:val="0"/>
      <w:divBdr>
        <w:top w:val="none" w:sz="0" w:space="0" w:color="auto"/>
        <w:left w:val="none" w:sz="0" w:space="0" w:color="auto"/>
        <w:bottom w:val="none" w:sz="0" w:space="0" w:color="auto"/>
        <w:right w:val="none" w:sz="0" w:space="0" w:color="auto"/>
      </w:divBdr>
    </w:div>
    <w:div w:id="535049950">
      <w:bodyDiv w:val="1"/>
      <w:marLeft w:val="0"/>
      <w:marRight w:val="0"/>
      <w:marTop w:val="0"/>
      <w:marBottom w:val="0"/>
      <w:divBdr>
        <w:top w:val="none" w:sz="0" w:space="0" w:color="auto"/>
        <w:left w:val="none" w:sz="0" w:space="0" w:color="auto"/>
        <w:bottom w:val="none" w:sz="0" w:space="0" w:color="auto"/>
        <w:right w:val="none" w:sz="0" w:space="0" w:color="auto"/>
      </w:divBdr>
    </w:div>
    <w:div w:id="545022175">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000349698">
      <w:bodyDiv w:val="1"/>
      <w:marLeft w:val="0"/>
      <w:marRight w:val="0"/>
      <w:marTop w:val="0"/>
      <w:marBottom w:val="0"/>
      <w:divBdr>
        <w:top w:val="none" w:sz="0" w:space="0" w:color="auto"/>
        <w:left w:val="none" w:sz="0" w:space="0" w:color="auto"/>
        <w:bottom w:val="none" w:sz="0" w:space="0" w:color="auto"/>
        <w:right w:val="none" w:sz="0" w:space="0" w:color="auto"/>
      </w:divBdr>
    </w:div>
    <w:div w:id="1128160651">
      <w:bodyDiv w:val="1"/>
      <w:marLeft w:val="0"/>
      <w:marRight w:val="0"/>
      <w:marTop w:val="0"/>
      <w:marBottom w:val="0"/>
      <w:divBdr>
        <w:top w:val="none" w:sz="0" w:space="0" w:color="auto"/>
        <w:left w:val="none" w:sz="0" w:space="0" w:color="auto"/>
        <w:bottom w:val="none" w:sz="0" w:space="0" w:color="auto"/>
        <w:right w:val="none" w:sz="0" w:space="0" w:color="auto"/>
      </w:divBdr>
    </w:div>
    <w:div w:id="1501653000">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63567790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947078961">
      <w:bodyDiv w:val="1"/>
      <w:marLeft w:val="0"/>
      <w:marRight w:val="0"/>
      <w:marTop w:val="0"/>
      <w:marBottom w:val="0"/>
      <w:divBdr>
        <w:top w:val="none" w:sz="0" w:space="0" w:color="auto"/>
        <w:left w:val="none" w:sz="0" w:space="0" w:color="auto"/>
        <w:bottom w:val="none" w:sz="0" w:space="0" w:color="auto"/>
        <w:right w:val="none" w:sz="0" w:space="0" w:color="auto"/>
      </w:divBdr>
    </w:div>
    <w:div w:id="19599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01cmpalarauca@cendoj.ramajudicial.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1ccarau@cendoj.ramajudicial.gov.co"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C403551FF8046895244BAA3681202" ma:contentTypeVersion="0" ma:contentTypeDescription="Create a new document." ma:contentTypeScope="" ma:versionID="7cc90ae8a11e9d944564962f6f521ef5">
  <xsd:schema xmlns:xsd="http://www.w3.org/2001/XMLSchema" xmlns:xs="http://www.w3.org/2001/XMLSchema" xmlns:p="http://schemas.microsoft.com/office/2006/metadata/properties" targetNamespace="http://schemas.microsoft.com/office/2006/metadata/properties" ma:root="true" ma:fieldsID="faa5759c619b2ce0735ea86607f85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D46A-7B43-4BEA-B998-4F5645A5E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7AFD5C-64DA-4E91-8D59-8C7800750C10}">
  <ds:schemaRefs>
    <ds:schemaRef ds:uri="http://schemas.microsoft.com/sharepoint/v3/contenttype/forms"/>
  </ds:schemaRefs>
</ds:datastoreItem>
</file>

<file path=customXml/itemProps3.xml><?xml version="1.0" encoding="utf-8"?>
<ds:datastoreItem xmlns:ds="http://schemas.openxmlformats.org/officeDocument/2006/customXml" ds:itemID="{C988A1FF-0C2A-44BC-BD43-86E592A0B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TotalTime>
  <Pages>6</Pages>
  <Words>1304</Words>
  <Characters>7174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Yuliana Valentina Jacome Duran</cp:lastModifiedBy>
  <cp:revision>4</cp:revision>
  <cp:lastPrinted>2025-02-27T20:19:00Z</cp:lastPrinted>
  <dcterms:created xsi:type="dcterms:W3CDTF">2025-02-27T20:06:00Z</dcterms:created>
  <dcterms:modified xsi:type="dcterms:W3CDTF">2025-02-27T20:19:00Z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0x0101003EFC403551FF8046895244BAA3681202</vt:lpwstr>
  </property>
</Properties>
</file>