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F85" w14:textId="77777777" w:rsidR="00591DCC" w:rsidRPr="00E94531" w:rsidRDefault="00591DCC" w:rsidP="00591DCC">
      <w:pPr>
        <w:spacing w:after="0" w:line="240" w:lineRule="auto"/>
        <w:jc w:val="both"/>
        <w:rPr>
          <w:rFonts w:ascii="Bookman Old Style" w:hAnsi="Bookman Old Style" w:cs="Tahoma"/>
          <w:sz w:val="28"/>
          <w:szCs w:val="28"/>
        </w:rPr>
      </w:pPr>
      <w:r w:rsidRPr="00E94531">
        <w:rPr>
          <w:rFonts w:ascii="Bookman Old Style" w:hAnsi="Bookman Old Style" w:cs="Tahoma"/>
          <w:sz w:val="28"/>
          <w:szCs w:val="28"/>
        </w:rPr>
        <w:t xml:space="preserve">Señores: </w:t>
      </w:r>
    </w:p>
    <w:p w14:paraId="47662132" w14:textId="6A3BA8A6" w:rsidR="00591DCC" w:rsidRPr="00E94531" w:rsidRDefault="00591DCC" w:rsidP="00591DCC">
      <w:pPr>
        <w:spacing w:after="0" w:line="240" w:lineRule="auto"/>
        <w:jc w:val="both"/>
        <w:rPr>
          <w:rFonts w:ascii="Bookman Old Style" w:hAnsi="Bookman Old Style" w:cs="Tahoma"/>
          <w:sz w:val="28"/>
          <w:szCs w:val="28"/>
        </w:rPr>
      </w:pPr>
      <w:r>
        <w:rPr>
          <w:rFonts w:ascii="Bookman Old Style" w:hAnsi="Bookman Old Style" w:cs="Tahoma"/>
          <w:sz w:val="28"/>
          <w:szCs w:val="28"/>
        </w:rPr>
        <w:t xml:space="preserve">Juzgado </w:t>
      </w:r>
      <w:r>
        <w:rPr>
          <w:rFonts w:ascii="Bookman Old Style" w:hAnsi="Bookman Old Style" w:cs="Tahoma"/>
          <w:sz w:val="28"/>
          <w:szCs w:val="28"/>
        </w:rPr>
        <w:t xml:space="preserve">38 Contencioso Administrativo de </w:t>
      </w:r>
      <w:r>
        <w:rPr>
          <w:rFonts w:ascii="Bookman Old Style" w:hAnsi="Bookman Old Style" w:cs="Tahoma"/>
          <w:sz w:val="28"/>
          <w:szCs w:val="28"/>
        </w:rPr>
        <w:t>Bogotá</w:t>
      </w:r>
      <w:r w:rsidRPr="00E94531">
        <w:rPr>
          <w:rFonts w:ascii="Bookman Old Style" w:hAnsi="Bookman Old Style" w:cs="Tahoma"/>
          <w:sz w:val="28"/>
          <w:szCs w:val="28"/>
        </w:rPr>
        <w:t xml:space="preserve">  </w:t>
      </w:r>
    </w:p>
    <w:p w14:paraId="341457A0" w14:textId="77777777" w:rsidR="00591DCC" w:rsidRPr="00E94531" w:rsidRDefault="00591DCC" w:rsidP="00591DCC">
      <w:pPr>
        <w:spacing w:after="0" w:line="240" w:lineRule="auto"/>
        <w:jc w:val="both"/>
        <w:rPr>
          <w:rFonts w:ascii="Bookman Old Style" w:hAnsi="Bookman Old Style" w:cs="Tahoma"/>
          <w:sz w:val="28"/>
          <w:szCs w:val="28"/>
        </w:rPr>
      </w:pPr>
      <w:r w:rsidRPr="00E94531">
        <w:rPr>
          <w:rFonts w:ascii="Bookman Old Style" w:hAnsi="Bookman Old Style" w:cs="Tahoma"/>
          <w:sz w:val="28"/>
          <w:szCs w:val="28"/>
        </w:rPr>
        <w:t xml:space="preserve">E.S.D.  </w:t>
      </w:r>
    </w:p>
    <w:p w14:paraId="0B727483" w14:textId="77777777" w:rsidR="00591DCC" w:rsidRPr="00E94531" w:rsidRDefault="00591DCC" w:rsidP="00591DCC">
      <w:pPr>
        <w:spacing w:line="240" w:lineRule="auto"/>
        <w:jc w:val="both"/>
        <w:rPr>
          <w:rFonts w:ascii="Bookman Old Style" w:hAnsi="Bookman Old Style" w:cs="Tahoma"/>
          <w:sz w:val="28"/>
          <w:szCs w:val="28"/>
        </w:rPr>
      </w:pPr>
      <w:r w:rsidRPr="00E94531">
        <w:rPr>
          <w:rFonts w:ascii="Bookman Old Style" w:hAnsi="Bookman Old Style" w:cs="Tahoma"/>
          <w:sz w:val="28"/>
          <w:szCs w:val="28"/>
        </w:rPr>
        <w:t xml:space="preserve"> </w:t>
      </w:r>
    </w:p>
    <w:tbl>
      <w:tblPr>
        <w:tblW w:w="9322" w:type="dxa"/>
        <w:tblLayout w:type="fixed"/>
        <w:tblLook w:val="0000" w:firstRow="0" w:lastRow="0" w:firstColumn="0" w:lastColumn="0" w:noHBand="0" w:noVBand="0"/>
      </w:tblPr>
      <w:tblGrid>
        <w:gridCol w:w="2235"/>
        <w:gridCol w:w="7087"/>
      </w:tblGrid>
      <w:tr w:rsidR="00591DCC" w:rsidRPr="00B76A91" w14:paraId="73BE8D6D" w14:textId="77777777" w:rsidTr="00651D97">
        <w:tc>
          <w:tcPr>
            <w:tcW w:w="2235" w:type="dxa"/>
          </w:tcPr>
          <w:p w14:paraId="40EC81D5" w14:textId="77777777" w:rsidR="00591DCC" w:rsidRPr="00B76A91" w:rsidRDefault="00591DCC" w:rsidP="00651D97">
            <w:pPr>
              <w:spacing w:after="0" w:line="240" w:lineRule="auto"/>
              <w:rPr>
                <w:rFonts w:ascii="Bookman Old Style" w:eastAsia="Verdana" w:hAnsi="Bookman Old Style" w:cs="Verdana"/>
                <w:sz w:val="28"/>
                <w:szCs w:val="28"/>
              </w:rPr>
            </w:pPr>
          </w:p>
        </w:tc>
        <w:tc>
          <w:tcPr>
            <w:tcW w:w="7087" w:type="dxa"/>
          </w:tcPr>
          <w:p w14:paraId="4C3DA3B7" w14:textId="77777777" w:rsidR="00591DCC" w:rsidRPr="00B76A91" w:rsidRDefault="00591DCC" w:rsidP="00651D97">
            <w:pPr>
              <w:spacing w:after="0" w:line="240" w:lineRule="auto"/>
              <w:rPr>
                <w:rFonts w:ascii="Bookman Old Style" w:eastAsia="Verdana" w:hAnsi="Bookman Old Style" w:cs="Verdana"/>
                <w:sz w:val="28"/>
                <w:szCs w:val="28"/>
              </w:rPr>
            </w:pPr>
          </w:p>
        </w:tc>
      </w:tr>
      <w:tr w:rsidR="00591DCC" w:rsidRPr="00B76A91" w14:paraId="527DF9BE" w14:textId="77777777" w:rsidTr="00651D97">
        <w:tc>
          <w:tcPr>
            <w:tcW w:w="2235" w:type="dxa"/>
          </w:tcPr>
          <w:p w14:paraId="704488A7" w14:textId="77777777" w:rsidR="00591DCC" w:rsidRPr="00B76A91" w:rsidRDefault="00591DCC" w:rsidP="00651D97">
            <w:pPr>
              <w:spacing w:after="0" w:line="480" w:lineRule="auto"/>
              <w:rPr>
                <w:rFonts w:ascii="Bookman Old Style" w:eastAsia="Verdana" w:hAnsi="Bookman Old Style" w:cs="Verdana"/>
                <w:sz w:val="28"/>
                <w:szCs w:val="28"/>
              </w:rPr>
            </w:pPr>
            <w:r>
              <w:rPr>
                <w:rFonts w:ascii="Bookman Old Style" w:hAnsi="Bookman Old Style" w:cs="Tahoma"/>
                <w:sz w:val="28"/>
                <w:szCs w:val="28"/>
              </w:rPr>
              <w:t xml:space="preserve"> </w:t>
            </w:r>
            <w:r w:rsidRPr="00B76A91">
              <w:rPr>
                <w:rFonts w:ascii="Bookman Old Style" w:eastAsia="Verdana" w:hAnsi="Bookman Old Style" w:cs="Verdana"/>
                <w:b/>
                <w:sz w:val="28"/>
                <w:szCs w:val="28"/>
              </w:rPr>
              <w:t>Referencia:</w:t>
            </w:r>
          </w:p>
        </w:tc>
        <w:tc>
          <w:tcPr>
            <w:tcW w:w="7087" w:type="dxa"/>
          </w:tcPr>
          <w:p w14:paraId="103B6AD4" w14:textId="23349B26" w:rsidR="00591DCC" w:rsidRPr="00B76A91" w:rsidRDefault="00591DCC" w:rsidP="00651D97">
            <w:pPr>
              <w:spacing w:after="0" w:line="480" w:lineRule="auto"/>
              <w:rPr>
                <w:rFonts w:ascii="Bookman Old Style" w:eastAsia="Verdana" w:hAnsi="Bookman Old Style" w:cs="Verdana"/>
                <w:sz w:val="28"/>
                <w:szCs w:val="28"/>
              </w:rPr>
            </w:pPr>
            <w:r>
              <w:rPr>
                <w:rFonts w:ascii="Bookman Old Style" w:eastAsia="Verdana" w:hAnsi="Bookman Old Style" w:cs="Verdana"/>
                <w:sz w:val="28"/>
                <w:szCs w:val="28"/>
              </w:rPr>
              <w:t xml:space="preserve">Control de reparación directa. </w:t>
            </w:r>
          </w:p>
        </w:tc>
      </w:tr>
    </w:tbl>
    <w:p w14:paraId="45E2C6BD" w14:textId="77777777" w:rsidR="00591DCC" w:rsidRPr="006337F4" w:rsidRDefault="00591DCC" w:rsidP="00591DCC">
      <w:pPr>
        <w:spacing w:after="0" w:line="240" w:lineRule="auto"/>
        <w:rPr>
          <w:rFonts w:ascii="Times New Roman" w:eastAsia="Times New Roman" w:hAnsi="Times New Roman" w:cs="Times New Roman"/>
          <w:kern w:val="0"/>
          <w:sz w:val="24"/>
          <w:szCs w:val="24"/>
          <w:lang w:eastAsia="es-CO"/>
          <w14:ligatures w14:val="none"/>
        </w:rPr>
      </w:pPr>
      <w:r>
        <w:rPr>
          <w:rFonts w:ascii="Bookman Old Style" w:hAnsi="Bookman Old Style" w:cs="Tahoma"/>
          <w:b/>
          <w:bCs/>
          <w:sz w:val="28"/>
          <w:szCs w:val="28"/>
        </w:rPr>
        <w:t xml:space="preserve"> </w:t>
      </w:r>
    </w:p>
    <w:p w14:paraId="2B96C697" w14:textId="695090B0" w:rsidR="00591DCC" w:rsidRDefault="00591DCC" w:rsidP="00591DCC">
      <w:pPr>
        <w:spacing w:after="0" w:line="240" w:lineRule="auto"/>
        <w:jc w:val="both"/>
        <w:rPr>
          <w:rFonts w:ascii="Bookman Old Style" w:eastAsia="Times New Roman" w:hAnsi="Bookman Old Style" w:cs="Times New Roman"/>
          <w:color w:val="000000"/>
          <w:kern w:val="0"/>
          <w:sz w:val="28"/>
          <w:szCs w:val="28"/>
          <w:lang w:eastAsia="es-CO"/>
          <w14:ligatures w14:val="none"/>
        </w:rPr>
      </w:pPr>
      <w:proofErr w:type="spellStart"/>
      <w:r>
        <w:rPr>
          <w:rFonts w:ascii="Bookman Old Style" w:eastAsia="Times New Roman" w:hAnsi="Bookman Old Style" w:cs="Times New Roman"/>
          <w:color w:val="000000"/>
          <w:kern w:val="0"/>
          <w:sz w:val="28"/>
          <w:szCs w:val="28"/>
          <w:lang w:eastAsia="es-CO"/>
          <w14:ligatures w14:val="none"/>
        </w:rPr>
        <w:t>Exp</w:t>
      </w:r>
      <w:proofErr w:type="spellEnd"/>
      <w:r>
        <w:rPr>
          <w:rFonts w:ascii="Bookman Old Style" w:eastAsia="Times New Roman" w:hAnsi="Bookman Old Style" w:cs="Times New Roman"/>
          <w:color w:val="000000"/>
          <w:kern w:val="0"/>
          <w:sz w:val="28"/>
          <w:szCs w:val="28"/>
          <w:lang w:eastAsia="es-CO"/>
          <w14:ligatures w14:val="none"/>
        </w:rPr>
        <w:t xml:space="preserve">: 1100133360382020190009600. </w:t>
      </w:r>
    </w:p>
    <w:p w14:paraId="6ABE2BEC" w14:textId="77777777" w:rsidR="00591DCC" w:rsidRDefault="00591DCC" w:rsidP="00591DCC">
      <w:pPr>
        <w:spacing w:after="0" w:line="240" w:lineRule="auto"/>
        <w:jc w:val="both"/>
        <w:rPr>
          <w:rFonts w:ascii="Bookman Old Style" w:eastAsia="Times New Roman" w:hAnsi="Bookman Old Style" w:cs="Times New Roman"/>
          <w:color w:val="000000"/>
          <w:kern w:val="0"/>
          <w:sz w:val="28"/>
          <w:szCs w:val="28"/>
          <w:lang w:eastAsia="es-CO"/>
          <w14:ligatures w14:val="none"/>
        </w:rPr>
      </w:pPr>
    </w:p>
    <w:p w14:paraId="6F834431" w14:textId="7C393945" w:rsidR="00591DCC" w:rsidRDefault="00591DCC" w:rsidP="00591DCC">
      <w:pPr>
        <w:spacing w:after="0" w:line="240" w:lineRule="auto"/>
        <w:jc w:val="both"/>
        <w:rPr>
          <w:rFonts w:ascii="Bookman Old Style" w:eastAsia="Times New Roman" w:hAnsi="Bookman Old Style" w:cs="Times New Roman"/>
          <w:color w:val="000000"/>
          <w:kern w:val="0"/>
          <w:sz w:val="28"/>
          <w:szCs w:val="28"/>
          <w:lang w:eastAsia="es-CO"/>
          <w14:ligatures w14:val="none"/>
        </w:rPr>
      </w:pPr>
      <w:r>
        <w:rPr>
          <w:rFonts w:ascii="Bookman Old Style" w:eastAsia="Times New Roman" w:hAnsi="Bookman Old Style" w:cs="Times New Roman"/>
          <w:color w:val="000000"/>
          <w:kern w:val="0"/>
          <w:sz w:val="28"/>
          <w:szCs w:val="28"/>
          <w:lang w:eastAsia="es-CO"/>
          <w14:ligatures w14:val="none"/>
        </w:rPr>
        <w:t xml:space="preserve">De: Salustiano </w:t>
      </w:r>
      <w:proofErr w:type="spellStart"/>
      <w:r>
        <w:rPr>
          <w:rFonts w:ascii="Bookman Old Style" w:eastAsia="Times New Roman" w:hAnsi="Bookman Old Style" w:cs="Times New Roman"/>
          <w:color w:val="000000"/>
          <w:kern w:val="0"/>
          <w:sz w:val="28"/>
          <w:szCs w:val="28"/>
          <w:lang w:eastAsia="es-CO"/>
          <w14:ligatures w14:val="none"/>
        </w:rPr>
        <w:t>Licht</w:t>
      </w:r>
      <w:proofErr w:type="spellEnd"/>
      <w:r>
        <w:rPr>
          <w:rFonts w:ascii="Bookman Old Style" w:eastAsia="Times New Roman" w:hAnsi="Bookman Old Style" w:cs="Times New Roman"/>
          <w:color w:val="000000"/>
          <w:kern w:val="0"/>
          <w:sz w:val="28"/>
          <w:szCs w:val="28"/>
          <w:lang w:eastAsia="es-CO"/>
          <w14:ligatures w14:val="none"/>
        </w:rPr>
        <w:t xml:space="preserve"> Rueda </w:t>
      </w:r>
    </w:p>
    <w:p w14:paraId="03AC7C55" w14:textId="77777777" w:rsidR="00A6758C" w:rsidRDefault="00591DCC" w:rsidP="00591DCC">
      <w:pPr>
        <w:spacing w:after="0" w:line="240" w:lineRule="auto"/>
        <w:jc w:val="both"/>
        <w:rPr>
          <w:rFonts w:ascii="Bookman Old Style" w:eastAsia="Times New Roman" w:hAnsi="Bookman Old Style" w:cs="Times New Roman"/>
          <w:color w:val="000000"/>
          <w:kern w:val="0"/>
          <w:sz w:val="28"/>
          <w:szCs w:val="28"/>
          <w:lang w:eastAsia="es-CO"/>
          <w14:ligatures w14:val="none"/>
        </w:rPr>
      </w:pPr>
      <w:r>
        <w:rPr>
          <w:rFonts w:ascii="Bookman Old Style" w:eastAsia="Times New Roman" w:hAnsi="Bookman Old Style" w:cs="Times New Roman"/>
          <w:color w:val="000000"/>
          <w:kern w:val="0"/>
          <w:sz w:val="28"/>
          <w:szCs w:val="28"/>
          <w:lang w:eastAsia="es-CO"/>
          <w14:ligatures w14:val="none"/>
        </w:rPr>
        <w:t>Contra: Transmilenio y otros.</w:t>
      </w:r>
    </w:p>
    <w:p w14:paraId="3559A907" w14:textId="5E97E156" w:rsidR="00591DCC" w:rsidRDefault="00591DCC" w:rsidP="00591DCC">
      <w:pPr>
        <w:spacing w:after="0" w:line="240" w:lineRule="auto"/>
        <w:jc w:val="both"/>
        <w:rPr>
          <w:rFonts w:ascii="Bookman Old Style" w:eastAsia="Times New Roman" w:hAnsi="Bookman Old Style" w:cs="Times New Roman"/>
          <w:color w:val="000000"/>
          <w:kern w:val="0"/>
          <w:sz w:val="28"/>
          <w:szCs w:val="28"/>
          <w:lang w:eastAsia="es-CO"/>
          <w14:ligatures w14:val="none"/>
        </w:rPr>
      </w:pPr>
      <w:r>
        <w:rPr>
          <w:rFonts w:ascii="Bookman Old Style" w:eastAsia="Times New Roman" w:hAnsi="Bookman Old Style" w:cs="Times New Roman"/>
          <w:color w:val="000000"/>
          <w:kern w:val="0"/>
          <w:sz w:val="28"/>
          <w:szCs w:val="28"/>
          <w:lang w:eastAsia="es-CO"/>
          <w14:ligatures w14:val="none"/>
        </w:rPr>
        <w:t xml:space="preserve"> </w:t>
      </w:r>
    </w:p>
    <w:p w14:paraId="524D5D01" w14:textId="77777777" w:rsidR="00591DCC" w:rsidRPr="006337F4" w:rsidRDefault="00591DCC" w:rsidP="00591DCC">
      <w:pPr>
        <w:spacing w:after="0" w:line="240" w:lineRule="auto"/>
        <w:jc w:val="both"/>
        <w:rPr>
          <w:rFonts w:ascii="Times New Roman" w:eastAsia="Times New Roman" w:hAnsi="Times New Roman" w:cs="Times New Roman"/>
          <w:kern w:val="0"/>
          <w:sz w:val="24"/>
          <w:szCs w:val="24"/>
          <w:lang w:eastAsia="es-CO"/>
          <w14:ligatures w14:val="none"/>
        </w:rPr>
      </w:pPr>
    </w:p>
    <w:p w14:paraId="7CF5DA82" w14:textId="17F29F8D" w:rsidR="00591DCC" w:rsidRPr="006337F4" w:rsidRDefault="00591DCC" w:rsidP="00591DCC">
      <w:pPr>
        <w:spacing w:after="0" w:line="240" w:lineRule="auto"/>
        <w:jc w:val="both"/>
        <w:rPr>
          <w:rFonts w:ascii="Times New Roman" w:eastAsia="Times New Roman" w:hAnsi="Times New Roman" w:cs="Times New Roman"/>
          <w:kern w:val="0"/>
          <w:sz w:val="24"/>
          <w:szCs w:val="24"/>
          <w:lang w:eastAsia="es-CO"/>
          <w14:ligatures w14:val="none"/>
        </w:rPr>
      </w:pPr>
      <w:r>
        <w:rPr>
          <w:rFonts w:ascii="Bookman Old Style" w:eastAsia="Times New Roman" w:hAnsi="Bookman Old Style" w:cs="Times New Roman"/>
          <w:color w:val="000000"/>
          <w:kern w:val="0"/>
          <w:sz w:val="28"/>
          <w:szCs w:val="28"/>
          <w:lang w:eastAsia="es-CO"/>
          <w14:ligatures w14:val="none"/>
        </w:rPr>
        <w:t xml:space="preserve">        Asunto: </w:t>
      </w:r>
      <w:r>
        <w:rPr>
          <w:rFonts w:ascii="Bookman Old Style" w:eastAsia="Times New Roman" w:hAnsi="Bookman Old Style" w:cs="Times New Roman"/>
          <w:color w:val="000000"/>
          <w:kern w:val="0"/>
          <w:sz w:val="28"/>
          <w:szCs w:val="28"/>
          <w:lang w:eastAsia="es-CO"/>
          <w14:ligatures w14:val="none"/>
        </w:rPr>
        <w:t>Alegatos de Conclusión</w:t>
      </w:r>
    </w:p>
    <w:p w14:paraId="7ECCA3AF" w14:textId="77777777" w:rsidR="00591DCC" w:rsidRPr="00E94531" w:rsidRDefault="00591DCC" w:rsidP="00591DCC">
      <w:pPr>
        <w:spacing w:line="480" w:lineRule="auto"/>
        <w:jc w:val="both"/>
        <w:rPr>
          <w:rFonts w:ascii="Bookman Old Style" w:hAnsi="Bookman Old Style" w:cs="Tahoma"/>
          <w:sz w:val="28"/>
          <w:szCs w:val="28"/>
        </w:rPr>
      </w:pPr>
    </w:p>
    <w:p w14:paraId="0BB07786" w14:textId="7F95C007" w:rsidR="00591DCC" w:rsidRDefault="00591DCC" w:rsidP="00591DCC">
      <w:pPr>
        <w:spacing w:line="480" w:lineRule="auto"/>
        <w:jc w:val="both"/>
        <w:rPr>
          <w:rFonts w:ascii="Bookman Old Style" w:hAnsi="Bookman Old Style" w:cs="Tahoma"/>
          <w:sz w:val="28"/>
          <w:szCs w:val="28"/>
        </w:rPr>
      </w:pPr>
      <w:r>
        <w:rPr>
          <w:rFonts w:ascii="Bookman Old Style" w:hAnsi="Bookman Old Style" w:cs="Tahoma"/>
          <w:sz w:val="28"/>
          <w:szCs w:val="28"/>
        </w:rPr>
        <w:t xml:space="preserve">           Edward Herrera Guerrero identificado con Cédula de Ciudadanía N° 80162698 de Bogotá, con Tarjeta Profesional 245433 CSJ, en nombre y representación de l</w:t>
      </w:r>
      <w:r>
        <w:rPr>
          <w:rFonts w:ascii="Bookman Old Style" w:hAnsi="Bookman Old Style" w:cs="Tahoma"/>
          <w:sz w:val="28"/>
          <w:szCs w:val="28"/>
        </w:rPr>
        <w:t xml:space="preserve">os demandantes con el respeto acostumbrado presento los alegatos de conclusión y me pronuncio así: </w:t>
      </w:r>
    </w:p>
    <w:p w14:paraId="02A15311" w14:textId="77777777" w:rsidR="00591DCC" w:rsidRDefault="00591DCC" w:rsidP="00591DCC">
      <w:pPr>
        <w:spacing w:line="480" w:lineRule="auto"/>
        <w:jc w:val="both"/>
        <w:rPr>
          <w:rFonts w:ascii="Bookman Old Style" w:hAnsi="Bookman Old Style" w:cs="Tahoma"/>
          <w:sz w:val="28"/>
          <w:szCs w:val="28"/>
        </w:rPr>
      </w:pPr>
    </w:p>
    <w:p w14:paraId="4D426C17" w14:textId="72B36CB1" w:rsidR="00591DCC" w:rsidRDefault="00591DCC" w:rsidP="00591DCC">
      <w:pPr>
        <w:pStyle w:val="Prrafodelista"/>
        <w:numPr>
          <w:ilvl w:val="0"/>
          <w:numId w:val="1"/>
        </w:numPr>
        <w:spacing w:line="480" w:lineRule="auto"/>
        <w:jc w:val="center"/>
        <w:rPr>
          <w:rFonts w:ascii="Bookman Old Style" w:hAnsi="Bookman Old Style" w:cs="Tahoma"/>
          <w:b/>
          <w:bCs/>
          <w:sz w:val="28"/>
          <w:szCs w:val="28"/>
        </w:rPr>
      </w:pPr>
      <w:r w:rsidRPr="00591DCC">
        <w:rPr>
          <w:rFonts w:ascii="Bookman Old Style" w:hAnsi="Bookman Old Style" w:cs="Tahoma"/>
          <w:b/>
          <w:bCs/>
          <w:sz w:val="28"/>
          <w:szCs w:val="28"/>
        </w:rPr>
        <w:t>Alegatos de conclusión</w:t>
      </w:r>
    </w:p>
    <w:p w14:paraId="4E7439A6" w14:textId="77777777" w:rsidR="00591DCC" w:rsidRDefault="00591DCC" w:rsidP="00591DCC">
      <w:pPr>
        <w:pStyle w:val="Prrafodelista"/>
        <w:spacing w:line="480" w:lineRule="auto"/>
        <w:ind w:left="1080"/>
        <w:jc w:val="both"/>
        <w:rPr>
          <w:rFonts w:ascii="Bookman Old Style" w:hAnsi="Bookman Old Style" w:cs="Tahoma"/>
          <w:b/>
          <w:bCs/>
          <w:sz w:val="28"/>
          <w:szCs w:val="28"/>
        </w:rPr>
      </w:pPr>
    </w:p>
    <w:p w14:paraId="7F84F270" w14:textId="794D5114" w:rsidR="00591DCC" w:rsidRDefault="00591DCC" w:rsidP="00591DCC">
      <w:pPr>
        <w:pStyle w:val="Prrafodelista"/>
        <w:numPr>
          <w:ilvl w:val="0"/>
          <w:numId w:val="2"/>
        </w:numPr>
        <w:spacing w:line="480" w:lineRule="auto"/>
        <w:jc w:val="both"/>
        <w:rPr>
          <w:rFonts w:ascii="Bookman Old Style" w:hAnsi="Bookman Old Style" w:cs="Tahoma"/>
          <w:sz w:val="28"/>
          <w:szCs w:val="28"/>
        </w:rPr>
      </w:pPr>
      <w:r w:rsidRPr="00591DCC">
        <w:rPr>
          <w:rFonts w:ascii="Bookman Old Style" w:hAnsi="Bookman Old Style" w:cs="Tahoma"/>
          <w:sz w:val="28"/>
          <w:szCs w:val="28"/>
        </w:rPr>
        <w:t xml:space="preserve">Demostrado está que el joven Leonardo </w:t>
      </w:r>
      <w:proofErr w:type="spellStart"/>
      <w:r w:rsidRPr="00591DCC">
        <w:rPr>
          <w:rFonts w:ascii="Bookman Old Style" w:hAnsi="Bookman Old Style" w:cs="Tahoma"/>
          <w:sz w:val="28"/>
          <w:szCs w:val="28"/>
        </w:rPr>
        <w:t>Licht</w:t>
      </w:r>
      <w:proofErr w:type="spellEnd"/>
      <w:r w:rsidRPr="00591DCC">
        <w:rPr>
          <w:rFonts w:ascii="Bookman Old Style" w:hAnsi="Bookman Old Style" w:cs="Tahoma"/>
          <w:sz w:val="28"/>
          <w:szCs w:val="28"/>
        </w:rPr>
        <w:t xml:space="preserve"> Rueda </w:t>
      </w:r>
      <w:proofErr w:type="spellStart"/>
      <w:r w:rsidRPr="00591DCC">
        <w:rPr>
          <w:rFonts w:ascii="Bookman Old Style" w:hAnsi="Bookman Old Style" w:cs="Tahoma"/>
          <w:sz w:val="28"/>
          <w:szCs w:val="28"/>
        </w:rPr>
        <w:t>q.e.p.d</w:t>
      </w:r>
      <w:proofErr w:type="spellEnd"/>
      <w:r w:rsidRPr="00591DCC">
        <w:rPr>
          <w:rFonts w:ascii="Bookman Old Style" w:hAnsi="Bookman Old Style" w:cs="Tahoma"/>
          <w:sz w:val="28"/>
          <w:szCs w:val="28"/>
        </w:rPr>
        <w:t xml:space="preserve">, al momento del deceso estaba laborando para recaudo </w:t>
      </w:r>
      <w:r w:rsidRPr="00591DCC">
        <w:rPr>
          <w:rFonts w:ascii="Bookman Old Style" w:hAnsi="Bookman Old Style" w:cs="Tahoma"/>
          <w:sz w:val="28"/>
          <w:szCs w:val="28"/>
        </w:rPr>
        <w:lastRenderedPageBreak/>
        <w:t>Bogotá, quien prest</w:t>
      </w:r>
      <w:r w:rsidR="00A6758C">
        <w:rPr>
          <w:rFonts w:ascii="Bookman Old Style" w:hAnsi="Bookman Old Style" w:cs="Tahoma"/>
          <w:sz w:val="28"/>
          <w:szCs w:val="28"/>
        </w:rPr>
        <w:t>ó</w:t>
      </w:r>
      <w:r w:rsidRPr="00591DCC">
        <w:rPr>
          <w:rFonts w:ascii="Bookman Old Style" w:hAnsi="Bookman Old Style" w:cs="Tahoma"/>
          <w:sz w:val="28"/>
          <w:szCs w:val="28"/>
        </w:rPr>
        <w:t xml:space="preserve"> el servicio </w:t>
      </w:r>
      <w:r>
        <w:rPr>
          <w:rFonts w:ascii="Bookman Old Style" w:hAnsi="Bookman Old Style" w:cs="Tahoma"/>
          <w:sz w:val="28"/>
          <w:szCs w:val="28"/>
        </w:rPr>
        <w:t>a</w:t>
      </w:r>
      <w:r w:rsidRPr="00591DCC">
        <w:rPr>
          <w:rFonts w:ascii="Bookman Old Style" w:hAnsi="Bookman Old Style" w:cs="Tahoma"/>
          <w:sz w:val="28"/>
          <w:szCs w:val="28"/>
        </w:rPr>
        <w:t xml:space="preserve"> Transmilenio</w:t>
      </w:r>
      <w:r w:rsidR="0078303D">
        <w:rPr>
          <w:rFonts w:ascii="Bookman Old Style" w:hAnsi="Bookman Old Style" w:cs="Tahoma"/>
          <w:sz w:val="28"/>
          <w:szCs w:val="28"/>
        </w:rPr>
        <w:t xml:space="preserve">, en la estación de la Jiménez, quien fue ultimado con un arma blanca, por un criminal al pedirle que cancelara el pasaje de Transmilenio. </w:t>
      </w:r>
    </w:p>
    <w:p w14:paraId="2854092F" w14:textId="1AB1903B" w:rsidR="0078303D" w:rsidRDefault="0078303D"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Demostrado quedó del proceso penal que el condenado aceptó que finiquito la vida del Joven </w:t>
      </w:r>
      <w:proofErr w:type="spellStart"/>
      <w:r>
        <w:rPr>
          <w:rFonts w:ascii="Bookman Old Style" w:hAnsi="Bookman Old Style" w:cs="Tahoma"/>
          <w:sz w:val="28"/>
          <w:szCs w:val="28"/>
        </w:rPr>
        <w:t>Licht</w:t>
      </w:r>
      <w:proofErr w:type="spellEnd"/>
      <w:r>
        <w:rPr>
          <w:rFonts w:ascii="Bookman Old Style" w:hAnsi="Bookman Old Style" w:cs="Tahoma"/>
          <w:sz w:val="28"/>
          <w:szCs w:val="28"/>
        </w:rPr>
        <w:t xml:space="preserve">, porque, le pidió que cancelará el pasaje de Transmilenio, confesó que le quitó la vida con </w:t>
      </w:r>
      <w:r w:rsidR="00A6758C">
        <w:rPr>
          <w:rFonts w:ascii="Bookman Old Style" w:hAnsi="Bookman Old Style" w:cs="Tahoma"/>
          <w:sz w:val="28"/>
          <w:szCs w:val="28"/>
        </w:rPr>
        <w:t>un arma blanca y</w:t>
      </w:r>
      <w:r>
        <w:rPr>
          <w:rFonts w:ascii="Bookman Old Style" w:hAnsi="Bookman Old Style" w:cs="Tahoma"/>
          <w:sz w:val="28"/>
          <w:szCs w:val="28"/>
        </w:rPr>
        <w:t xml:space="preserve"> una puñalada en el tórax. </w:t>
      </w:r>
    </w:p>
    <w:p w14:paraId="2EE8BAB9" w14:textId="0C3CD916" w:rsidR="00591DCC" w:rsidRDefault="00591DCC"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Demostrado está que el joven </w:t>
      </w:r>
      <w:proofErr w:type="spellStart"/>
      <w:r w:rsidR="0078303D">
        <w:rPr>
          <w:rFonts w:ascii="Bookman Old Style" w:hAnsi="Bookman Old Style" w:cs="Tahoma"/>
          <w:sz w:val="28"/>
          <w:szCs w:val="28"/>
        </w:rPr>
        <w:t>L</w:t>
      </w:r>
      <w:r>
        <w:rPr>
          <w:rFonts w:ascii="Bookman Old Style" w:hAnsi="Bookman Old Style" w:cs="Tahoma"/>
          <w:sz w:val="28"/>
          <w:szCs w:val="28"/>
        </w:rPr>
        <w:t>icht</w:t>
      </w:r>
      <w:proofErr w:type="spellEnd"/>
      <w:r>
        <w:rPr>
          <w:rFonts w:ascii="Bookman Old Style" w:hAnsi="Bookman Old Style" w:cs="Tahoma"/>
          <w:sz w:val="28"/>
          <w:szCs w:val="28"/>
        </w:rPr>
        <w:t xml:space="preserve"> Rueda </w:t>
      </w:r>
      <w:proofErr w:type="spellStart"/>
      <w:r>
        <w:rPr>
          <w:rFonts w:ascii="Bookman Old Style" w:hAnsi="Bookman Old Style" w:cs="Tahoma"/>
          <w:sz w:val="28"/>
          <w:szCs w:val="28"/>
        </w:rPr>
        <w:t>q.e.p.d</w:t>
      </w:r>
      <w:proofErr w:type="spellEnd"/>
      <w:r>
        <w:rPr>
          <w:rFonts w:ascii="Bookman Old Style" w:hAnsi="Bookman Old Style" w:cs="Tahoma"/>
          <w:sz w:val="28"/>
          <w:szCs w:val="28"/>
        </w:rPr>
        <w:t>,</w:t>
      </w:r>
      <w:r w:rsidR="0078303D">
        <w:rPr>
          <w:rFonts w:ascii="Bookman Old Style" w:hAnsi="Bookman Old Style" w:cs="Tahoma"/>
          <w:sz w:val="28"/>
          <w:szCs w:val="28"/>
        </w:rPr>
        <w:t xml:space="preserve"> para el momento de su muerte violenta, estaba convencido que su cargo era evitar que las personas pagaran su pasaje de transporte en Transmilenio. </w:t>
      </w:r>
    </w:p>
    <w:p w14:paraId="3D0EE4EC" w14:textId="476E9D40" w:rsidR="0078303D" w:rsidRDefault="0078303D"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Demostrado está que el joven </w:t>
      </w:r>
      <w:proofErr w:type="spellStart"/>
      <w:r>
        <w:rPr>
          <w:rFonts w:ascii="Bookman Old Style" w:hAnsi="Bookman Old Style" w:cs="Tahoma"/>
          <w:sz w:val="28"/>
          <w:szCs w:val="28"/>
        </w:rPr>
        <w:t>Licht</w:t>
      </w:r>
      <w:proofErr w:type="spellEnd"/>
      <w:r>
        <w:rPr>
          <w:rFonts w:ascii="Bookman Old Style" w:hAnsi="Bookman Old Style" w:cs="Tahoma"/>
          <w:sz w:val="28"/>
          <w:szCs w:val="28"/>
        </w:rPr>
        <w:t xml:space="preserve">, para ese domingo 17 de enero de 2017, </w:t>
      </w:r>
      <w:r w:rsidR="00683AC4">
        <w:rPr>
          <w:rFonts w:ascii="Bookman Old Style" w:hAnsi="Bookman Old Style" w:cs="Tahoma"/>
          <w:sz w:val="28"/>
          <w:szCs w:val="28"/>
        </w:rPr>
        <w:t>sobre las 10 A-M, se encontraba sin compañía de autoridad de policía, sin compañía de vigilantes, sin elementos de seguridad que pudieran evitar el siniestro que le quitó la vida</w:t>
      </w:r>
      <w:r w:rsidR="00A6758C">
        <w:rPr>
          <w:rFonts w:ascii="Bookman Old Style" w:hAnsi="Bookman Old Style" w:cs="Tahoma"/>
          <w:sz w:val="28"/>
          <w:szCs w:val="28"/>
        </w:rPr>
        <w:t xml:space="preserve">, muy a pesar de ser un sitio de alta accidentalidad, como inminente peligro, siendo una de las estaciones más inseguras y violentas de la capital, </w:t>
      </w:r>
      <w:r w:rsidR="00A6758C">
        <w:rPr>
          <w:rFonts w:ascii="Bookman Old Style" w:hAnsi="Bookman Old Style" w:cs="Tahoma"/>
          <w:sz w:val="28"/>
          <w:szCs w:val="28"/>
        </w:rPr>
        <w:lastRenderedPageBreak/>
        <w:t xml:space="preserve">muy a sabiendas de varios siniestros en oportunidades pasadas y a pesar de conocer el índice de criminalidad en ese sector y que el domingo sobre las horas de la mañana, llegaban borrachos, indigentes, ladrones, ñeros, pordioseros, prostitutas a colarse en esa estación de Transmilenio, para nadie es un secreto y es un hecho notorio y conocido por todos los colombianos, que estaba en esa oportunidad el Bronx, los traficantes de drogas de mayor y menudeo, los jaladores, los ladrones, es un sitio imperdible por sus características conocido por sus índices de criminalidad. </w:t>
      </w:r>
      <w:r w:rsidR="00683AC4">
        <w:rPr>
          <w:rFonts w:ascii="Bookman Old Style" w:hAnsi="Bookman Old Style" w:cs="Tahoma"/>
          <w:sz w:val="28"/>
          <w:szCs w:val="28"/>
        </w:rPr>
        <w:t xml:space="preserve"> </w:t>
      </w:r>
    </w:p>
    <w:p w14:paraId="23A48507" w14:textId="62795B14" w:rsidR="00683AC4" w:rsidRDefault="00683AC4"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Esta demostrado que para Transmilenio S.A, para esa época interpretaba que el joven </w:t>
      </w:r>
      <w:proofErr w:type="spellStart"/>
      <w:r>
        <w:rPr>
          <w:rFonts w:ascii="Bookman Old Style" w:hAnsi="Bookman Old Style" w:cs="Tahoma"/>
          <w:sz w:val="28"/>
          <w:szCs w:val="28"/>
        </w:rPr>
        <w:t>Licht</w:t>
      </w:r>
      <w:proofErr w:type="spellEnd"/>
      <w:r>
        <w:rPr>
          <w:rFonts w:ascii="Bookman Old Style" w:hAnsi="Bookman Old Style" w:cs="Tahoma"/>
          <w:sz w:val="28"/>
          <w:szCs w:val="28"/>
        </w:rPr>
        <w:t xml:space="preserve"> </w:t>
      </w:r>
      <w:proofErr w:type="spellStart"/>
      <w:r>
        <w:rPr>
          <w:rFonts w:ascii="Bookman Old Style" w:hAnsi="Bookman Old Style" w:cs="Tahoma"/>
          <w:sz w:val="28"/>
          <w:szCs w:val="28"/>
        </w:rPr>
        <w:t>q.e.p.d</w:t>
      </w:r>
      <w:proofErr w:type="spellEnd"/>
      <w:r>
        <w:rPr>
          <w:rFonts w:ascii="Bookman Old Style" w:hAnsi="Bookman Old Style" w:cs="Tahoma"/>
          <w:sz w:val="28"/>
          <w:szCs w:val="28"/>
        </w:rPr>
        <w:t xml:space="preserve">, era la persona contratada para evitar la evasión de personas coladas </w:t>
      </w:r>
      <w:r w:rsidRPr="00A6758C">
        <w:rPr>
          <w:rFonts w:ascii="Bookman Old Style" w:hAnsi="Bookman Old Style" w:cs="Tahoma"/>
          <w:i/>
          <w:iCs/>
          <w:sz w:val="28"/>
          <w:szCs w:val="28"/>
        </w:rPr>
        <w:t>(el filtro de dinero del habito de no pago del transporte en Transmilenio)</w:t>
      </w:r>
      <w:r>
        <w:rPr>
          <w:rFonts w:ascii="Bookman Old Style" w:hAnsi="Bookman Old Style" w:cs="Tahoma"/>
          <w:sz w:val="28"/>
          <w:szCs w:val="28"/>
        </w:rPr>
        <w:t xml:space="preserve"> baste con decir que tanto es así, que tuvieron que resolver esta interpretación contractual ante el Tribunal de Arbitramento</w:t>
      </w:r>
      <w:r w:rsidR="00A6758C">
        <w:rPr>
          <w:rFonts w:ascii="Bookman Old Style" w:hAnsi="Bookman Old Style" w:cs="Tahoma"/>
          <w:sz w:val="28"/>
          <w:szCs w:val="28"/>
        </w:rPr>
        <w:t xml:space="preserve"> y el mismo fue decidido hace dos años, siendo que este crimen fue hace 7 años. </w:t>
      </w:r>
      <w:r>
        <w:rPr>
          <w:rFonts w:ascii="Bookman Old Style" w:hAnsi="Bookman Old Style" w:cs="Tahoma"/>
          <w:sz w:val="28"/>
          <w:szCs w:val="28"/>
        </w:rPr>
        <w:t xml:space="preserve"> </w:t>
      </w:r>
    </w:p>
    <w:p w14:paraId="6E82FA61" w14:textId="63E7FFEC" w:rsidR="00683AC4" w:rsidRDefault="00683AC4"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lastRenderedPageBreak/>
        <w:t xml:space="preserve">Los hechos notorios y que aún se siguen practicando, es que las personas de azul en la entrada del </w:t>
      </w:r>
      <w:proofErr w:type="spellStart"/>
      <w:r>
        <w:rPr>
          <w:rFonts w:ascii="Bookman Old Style" w:hAnsi="Bookman Old Style" w:cs="Tahoma"/>
          <w:sz w:val="28"/>
          <w:szCs w:val="28"/>
        </w:rPr>
        <w:t>transmilenio</w:t>
      </w:r>
      <w:proofErr w:type="spellEnd"/>
      <w:r>
        <w:rPr>
          <w:rFonts w:ascii="Bookman Old Style" w:hAnsi="Bookman Old Style" w:cs="Tahoma"/>
          <w:sz w:val="28"/>
          <w:szCs w:val="28"/>
        </w:rPr>
        <w:t xml:space="preserve"> están para evitar que las personas se cuelen y no paguen el transporte.  </w:t>
      </w:r>
    </w:p>
    <w:p w14:paraId="653BF5E8" w14:textId="201A279B" w:rsidR="00683AC4" w:rsidRDefault="00683AC4"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Con ocasión de la indebida interpretación del contrato celebrado entre Transmilenio y Recaudo Bogotá, dejaron al azar el personal que evita los colados del sistema de Transmilenio y por esa razón se evidencia golpizas, insultos, daños en la salud, lesiones personales y occiso</w:t>
      </w:r>
      <w:r w:rsidR="00ED0C3A">
        <w:rPr>
          <w:rFonts w:ascii="Bookman Old Style" w:hAnsi="Bookman Old Style" w:cs="Tahoma"/>
          <w:sz w:val="28"/>
          <w:szCs w:val="28"/>
        </w:rPr>
        <w:t xml:space="preserve">s. </w:t>
      </w:r>
    </w:p>
    <w:p w14:paraId="6C76DDA0" w14:textId="28E7EEE6" w:rsidR="00ED0C3A" w:rsidRDefault="00ED0C3A"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La interpretación del contrato es tan grotesca que no existe personal de seguridad encargado para asumir ese cargo, no existe policía que llene ese vació, solo encontramos en la vida real, estos muchachos en la entrada de la Estación, como lo dijeron los testigos gerente de Recaudo Bogotá, y otros funcionarios, ellos son quienes laboran en las estaciones de Transmilenio. La pregunta sería si los jóvenes de recaudo Bogotá tan solo brindan información de guía, porque, los golpean, los insultan, tienen lesiones personales, los asesinan, es una respuesta muy sencilla </w:t>
      </w:r>
      <w:r>
        <w:rPr>
          <w:rFonts w:ascii="Bookman Old Style" w:hAnsi="Bookman Old Style" w:cs="Tahoma"/>
          <w:sz w:val="28"/>
          <w:szCs w:val="28"/>
        </w:rPr>
        <w:lastRenderedPageBreak/>
        <w:t xml:space="preserve">ellos aun cumplen la función de salvaguardar que los usuarios no se cuelen. </w:t>
      </w:r>
    </w:p>
    <w:p w14:paraId="42F0BF4E" w14:textId="04EBA14E" w:rsidR="00ED0C3A" w:rsidRDefault="00ED0C3A"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Omisiones </w:t>
      </w:r>
      <w:r w:rsidR="00A6758C">
        <w:rPr>
          <w:rFonts w:ascii="Bookman Old Style" w:hAnsi="Bookman Old Style" w:cs="Tahoma"/>
          <w:sz w:val="28"/>
          <w:szCs w:val="28"/>
        </w:rPr>
        <w:t xml:space="preserve">por las que </w:t>
      </w:r>
      <w:r>
        <w:rPr>
          <w:rFonts w:ascii="Bookman Old Style" w:hAnsi="Bookman Old Style" w:cs="Tahoma"/>
          <w:sz w:val="28"/>
          <w:szCs w:val="28"/>
        </w:rPr>
        <w:t xml:space="preserve">el Estado Alcaldía Mayor de Bogotá – Policía Nacional – Transmilenio, recaudo Bogotá, </w:t>
      </w:r>
      <w:r w:rsidR="00A6758C">
        <w:rPr>
          <w:rFonts w:ascii="Bookman Old Style" w:hAnsi="Bookman Old Style" w:cs="Tahoma"/>
          <w:sz w:val="28"/>
          <w:szCs w:val="28"/>
        </w:rPr>
        <w:t xml:space="preserve">deberán responder, por su negligente proceder en algo de tanta relevancia constitucional como es la vida e integridad física de estos colaboradores, siendo los demandados directamente responsables de la perdida de la humanidad del joven </w:t>
      </w:r>
      <w:proofErr w:type="spellStart"/>
      <w:r w:rsidR="00A6758C">
        <w:rPr>
          <w:rFonts w:ascii="Bookman Old Style" w:hAnsi="Bookman Old Style" w:cs="Tahoma"/>
          <w:sz w:val="28"/>
          <w:szCs w:val="28"/>
        </w:rPr>
        <w:t>Licht</w:t>
      </w:r>
      <w:proofErr w:type="spellEnd"/>
      <w:r w:rsidR="00A6758C">
        <w:rPr>
          <w:rFonts w:ascii="Bookman Old Style" w:hAnsi="Bookman Old Style" w:cs="Tahoma"/>
          <w:sz w:val="28"/>
          <w:szCs w:val="28"/>
        </w:rPr>
        <w:t xml:space="preserve"> Rueda.  </w:t>
      </w:r>
    </w:p>
    <w:p w14:paraId="36540336" w14:textId="77777777" w:rsidR="0069043B" w:rsidRDefault="0069043B"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Nótese como Transmilenio, la Alcaldía, la Policía Nacional y recaudo Bogotá, ACEPTAN que hay una omisión, y que entre ellos se culpan del lamentable hecho, dejando al azar como actualmente continua sucediendo con los colaboradores de taquilla y de barrera manifestado por el testigo </w:t>
      </w:r>
      <w:proofErr w:type="spellStart"/>
      <w:r>
        <w:rPr>
          <w:rFonts w:ascii="Bookman Old Style" w:hAnsi="Bookman Old Style" w:cs="Tahoma"/>
          <w:sz w:val="28"/>
          <w:szCs w:val="28"/>
        </w:rPr>
        <w:t>Crístian</w:t>
      </w:r>
      <w:proofErr w:type="spellEnd"/>
      <w:r>
        <w:rPr>
          <w:rFonts w:ascii="Bookman Old Style" w:hAnsi="Bookman Old Style" w:cs="Tahoma"/>
          <w:sz w:val="28"/>
          <w:szCs w:val="28"/>
        </w:rPr>
        <w:t xml:space="preserve"> Mesa, que actualmente continua laborando y desde hace más de 7 años, es de resaltar señoría que por omisiones administrativas de los demandados, indebidas interpretaciones y cumplimiento de contrato, se permita que hechos reiterativos como fueron expuestos por los testigos, como la violencia de los usuarios a los </w:t>
      </w:r>
      <w:r>
        <w:rPr>
          <w:rFonts w:ascii="Bookman Old Style" w:hAnsi="Bookman Old Style" w:cs="Tahoma"/>
          <w:sz w:val="28"/>
          <w:szCs w:val="28"/>
        </w:rPr>
        <w:lastRenderedPageBreak/>
        <w:t>colaboradores de barrera en las estaciones de Transmilenio, dichas entidades omitan su deber legal de tomar decisiones de fondo para evitar otros siniestros fatales.</w:t>
      </w:r>
    </w:p>
    <w:p w14:paraId="50F13BF7" w14:textId="2777C491" w:rsidR="0069043B" w:rsidRDefault="0069043B"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Demostrado esta que el joven </w:t>
      </w:r>
      <w:proofErr w:type="spellStart"/>
      <w:r>
        <w:rPr>
          <w:rFonts w:ascii="Bookman Old Style" w:hAnsi="Bookman Old Style" w:cs="Tahoma"/>
          <w:sz w:val="28"/>
          <w:szCs w:val="28"/>
        </w:rPr>
        <w:t>licht</w:t>
      </w:r>
      <w:proofErr w:type="spellEnd"/>
      <w:r>
        <w:rPr>
          <w:rFonts w:ascii="Bookman Old Style" w:hAnsi="Bookman Old Style" w:cs="Tahoma"/>
          <w:sz w:val="28"/>
          <w:szCs w:val="28"/>
        </w:rPr>
        <w:t>, veía de sus padres, vivía en Bogotá con su señora madre y su salario era para sus arriendo y comida de sus padres</w:t>
      </w:r>
      <w:r w:rsidR="00E55845">
        <w:rPr>
          <w:rFonts w:ascii="Bookman Old Style" w:hAnsi="Bookman Old Style" w:cs="Tahoma"/>
          <w:sz w:val="28"/>
          <w:szCs w:val="28"/>
        </w:rPr>
        <w:t xml:space="preserve">, como sus </w:t>
      </w:r>
      <w:r w:rsidR="00E55845">
        <w:rPr>
          <w:rFonts w:ascii="Bookman Old Style" w:hAnsi="Bookman Old Style" w:cs="Tahoma"/>
          <w:sz w:val="28"/>
          <w:szCs w:val="28"/>
        </w:rPr>
        <w:t>gastos personales,</w:t>
      </w:r>
      <w:r>
        <w:rPr>
          <w:rFonts w:ascii="Bookman Old Style" w:hAnsi="Bookman Old Style" w:cs="Tahoma"/>
          <w:sz w:val="28"/>
          <w:szCs w:val="28"/>
        </w:rPr>
        <w:t xml:space="preserve"> </w:t>
      </w:r>
      <w:r w:rsidR="00E55845">
        <w:rPr>
          <w:rFonts w:ascii="Bookman Old Style" w:hAnsi="Bookman Old Style" w:cs="Tahoma"/>
          <w:sz w:val="28"/>
          <w:szCs w:val="28"/>
        </w:rPr>
        <w:t xml:space="preserve">hombre soltero, </w:t>
      </w:r>
      <w:r w:rsidR="0091505F">
        <w:rPr>
          <w:rFonts w:ascii="Bookman Old Style" w:hAnsi="Bookman Old Style" w:cs="Tahoma"/>
          <w:sz w:val="28"/>
          <w:szCs w:val="28"/>
        </w:rPr>
        <w:t xml:space="preserve">tranquilo y veedor de sus padres. </w:t>
      </w:r>
    </w:p>
    <w:p w14:paraId="44DE51CC" w14:textId="51195D2D" w:rsidR="00A6758C" w:rsidRDefault="00E55845"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Demostrado quedó su señoría que a pesar de que recaudo Bogotá y Transmilenio, trataron de persuadir con sus testimoniales que la labor del joven </w:t>
      </w:r>
      <w:proofErr w:type="spellStart"/>
      <w:r>
        <w:rPr>
          <w:rFonts w:ascii="Bookman Old Style" w:hAnsi="Bookman Old Style" w:cs="Tahoma"/>
          <w:sz w:val="28"/>
          <w:szCs w:val="28"/>
        </w:rPr>
        <w:t>Licht</w:t>
      </w:r>
      <w:proofErr w:type="spellEnd"/>
      <w:r>
        <w:rPr>
          <w:rFonts w:ascii="Bookman Old Style" w:hAnsi="Bookman Old Style" w:cs="Tahoma"/>
          <w:sz w:val="28"/>
          <w:szCs w:val="28"/>
        </w:rPr>
        <w:t xml:space="preserve"> </w:t>
      </w:r>
      <w:proofErr w:type="spellStart"/>
      <w:r>
        <w:rPr>
          <w:rFonts w:ascii="Bookman Old Style" w:hAnsi="Bookman Old Style" w:cs="Tahoma"/>
          <w:sz w:val="28"/>
          <w:szCs w:val="28"/>
        </w:rPr>
        <w:t>q.e.p.d</w:t>
      </w:r>
      <w:proofErr w:type="spellEnd"/>
      <w:r>
        <w:rPr>
          <w:rFonts w:ascii="Bookman Old Style" w:hAnsi="Bookman Old Style" w:cs="Tahoma"/>
          <w:sz w:val="28"/>
          <w:szCs w:val="28"/>
        </w:rPr>
        <w:t xml:space="preserve">, era el de dar información al usuario, demostrado quedó que su función era evitar que los usuarios se colaran y así los ven los usuarios de </w:t>
      </w:r>
      <w:proofErr w:type="spellStart"/>
      <w:r>
        <w:rPr>
          <w:rFonts w:ascii="Bookman Old Style" w:hAnsi="Bookman Old Style" w:cs="Tahoma"/>
          <w:sz w:val="28"/>
          <w:szCs w:val="28"/>
        </w:rPr>
        <w:t>transmilenio</w:t>
      </w:r>
      <w:proofErr w:type="spellEnd"/>
      <w:r>
        <w:rPr>
          <w:rFonts w:ascii="Bookman Old Style" w:hAnsi="Bookman Old Style" w:cs="Tahoma"/>
          <w:sz w:val="28"/>
          <w:szCs w:val="28"/>
        </w:rPr>
        <w:t xml:space="preserve"> y así se evidencia en la actualidad.</w:t>
      </w:r>
    </w:p>
    <w:p w14:paraId="255AA8D5" w14:textId="62447717" w:rsidR="00E55845" w:rsidRDefault="00E55845"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Quedo demostrado con los testigos de recaudo Bogotá, que en temas de seguridad existe un vacío jurídico, tienen falta de información entre la realidad y la teoría, existen ambigüedades, como que uno dice una cosa y el otro la contradice, como que ellos, aplican una actividad y según el </w:t>
      </w:r>
      <w:r>
        <w:rPr>
          <w:rFonts w:ascii="Bookman Old Style" w:hAnsi="Bookman Old Style" w:cs="Tahoma"/>
          <w:sz w:val="28"/>
          <w:szCs w:val="28"/>
        </w:rPr>
        <w:lastRenderedPageBreak/>
        <w:t xml:space="preserve">jurídico todo es falso por la indebida interpretación del contrato, fueron contradictorios los testimonios que finalmente restan credibilidad. </w:t>
      </w:r>
    </w:p>
    <w:p w14:paraId="59264C5A" w14:textId="5E1C31CC" w:rsidR="00E55845" w:rsidRDefault="0091505F"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Demostrado está que mis prohijados están acongojados por la perdida de su hijo, hermano, nieto, el daño moral es inimaginable, que siendo sus padres personas de la tercera edad ni si quiera pueden expresar sus sentimientos a semejante perdida y con toda razón, que padre quiera que </w:t>
      </w:r>
      <w:proofErr w:type="gramStart"/>
      <w:r>
        <w:rPr>
          <w:rFonts w:ascii="Bookman Old Style" w:hAnsi="Bookman Old Style" w:cs="Tahoma"/>
          <w:sz w:val="28"/>
          <w:szCs w:val="28"/>
        </w:rPr>
        <w:t>sus hijo</w:t>
      </w:r>
      <w:proofErr w:type="gramEnd"/>
      <w:r>
        <w:rPr>
          <w:rFonts w:ascii="Bookman Old Style" w:hAnsi="Bookman Old Style" w:cs="Tahoma"/>
          <w:sz w:val="28"/>
          <w:szCs w:val="28"/>
        </w:rPr>
        <w:t xml:space="preserve"> sea asesinado en su trabajo. </w:t>
      </w:r>
    </w:p>
    <w:p w14:paraId="3389A183" w14:textId="453CD148" w:rsidR="0091505F" w:rsidRDefault="0091505F" w:rsidP="00591DCC">
      <w:pPr>
        <w:pStyle w:val="Prrafodelista"/>
        <w:numPr>
          <w:ilvl w:val="0"/>
          <w:numId w:val="2"/>
        </w:numPr>
        <w:spacing w:line="480" w:lineRule="auto"/>
        <w:jc w:val="both"/>
        <w:rPr>
          <w:rFonts w:ascii="Bookman Old Style" w:hAnsi="Bookman Old Style" w:cs="Tahoma"/>
          <w:sz w:val="28"/>
          <w:szCs w:val="28"/>
        </w:rPr>
      </w:pPr>
      <w:r>
        <w:rPr>
          <w:rFonts w:ascii="Bookman Old Style" w:hAnsi="Bookman Old Style" w:cs="Tahoma"/>
          <w:sz w:val="28"/>
          <w:szCs w:val="28"/>
        </w:rPr>
        <w:t xml:space="preserve">Demostrado está que el joven leonardo, no tenía seguro de vida, no contaba con seguros privados de las empresas que lo contrataron. </w:t>
      </w:r>
    </w:p>
    <w:p w14:paraId="2952BDEE" w14:textId="348B4968" w:rsidR="0091505F" w:rsidRDefault="0091505F" w:rsidP="0091505F">
      <w:pPr>
        <w:spacing w:line="480" w:lineRule="auto"/>
        <w:jc w:val="both"/>
        <w:rPr>
          <w:rFonts w:ascii="Bookman Old Style" w:hAnsi="Bookman Old Style" w:cs="Tahoma"/>
          <w:sz w:val="28"/>
          <w:szCs w:val="28"/>
        </w:rPr>
      </w:pPr>
      <w:r>
        <w:rPr>
          <w:rFonts w:ascii="Bookman Old Style" w:hAnsi="Bookman Old Style" w:cs="Tahoma"/>
          <w:sz w:val="28"/>
          <w:szCs w:val="28"/>
        </w:rPr>
        <w:t xml:space="preserve">Del señor Juez: </w:t>
      </w:r>
    </w:p>
    <w:p w14:paraId="372F0C39" w14:textId="77777777" w:rsidR="0091505F" w:rsidRDefault="0091505F" w:rsidP="0091505F">
      <w:pPr>
        <w:spacing w:line="480" w:lineRule="auto"/>
        <w:jc w:val="both"/>
        <w:rPr>
          <w:rFonts w:ascii="Bookman Old Style" w:hAnsi="Bookman Old Style" w:cs="Tahoma"/>
          <w:sz w:val="28"/>
          <w:szCs w:val="28"/>
        </w:rPr>
      </w:pPr>
    </w:p>
    <w:p w14:paraId="42F204FB" w14:textId="77777777" w:rsidR="0091505F" w:rsidRDefault="0091505F" w:rsidP="0091505F">
      <w:pPr>
        <w:spacing w:line="480" w:lineRule="auto"/>
        <w:jc w:val="both"/>
        <w:rPr>
          <w:rFonts w:ascii="Bookman Old Style" w:hAnsi="Bookman Old Style" w:cs="Tahoma"/>
          <w:sz w:val="28"/>
          <w:szCs w:val="28"/>
        </w:rPr>
      </w:pPr>
      <w:r>
        <w:rPr>
          <w:rFonts w:ascii="Bookman Old Style" w:hAnsi="Bookman Old Style" w:cs="Tahoma"/>
          <w:sz w:val="28"/>
          <w:szCs w:val="28"/>
        </w:rPr>
        <w:t>Edward Herrera A</w:t>
      </w:r>
    </w:p>
    <w:p w14:paraId="6521B2E8" w14:textId="59B5F403" w:rsidR="0091505F" w:rsidRPr="0091505F" w:rsidRDefault="0091505F" w:rsidP="0091505F">
      <w:pPr>
        <w:spacing w:line="480" w:lineRule="auto"/>
        <w:jc w:val="both"/>
        <w:rPr>
          <w:rFonts w:ascii="Bookman Old Style" w:hAnsi="Bookman Old Style" w:cs="Tahoma"/>
          <w:sz w:val="28"/>
          <w:szCs w:val="28"/>
        </w:rPr>
      </w:pPr>
      <w:r>
        <w:rPr>
          <w:rFonts w:ascii="Bookman Old Style" w:hAnsi="Bookman Old Style" w:cs="Tahoma"/>
          <w:sz w:val="28"/>
          <w:szCs w:val="28"/>
        </w:rPr>
        <w:t xml:space="preserve">Abogado del demandante </w:t>
      </w:r>
    </w:p>
    <w:p w14:paraId="72C9B702" w14:textId="77777777" w:rsidR="0069043B" w:rsidRPr="0069043B" w:rsidRDefault="0069043B" w:rsidP="0069043B">
      <w:pPr>
        <w:spacing w:line="480" w:lineRule="auto"/>
        <w:jc w:val="both"/>
        <w:rPr>
          <w:rFonts w:ascii="Bookman Old Style" w:hAnsi="Bookman Old Style" w:cs="Tahoma"/>
          <w:sz w:val="28"/>
          <w:szCs w:val="28"/>
        </w:rPr>
      </w:pPr>
    </w:p>
    <w:p w14:paraId="7DAAF0FB" w14:textId="77777777" w:rsidR="00591DCC" w:rsidRPr="00591DCC" w:rsidRDefault="00591DCC" w:rsidP="00591DCC">
      <w:pPr>
        <w:spacing w:line="480" w:lineRule="auto"/>
        <w:rPr>
          <w:rFonts w:ascii="Bookman Old Style" w:hAnsi="Bookman Old Style" w:cs="Tahoma"/>
          <w:sz w:val="28"/>
          <w:szCs w:val="28"/>
        </w:rPr>
      </w:pPr>
    </w:p>
    <w:p w14:paraId="436C91E0" w14:textId="77777777" w:rsidR="00591DCC" w:rsidRDefault="00591DCC" w:rsidP="00591DCC">
      <w:pPr>
        <w:spacing w:line="480" w:lineRule="auto"/>
        <w:jc w:val="both"/>
        <w:rPr>
          <w:rFonts w:ascii="Bookman Old Style" w:hAnsi="Bookman Old Style" w:cs="Tahoma"/>
          <w:sz w:val="28"/>
          <w:szCs w:val="28"/>
        </w:rPr>
      </w:pPr>
    </w:p>
    <w:p w14:paraId="4468DACD" w14:textId="77777777" w:rsidR="009B2D8E" w:rsidRDefault="009B2D8E"/>
    <w:sectPr w:rsidR="009B2D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24E58"/>
    <w:multiLevelType w:val="hybridMultilevel"/>
    <w:tmpl w:val="ACFE1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85C6C6B"/>
    <w:multiLevelType w:val="hybridMultilevel"/>
    <w:tmpl w:val="CDB408C8"/>
    <w:lvl w:ilvl="0" w:tplc="2576A6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7694939">
    <w:abstractNumId w:val="1"/>
  </w:num>
  <w:num w:numId="2" w16cid:durableId="4821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CC"/>
    <w:rsid w:val="00147EE3"/>
    <w:rsid w:val="00591DCC"/>
    <w:rsid w:val="00683AC4"/>
    <w:rsid w:val="0069043B"/>
    <w:rsid w:val="0078303D"/>
    <w:rsid w:val="0091505F"/>
    <w:rsid w:val="009B2D8E"/>
    <w:rsid w:val="00A6758C"/>
    <w:rsid w:val="00E55845"/>
    <w:rsid w:val="00ED0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BC3B"/>
  <w15:chartTrackingRefBased/>
  <w15:docId w15:val="{E741D928-10AE-4F1C-93EF-A83537C6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C"/>
    <w:pPr>
      <w:spacing w:line="259" w:lineRule="auto"/>
    </w:pPr>
    <w:rPr>
      <w:sz w:val="22"/>
      <w:szCs w:val="22"/>
    </w:rPr>
  </w:style>
  <w:style w:type="paragraph" w:styleId="Ttulo1">
    <w:name w:val="heading 1"/>
    <w:basedOn w:val="Normal"/>
    <w:next w:val="Normal"/>
    <w:link w:val="Ttulo1Car"/>
    <w:uiPriority w:val="9"/>
    <w:qFormat/>
    <w:rsid w:val="00591DC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1DC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1DCC"/>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1DC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591DCC"/>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591DC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591DCC"/>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591DCC"/>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591DCC"/>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1D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1D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1D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1D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1D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1D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1D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1D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1DCC"/>
    <w:rPr>
      <w:rFonts w:eastAsiaTheme="majorEastAsia" w:cstheme="majorBidi"/>
      <w:color w:val="272727" w:themeColor="text1" w:themeTint="D8"/>
    </w:rPr>
  </w:style>
  <w:style w:type="paragraph" w:styleId="Ttulo">
    <w:name w:val="Title"/>
    <w:basedOn w:val="Normal"/>
    <w:next w:val="Normal"/>
    <w:link w:val="TtuloCar"/>
    <w:uiPriority w:val="10"/>
    <w:qFormat/>
    <w:rsid w:val="00591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1D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1DCC"/>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1D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1DCC"/>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591DCC"/>
    <w:rPr>
      <w:i/>
      <w:iCs/>
      <w:color w:val="404040" w:themeColor="text1" w:themeTint="BF"/>
    </w:rPr>
  </w:style>
  <w:style w:type="paragraph" w:styleId="Prrafodelista">
    <w:name w:val="List Paragraph"/>
    <w:basedOn w:val="Normal"/>
    <w:uiPriority w:val="34"/>
    <w:qFormat/>
    <w:rsid w:val="00591DCC"/>
    <w:pPr>
      <w:spacing w:line="278" w:lineRule="auto"/>
      <w:ind w:left="720"/>
      <w:contextualSpacing/>
    </w:pPr>
    <w:rPr>
      <w:sz w:val="24"/>
      <w:szCs w:val="24"/>
    </w:rPr>
  </w:style>
  <w:style w:type="character" w:styleId="nfasisintenso">
    <w:name w:val="Intense Emphasis"/>
    <w:basedOn w:val="Fuentedeprrafopredeter"/>
    <w:uiPriority w:val="21"/>
    <w:qFormat/>
    <w:rsid w:val="00591DCC"/>
    <w:rPr>
      <w:i/>
      <w:iCs/>
      <w:color w:val="0F4761" w:themeColor="accent1" w:themeShade="BF"/>
    </w:rPr>
  </w:style>
  <w:style w:type="paragraph" w:styleId="Citadestacada">
    <w:name w:val="Intense Quote"/>
    <w:basedOn w:val="Normal"/>
    <w:next w:val="Normal"/>
    <w:link w:val="CitadestacadaCar"/>
    <w:uiPriority w:val="30"/>
    <w:qFormat/>
    <w:rsid w:val="00591DC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591DCC"/>
    <w:rPr>
      <w:i/>
      <w:iCs/>
      <w:color w:val="0F4761" w:themeColor="accent1" w:themeShade="BF"/>
    </w:rPr>
  </w:style>
  <w:style w:type="character" w:styleId="Referenciaintensa">
    <w:name w:val="Intense Reference"/>
    <w:basedOn w:val="Fuentedeprrafopredeter"/>
    <w:uiPriority w:val="32"/>
    <w:qFormat/>
    <w:rsid w:val="00591D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996</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Johanna Bonilla Tejada</dc:creator>
  <cp:keywords/>
  <dc:description/>
  <cp:lastModifiedBy>Edith Johanna Bonilla Tejada</cp:lastModifiedBy>
  <cp:revision>1</cp:revision>
  <dcterms:created xsi:type="dcterms:W3CDTF">2024-02-12T20:31:00Z</dcterms:created>
  <dcterms:modified xsi:type="dcterms:W3CDTF">2024-02-12T21:51:00Z</dcterms:modified>
</cp:coreProperties>
</file>