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22BB" w14:textId="77777777" w:rsidR="0057097F" w:rsidRPr="009D404A" w:rsidRDefault="000B7A27">
      <w:pPr>
        <w:jc w:val="center"/>
        <w:rPr>
          <w:rFonts w:asciiTheme="minorHAnsi" w:hAnsiTheme="minorHAnsi" w:cstheme="minorHAnsi"/>
          <w:b/>
        </w:rPr>
      </w:pPr>
      <w:r w:rsidRPr="009D404A">
        <w:rPr>
          <w:rFonts w:asciiTheme="minorHAnsi" w:hAnsiTheme="minorHAnsi" w:cstheme="minorHAnsi"/>
          <w:b/>
        </w:rPr>
        <w:t>INFORME INICIAL DEL PROCESO</w:t>
      </w:r>
    </w:p>
    <w:tbl>
      <w:tblPr>
        <w:tblStyle w:val="a"/>
        <w:tblW w:w="11508"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9"/>
        <w:gridCol w:w="6379"/>
      </w:tblGrid>
      <w:tr w:rsidR="0057097F" w:rsidRPr="009D404A" w14:paraId="500322BE" w14:textId="77777777" w:rsidTr="009D404A">
        <w:tc>
          <w:tcPr>
            <w:tcW w:w="5129" w:type="dxa"/>
            <w:shd w:val="clear" w:color="auto" w:fill="D9D9D9" w:themeFill="background1" w:themeFillShade="D9"/>
          </w:tcPr>
          <w:p w14:paraId="500322BC" w14:textId="77777777" w:rsidR="0057097F" w:rsidRPr="009D404A" w:rsidRDefault="000B7A27">
            <w:pPr>
              <w:rPr>
                <w:rFonts w:asciiTheme="minorHAnsi" w:hAnsiTheme="minorHAnsi" w:cstheme="minorHAnsi"/>
                <w:b/>
              </w:rPr>
            </w:pPr>
            <w:r w:rsidRPr="009D404A">
              <w:rPr>
                <w:rFonts w:asciiTheme="minorHAnsi" w:hAnsiTheme="minorHAnsi" w:cstheme="minorHAnsi"/>
                <w:b/>
              </w:rPr>
              <w:t>Apoderado:</w:t>
            </w:r>
          </w:p>
        </w:tc>
        <w:tc>
          <w:tcPr>
            <w:tcW w:w="6379" w:type="dxa"/>
          </w:tcPr>
          <w:p w14:paraId="500322BD" w14:textId="77777777" w:rsidR="0057097F" w:rsidRPr="009D404A" w:rsidRDefault="000B7A27">
            <w:pPr>
              <w:jc w:val="both"/>
              <w:rPr>
                <w:rFonts w:asciiTheme="minorHAnsi" w:hAnsiTheme="minorHAnsi" w:cstheme="minorHAnsi"/>
              </w:rPr>
            </w:pPr>
            <w:r w:rsidRPr="009D404A">
              <w:rPr>
                <w:rFonts w:asciiTheme="minorHAnsi" w:hAnsiTheme="minorHAnsi" w:cstheme="minorHAnsi"/>
              </w:rPr>
              <w:t>GUSTAVO ALBERTO HERRERA ÁVILA</w:t>
            </w:r>
          </w:p>
        </w:tc>
      </w:tr>
      <w:tr w:rsidR="0057097F" w:rsidRPr="009D404A" w14:paraId="500322C1" w14:textId="77777777" w:rsidTr="009D404A">
        <w:tc>
          <w:tcPr>
            <w:tcW w:w="5129" w:type="dxa"/>
            <w:shd w:val="clear" w:color="auto" w:fill="D9D9D9" w:themeFill="background1" w:themeFillShade="D9"/>
          </w:tcPr>
          <w:p w14:paraId="500322BF" w14:textId="77777777" w:rsidR="0057097F" w:rsidRPr="009D404A" w:rsidRDefault="000B7A27">
            <w:pPr>
              <w:rPr>
                <w:rFonts w:asciiTheme="minorHAnsi" w:hAnsiTheme="minorHAnsi" w:cstheme="minorHAnsi"/>
                <w:b/>
              </w:rPr>
            </w:pPr>
            <w:r w:rsidRPr="009D404A">
              <w:rPr>
                <w:rFonts w:asciiTheme="minorHAnsi" w:hAnsiTheme="minorHAnsi" w:cstheme="minorHAnsi"/>
                <w:b/>
              </w:rPr>
              <w:t>Tipo y # de Póliza:</w:t>
            </w:r>
          </w:p>
        </w:tc>
        <w:tc>
          <w:tcPr>
            <w:tcW w:w="6379" w:type="dxa"/>
          </w:tcPr>
          <w:p w14:paraId="500322C0" w14:textId="1D58FC4F" w:rsidR="0057097F" w:rsidRPr="009D404A" w:rsidRDefault="00B5389F">
            <w:pPr>
              <w:jc w:val="both"/>
              <w:rPr>
                <w:rFonts w:asciiTheme="minorHAnsi" w:hAnsiTheme="minorHAnsi" w:cstheme="minorHAnsi"/>
              </w:rPr>
            </w:pPr>
            <w:r w:rsidRPr="009D404A">
              <w:rPr>
                <w:rFonts w:asciiTheme="minorHAnsi" w:hAnsiTheme="minorHAnsi" w:cstheme="minorHAnsi"/>
                <w:color w:val="000000"/>
              </w:rPr>
              <w:t>Póliza No. 699059 responsabilidad civil clínicas, hospitales, sector salud.</w:t>
            </w:r>
          </w:p>
        </w:tc>
      </w:tr>
      <w:tr w:rsidR="0057097F" w:rsidRPr="009D404A" w14:paraId="500322C4" w14:textId="77777777" w:rsidTr="009D404A">
        <w:tc>
          <w:tcPr>
            <w:tcW w:w="5129" w:type="dxa"/>
            <w:shd w:val="clear" w:color="auto" w:fill="D9D9D9" w:themeFill="background1" w:themeFillShade="D9"/>
          </w:tcPr>
          <w:p w14:paraId="500322C2" w14:textId="77777777" w:rsidR="0057097F" w:rsidRPr="009D404A" w:rsidRDefault="000B7A27">
            <w:pPr>
              <w:rPr>
                <w:rFonts w:asciiTheme="minorHAnsi" w:hAnsiTheme="minorHAnsi" w:cstheme="minorHAnsi"/>
                <w:b/>
              </w:rPr>
            </w:pPr>
            <w:r w:rsidRPr="009D404A">
              <w:rPr>
                <w:rFonts w:asciiTheme="minorHAnsi" w:hAnsiTheme="minorHAnsi" w:cstheme="minorHAnsi"/>
                <w:b/>
              </w:rPr>
              <w:t>Amparos afectados:</w:t>
            </w:r>
          </w:p>
        </w:tc>
        <w:tc>
          <w:tcPr>
            <w:tcW w:w="6379" w:type="dxa"/>
          </w:tcPr>
          <w:p w14:paraId="500322C3" w14:textId="4522CDFD" w:rsidR="0057097F" w:rsidRPr="009D404A" w:rsidRDefault="00B5389F">
            <w:pPr>
              <w:jc w:val="both"/>
              <w:rPr>
                <w:rFonts w:asciiTheme="minorHAnsi" w:hAnsiTheme="minorHAnsi" w:cstheme="minorHAnsi"/>
              </w:rPr>
            </w:pPr>
            <w:r w:rsidRPr="009D404A">
              <w:rPr>
                <w:rFonts w:asciiTheme="minorHAnsi" w:hAnsiTheme="minorHAnsi" w:cstheme="minorHAnsi"/>
              </w:rPr>
              <w:t>RESPONDABILIDAD CIVIL PROFESIONAL MEDICA</w:t>
            </w:r>
          </w:p>
        </w:tc>
      </w:tr>
      <w:tr w:rsidR="00B5389F" w:rsidRPr="009D404A" w14:paraId="500322C7" w14:textId="77777777" w:rsidTr="009D404A">
        <w:tc>
          <w:tcPr>
            <w:tcW w:w="5129" w:type="dxa"/>
            <w:shd w:val="clear" w:color="auto" w:fill="D9D9D9" w:themeFill="background1" w:themeFillShade="D9"/>
          </w:tcPr>
          <w:p w14:paraId="500322C5"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Tomador:</w:t>
            </w:r>
          </w:p>
        </w:tc>
        <w:tc>
          <w:tcPr>
            <w:tcW w:w="6379" w:type="dxa"/>
          </w:tcPr>
          <w:p w14:paraId="500322C6" w14:textId="23584633" w:rsidR="00B5389F" w:rsidRPr="009D404A" w:rsidRDefault="00B5389F" w:rsidP="00B5389F">
            <w:pPr>
              <w:jc w:val="both"/>
              <w:rPr>
                <w:rFonts w:asciiTheme="minorHAnsi" w:hAnsiTheme="minorHAnsi" w:cstheme="minorHAnsi"/>
              </w:rPr>
            </w:pPr>
            <w:r w:rsidRPr="009D404A">
              <w:rPr>
                <w:rFonts w:asciiTheme="minorHAnsi" w:hAnsiTheme="minorHAnsi" w:cstheme="minorHAnsi"/>
              </w:rPr>
              <w:t>IPS MANANTIAL DE VIDA SAS</w:t>
            </w:r>
          </w:p>
        </w:tc>
      </w:tr>
      <w:tr w:rsidR="00B5389F" w:rsidRPr="009D404A" w14:paraId="500322CA" w14:textId="77777777" w:rsidTr="009D404A">
        <w:tc>
          <w:tcPr>
            <w:tcW w:w="5129" w:type="dxa"/>
            <w:shd w:val="clear" w:color="auto" w:fill="D9D9D9" w:themeFill="background1" w:themeFillShade="D9"/>
          </w:tcPr>
          <w:p w14:paraId="500322C8"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Asegurado:</w:t>
            </w:r>
          </w:p>
        </w:tc>
        <w:tc>
          <w:tcPr>
            <w:tcW w:w="6379" w:type="dxa"/>
          </w:tcPr>
          <w:p w14:paraId="500322C9" w14:textId="48A1EA76" w:rsidR="00B5389F" w:rsidRPr="009D404A" w:rsidRDefault="00B5389F" w:rsidP="00B5389F">
            <w:pPr>
              <w:jc w:val="both"/>
              <w:rPr>
                <w:rFonts w:asciiTheme="minorHAnsi" w:hAnsiTheme="minorHAnsi" w:cstheme="minorHAnsi"/>
              </w:rPr>
            </w:pPr>
            <w:r w:rsidRPr="009D404A">
              <w:rPr>
                <w:rFonts w:asciiTheme="minorHAnsi" w:hAnsiTheme="minorHAnsi" w:cstheme="minorHAnsi"/>
              </w:rPr>
              <w:t>IPS MANANTIAL DE VIDA SAS</w:t>
            </w:r>
          </w:p>
        </w:tc>
      </w:tr>
      <w:tr w:rsidR="00B5389F" w:rsidRPr="009D404A" w14:paraId="500322CD" w14:textId="77777777" w:rsidTr="009D404A">
        <w:tc>
          <w:tcPr>
            <w:tcW w:w="5129" w:type="dxa"/>
            <w:shd w:val="clear" w:color="auto" w:fill="D9D9D9" w:themeFill="background1" w:themeFillShade="D9"/>
          </w:tcPr>
          <w:p w14:paraId="500322CB"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Tipo de Proceso:</w:t>
            </w:r>
          </w:p>
        </w:tc>
        <w:tc>
          <w:tcPr>
            <w:tcW w:w="6379" w:type="dxa"/>
          </w:tcPr>
          <w:p w14:paraId="500322CC" w14:textId="11E0DBDA" w:rsidR="00B5389F" w:rsidRPr="009D404A" w:rsidRDefault="00B5389F" w:rsidP="00B5389F">
            <w:pPr>
              <w:jc w:val="both"/>
              <w:rPr>
                <w:rFonts w:asciiTheme="minorHAnsi" w:hAnsiTheme="minorHAnsi" w:cstheme="minorHAnsi"/>
              </w:rPr>
            </w:pPr>
            <w:r w:rsidRPr="009D404A">
              <w:rPr>
                <w:rFonts w:asciiTheme="minorHAnsi" w:hAnsiTheme="minorHAnsi" w:cstheme="minorHAnsi"/>
              </w:rPr>
              <w:t>DECLARATIVO</w:t>
            </w:r>
          </w:p>
        </w:tc>
      </w:tr>
      <w:tr w:rsidR="00B5389F" w:rsidRPr="009D404A" w14:paraId="500322D0" w14:textId="77777777" w:rsidTr="009D404A">
        <w:tc>
          <w:tcPr>
            <w:tcW w:w="5129" w:type="dxa"/>
            <w:shd w:val="clear" w:color="auto" w:fill="D9D9D9" w:themeFill="background1" w:themeFillShade="D9"/>
          </w:tcPr>
          <w:p w14:paraId="500322CE"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Jurisdicción:</w:t>
            </w:r>
          </w:p>
        </w:tc>
        <w:tc>
          <w:tcPr>
            <w:tcW w:w="6379" w:type="dxa"/>
          </w:tcPr>
          <w:p w14:paraId="500322CF" w14:textId="4F3D6D01" w:rsidR="00B5389F" w:rsidRPr="009D404A" w:rsidRDefault="00B5389F" w:rsidP="00B5389F">
            <w:pPr>
              <w:jc w:val="both"/>
              <w:rPr>
                <w:rFonts w:asciiTheme="minorHAnsi" w:hAnsiTheme="minorHAnsi" w:cstheme="minorHAnsi"/>
              </w:rPr>
            </w:pPr>
            <w:r w:rsidRPr="009D404A">
              <w:rPr>
                <w:rFonts w:asciiTheme="minorHAnsi" w:hAnsiTheme="minorHAnsi" w:cstheme="minorHAnsi"/>
              </w:rPr>
              <w:t>ORDINARIA</w:t>
            </w:r>
          </w:p>
        </w:tc>
      </w:tr>
      <w:tr w:rsidR="00B5389F" w:rsidRPr="009D404A" w14:paraId="500322D3" w14:textId="77777777" w:rsidTr="009D404A">
        <w:tc>
          <w:tcPr>
            <w:tcW w:w="5129" w:type="dxa"/>
            <w:shd w:val="clear" w:color="auto" w:fill="D9D9D9" w:themeFill="background1" w:themeFillShade="D9"/>
          </w:tcPr>
          <w:p w14:paraId="500322D1"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Despacho:</w:t>
            </w:r>
          </w:p>
        </w:tc>
        <w:tc>
          <w:tcPr>
            <w:tcW w:w="6379" w:type="dxa"/>
          </w:tcPr>
          <w:p w14:paraId="500322D2" w14:textId="6DE0798D" w:rsidR="00B5389F" w:rsidRPr="009D404A" w:rsidRDefault="00B5389F" w:rsidP="00B5389F">
            <w:pPr>
              <w:jc w:val="both"/>
              <w:rPr>
                <w:rFonts w:asciiTheme="minorHAnsi" w:hAnsiTheme="minorHAnsi" w:cstheme="minorHAnsi"/>
              </w:rPr>
            </w:pPr>
            <w:r w:rsidRPr="009D404A">
              <w:rPr>
                <w:rFonts w:asciiTheme="minorHAnsi" w:hAnsiTheme="minorHAnsi" w:cstheme="minorHAnsi"/>
                <w:color w:val="000000"/>
              </w:rPr>
              <w:t>JUZGADO 2 CIVIL DEL CIRCUITO DE BUENAVENTURA</w:t>
            </w:r>
          </w:p>
        </w:tc>
      </w:tr>
      <w:tr w:rsidR="00B5389F" w:rsidRPr="009D404A" w14:paraId="500322D6" w14:textId="77777777" w:rsidTr="009D404A">
        <w:tc>
          <w:tcPr>
            <w:tcW w:w="5129" w:type="dxa"/>
            <w:shd w:val="clear" w:color="auto" w:fill="D9D9D9" w:themeFill="background1" w:themeFillShade="D9"/>
          </w:tcPr>
          <w:p w14:paraId="500322D4"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Ciudad:</w:t>
            </w:r>
          </w:p>
        </w:tc>
        <w:tc>
          <w:tcPr>
            <w:tcW w:w="6379" w:type="dxa"/>
          </w:tcPr>
          <w:p w14:paraId="500322D5" w14:textId="73947EBD" w:rsidR="00B5389F" w:rsidRPr="009D404A" w:rsidRDefault="00B5389F" w:rsidP="00B5389F">
            <w:pPr>
              <w:jc w:val="both"/>
              <w:rPr>
                <w:rFonts w:asciiTheme="minorHAnsi" w:hAnsiTheme="minorHAnsi" w:cstheme="minorHAnsi"/>
              </w:rPr>
            </w:pPr>
            <w:r w:rsidRPr="009D404A">
              <w:rPr>
                <w:rFonts w:asciiTheme="minorHAnsi" w:hAnsiTheme="minorHAnsi" w:cstheme="minorHAnsi"/>
              </w:rPr>
              <w:t>BUENAVENTURA</w:t>
            </w:r>
          </w:p>
        </w:tc>
      </w:tr>
      <w:tr w:rsidR="00B5389F" w:rsidRPr="009D404A" w14:paraId="500322D9" w14:textId="77777777" w:rsidTr="009D404A">
        <w:tc>
          <w:tcPr>
            <w:tcW w:w="5129" w:type="dxa"/>
            <w:shd w:val="clear" w:color="auto" w:fill="D9D9D9" w:themeFill="background1" w:themeFillShade="D9"/>
          </w:tcPr>
          <w:p w14:paraId="500322D7"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Radicado (23 dígitos):</w:t>
            </w:r>
          </w:p>
        </w:tc>
        <w:tc>
          <w:tcPr>
            <w:tcW w:w="6379" w:type="dxa"/>
          </w:tcPr>
          <w:p w14:paraId="500322D8" w14:textId="2277CC0D" w:rsidR="00B5389F" w:rsidRPr="009D404A" w:rsidRDefault="00B5389F" w:rsidP="00B5389F">
            <w:pPr>
              <w:rPr>
                <w:rFonts w:asciiTheme="minorHAnsi" w:hAnsiTheme="minorHAnsi" w:cstheme="minorHAnsi"/>
              </w:rPr>
            </w:pPr>
            <w:r w:rsidRPr="009D404A">
              <w:rPr>
                <w:rFonts w:asciiTheme="minorHAnsi" w:hAnsiTheme="minorHAnsi" w:cstheme="minorHAnsi"/>
                <w:color w:val="000000"/>
              </w:rPr>
              <w:t>76109310300220230001200</w:t>
            </w:r>
          </w:p>
        </w:tc>
      </w:tr>
      <w:tr w:rsidR="00B5389F" w:rsidRPr="009D404A" w14:paraId="500322DC" w14:textId="77777777" w:rsidTr="009D404A">
        <w:tc>
          <w:tcPr>
            <w:tcW w:w="5129" w:type="dxa"/>
            <w:shd w:val="clear" w:color="auto" w:fill="D9D9D9" w:themeFill="background1" w:themeFillShade="D9"/>
          </w:tcPr>
          <w:p w14:paraId="500322DA"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Demandantes:</w:t>
            </w:r>
          </w:p>
        </w:tc>
        <w:tc>
          <w:tcPr>
            <w:tcW w:w="6379" w:type="dxa"/>
          </w:tcPr>
          <w:p w14:paraId="6CAA93A0" w14:textId="77777777" w:rsidR="00B5389F" w:rsidRPr="009D404A" w:rsidRDefault="00B5389F" w:rsidP="00B5389F">
            <w:pPr>
              <w:jc w:val="both"/>
              <w:rPr>
                <w:rFonts w:asciiTheme="minorHAnsi" w:hAnsiTheme="minorHAnsi" w:cstheme="minorHAnsi"/>
                <w:color w:val="000000"/>
              </w:rPr>
            </w:pPr>
            <w:r w:rsidRPr="009D404A">
              <w:rPr>
                <w:rFonts w:asciiTheme="minorHAnsi" w:hAnsiTheme="minorHAnsi" w:cstheme="minorHAnsi"/>
                <w:color w:val="000000"/>
              </w:rPr>
              <w:t xml:space="preserve">1. Deimer Gamboa Arroyo (víctima directa) </w:t>
            </w:r>
          </w:p>
          <w:p w14:paraId="6CC83F29" w14:textId="77777777" w:rsidR="00B5389F" w:rsidRPr="009D404A" w:rsidRDefault="00B5389F" w:rsidP="00B5389F">
            <w:pPr>
              <w:jc w:val="both"/>
              <w:rPr>
                <w:rFonts w:asciiTheme="minorHAnsi" w:hAnsiTheme="minorHAnsi" w:cstheme="minorHAnsi"/>
                <w:color w:val="000000"/>
              </w:rPr>
            </w:pPr>
            <w:r w:rsidRPr="009D404A">
              <w:rPr>
                <w:rFonts w:asciiTheme="minorHAnsi" w:hAnsiTheme="minorHAnsi" w:cstheme="minorHAnsi"/>
                <w:color w:val="000000"/>
              </w:rPr>
              <w:t xml:space="preserve">2. Jennyfer Angulo Mina (compañera permanente) </w:t>
            </w:r>
          </w:p>
          <w:p w14:paraId="09ACB3EB" w14:textId="77777777" w:rsidR="00B5389F" w:rsidRPr="009D404A" w:rsidRDefault="00B5389F" w:rsidP="00B5389F">
            <w:pPr>
              <w:jc w:val="both"/>
              <w:rPr>
                <w:rFonts w:asciiTheme="minorHAnsi" w:hAnsiTheme="minorHAnsi" w:cstheme="minorHAnsi"/>
                <w:color w:val="000000"/>
              </w:rPr>
            </w:pPr>
            <w:r w:rsidRPr="009D404A">
              <w:rPr>
                <w:rFonts w:asciiTheme="minorHAnsi" w:hAnsiTheme="minorHAnsi" w:cstheme="minorHAnsi"/>
                <w:color w:val="000000"/>
              </w:rPr>
              <w:t xml:space="preserve">3. </w:t>
            </w:r>
            <w:proofErr w:type="spellStart"/>
            <w:r w:rsidRPr="009D404A">
              <w:rPr>
                <w:rFonts w:asciiTheme="minorHAnsi" w:hAnsiTheme="minorHAnsi" w:cstheme="minorHAnsi"/>
                <w:color w:val="000000"/>
              </w:rPr>
              <w:t>Keilin</w:t>
            </w:r>
            <w:proofErr w:type="spellEnd"/>
            <w:r w:rsidRPr="009D404A">
              <w:rPr>
                <w:rFonts w:asciiTheme="minorHAnsi" w:hAnsiTheme="minorHAnsi" w:cstheme="minorHAnsi"/>
                <w:color w:val="000000"/>
              </w:rPr>
              <w:t xml:space="preserve"> Luciana Gamboa Angulo (hija) </w:t>
            </w:r>
          </w:p>
          <w:p w14:paraId="3E923DAF" w14:textId="77777777" w:rsidR="00B5389F" w:rsidRPr="009D404A" w:rsidRDefault="00B5389F" w:rsidP="00B5389F">
            <w:pPr>
              <w:jc w:val="both"/>
              <w:rPr>
                <w:rFonts w:asciiTheme="minorHAnsi" w:hAnsiTheme="minorHAnsi" w:cstheme="minorHAnsi"/>
                <w:color w:val="000000"/>
              </w:rPr>
            </w:pPr>
            <w:r w:rsidRPr="009D404A">
              <w:rPr>
                <w:rFonts w:asciiTheme="minorHAnsi" w:hAnsiTheme="minorHAnsi" w:cstheme="minorHAnsi"/>
                <w:color w:val="000000"/>
              </w:rPr>
              <w:t xml:space="preserve">4. Johan </w:t>
            </w:r>
            <w:proofErr w:type="spellStart"/>
            <w:r w:rsidRPr="009D404A">
              <w:rPr>
                <w:rFonts w:asciiTheme="minorHAnsi" w:hAnsiTheme="minorHAnsi" w:cstheme="minorHAnsi"/>
                <w:color w:val="000000"/>
              </w:rPr>
              <w:t>Sneider</w:t>
            </w:r>
            <w:proofErr w:type="spellEnd"/>
            <w:r w:rsidRPr="009D404A">
              <w:rPr>
                <w:rFonts w:asciiTheme="minorHAnsi" w:hAnsiTheme="minorHAnsi" w:cstheme="minorHAnsi"/>
                <w:color w:val="000000"/>
              </w:rPr>
              <w:t xml:space="preserve"> Gamboa Arroyo (hermano) </w:t>
            </w:r>
          </w:p>
          <w:p w14:paraId="60DE95F6" w14:textId="77777777" w:rsidR="00B5389F" w:rsidRPr="009D404A" w:rsidRDefault="00B5389F" w:rsidP="00B5389F">
            <w:pPr>
              <w:jc w:val="both"/>
              <w:rPr>
                <w:rFonts w:asciiTheme="minorHAnsi" w:hAnsiTheme="minorHAnsi" w:cstheme="minorHAnsi"/>
                <w:color w:val="000000"/>
              </w:rPr>
            </w:pPr>
            <w:r w:rsidRPr="009D404A">
              <w:rPr>
                <w:rFonts w:asciiTheme="minorHAnsi" w:hAnsiTheme="minorHAnsi" w:cstheme="minorHAnsi"/>
                <w:color w:val="000000"/>
              </w:rPr>
              <w:t xml:space="preserve">5. Danna Liseth Gamboa Arroyo (hermana) </w:t>
            </w:r>
          </w:p>
          <w:p w14:paraId="500322DB" w14:textId="0B554256" w:rsidR="00B5389F" w:rsidRPr="009D404A" w:rsidRDefault="00B5389F" w:rsidP="00B5389F">
            <w:pPr>
              <w:jc w:val="both"/>
              <w:rPr>
                <w:rFonts w:asciiTheme="minorHAnsi" w:hAnsiTheme="minorHAnsi" w:cstheme="minorHAnsi"/>
                <w:lang w:val="es-419"/>
              </w:rPr>
            </w:pPr>
            <w:r w:rsidRPr="009D404A">
              <w:rPr>
                <w:rFonts w:asciiTheme="minorHAnsi" w:hAnsiTheme="minorHAnsi" w:cstheme="minorHAnsi"/>
                <w:color w:val="000000"/>
              </w:rPr>
              <w:t xml:space="preserve">6. </w:t>
            </w:r>
            <w:proofErr w:type="spellStart"/>
            <w:r w:rsidRPr="009D404A">
              <w:rPr>
                <w:rFonts w:asciiTheme="minorHAnsi" w:hAnsiTheme="minorHAnsi" w:cstheme="minorHAnsi"/>
                <w:color w:val="000000"/>
              </w:rPr>
              <w:t>Yarleny</w:t>
            </w:r>
            <w:proofErr w:type="spellEnd"/>
            <w:r w:rsidRPr="009D404A">
              <w:rPr>
                <w:rFonts w:asciiTheme="minorHAnsi" w:hAnsiTheme="minorHAnsi" w:cstheme="minorHAnsi"/>
                <w:color w:val="000000"/>
              </w:rPr>
              <w:t xml:space="preserve"> Arroyo Valencia (mamá)</w:t>
            </w:r>
          </w:p>
        </w:tc>
      </w:tr>
      <w:tr w:rsidR="00B5389F" w:rsidRPr="009D404A" w14:paraId="500322DF" w14:textId="77777777" w:rsidTr="009D404A">
        <w:tc>
          <w:tcPr>
            <w:tcW w:w="5129" w:type="dxa"/>
            <w:shd w:val="clear" w:color="auto" w:fill="D9D9D9" w:themeFill="background1" w:themeFillShade="D9"/>
          </w:tcPr>
          <w:p w14:paraId="500322DD"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Demandados:</w:t>
            </w:r>
          </w:p>
        </w:tc>
        <w:tc>
          <w:tcPr>
            <w:tcW w:w="6379" w:type="dxa"/>
          </w:tcPr>
          <w:p w14:paraId="500322DE" w14:textId="659CBB4B" w:rsidR="00B5389F" w:rsidRPr="009D404A" w:rsidRDefault="00B5389F" w:rsidP="00B5389F">
            <w:pPr>
              <w:jc w:val="both"/>
              <w:rPr>
                <w:rFonts w:asciiTheme="minorHAnsi" w:hAnsiTheme="minorHAnsi" w:cstheme="minorHAnsi"/>
              </w:rPr>
            </w:pPr>
            <w:r w:rsidRPr="009D404A">
              <w:rPr>
                <w:rFonts w:asciiTheme="minorHAnsi" w:hAnsiTheme="minorHAnsi" w:cstheme="minorHAnsi"/>
                <w:color w:val="000000"/>
              </w:rPr>
              <w:t>1. IPS Manantial de vida S.A.S. 2. Yessenia Viveros Obando 3. Previsora S.A. 4. Liberty Seguros S.A</w:t>
            </w:r>
          </w:p>
        </w:tc>
      </w:tr>
      <w:tr w:rsidR="00B5389F" w:rsidRPr="009D404A" w14:paraId="500322E2" w14:textId="77777777" w:rsidTr="009D404A">
        <w:tc>
          <w:tcPr>
            <w:tcW w:w="5129" w:type="dxa"/>
            <w:shd w:val="clear" w:color="auto" w:fill="D9D9D9" w:themeFill="background1" w:themeFillShade="D9"/>
          </w:tcPr>
          <w:p w14:paraId="500322E0"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Tipo de vinculación de Liberty (directa, llamamiento en garantía, litisconsorte):</w:t>
            </w:r>
          </w:p>
        </w:tc>
        <w:tc>
          <w:tcPr>
            <w:tcW w:w="6379" w:type="dxa"/>
          </w:tcPr>
          <w:p w14:paraId="500322E1" w14:textId="014F8CE1" w:rsidR="00B5389F" w:rsidRPr="009D404A" w:rsidRDefault="00B5389F" w:rsidP="00B5389F">
            <w:pPr>
              <w:jc w:val="both"/>
              <w:rPr>
                <w:rFonts w:asciiTheme="minorHAnsi" w:hAnsiTheme="minorHAnsi" w:cstheme="minorHAnsi"/>
              </w:rPr>
            </w:pPr>
            <w:r w:rsidRPr="009D404A">
              <w:rPr>
                <w:rFonts w:asciiTheme="minorHAnsi" w:hAnsiTheme="minorHAnsi" w:cstheme="minorHAnsi"/>
              </w:rPr>
              <w:t>DEMANDADA DIRECTA</w:t>
            </w:r>
          </w:p>
        </w:tc>
      </w:tr>
      <w:tr w:rsidR="00B5389F" w:rsidRPr="009D404A" w14:paraId="500322E5" w14:textId="77777777" w:rsidTr="009D404A">
        <w:tc>
          <w:tcPr>
            <w:tcW w:w="5129" w:type="dxa"/>
            <w:shd w:val="clear" w:color="auto" w:fill="D9D9D9" w:themeFill="background1" w:themeFillShade="D9"/>
          </w:tcPr>
          <w:p w14:paraId="500322E3"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Resumen de los hechos:</w:t>
            </w:r>
          </w:p>
        </w:tc>
        <w:tc>
          <w:tcPr>
            <w:tcW w:w="6379" w:type="dxa"/>
          </w:tcPr>
          <w:p w14:paraId="500322E4" w14:textId="01175EF5" w:rsidR="00B5389F" w:rsidRPr="009D404A" w:rsidRDefault="00B5389F" w:rsidP="00B5389F">
            <w:pPr>
              <w:jc w:val="both"/>
              <w:rPr>
                <w:rFonts w:asciiTheme="minorHAnsi" w:hAnsiTheme="minorHAnsi" w:cstheme="minorHAnsi"/>
              </w:rPr>
            </w:pPr>
            <w:r w:rsidRPr="009D404A">
              <w:rPr>
                <w:rFonts w:asciiTheme="minorHAnsi" w:hAnsiTheme="minorHAnsi" w:cstheme="minorHAnsi"/>
                <w:color w:val="000000"/>
              </w:rPr>
              <w:t>El señor Deimer Gamboa asistió a IPS Manantial el 20 de junio de 2018 para cita odontológica de higiene oral, en dicha oportunidad le extrajeron una pieza dental y en el momento de la aplicación de anestesia se partió la aguja y el cuerpo extraño aun aparece alojado en la cavidad bucal del paciente.</w:t>
            </w:r>
          </w:p>
        </w:tc>
      </w:tr>
      <w:tr w:rsidR="00B5389F" w:rsidRPr="009D404A" w14:paraId="500322E8" w14:textId="77777777" w:rsidTr="009D404A">
        <w:trPr>
          <w:trHeight w:val="1655"/>
        </w:trPr>
        <w:tc>
          <w:tcPr>
            <w:tcW w:w="5129" w:type="dxa"/>
            <w:shd w:val="clear" w:color="auto" w:fill="D9D9D9" w:themeFill="background1" w:themeFillShade="D9"/>
          </w:tcPr>
          <w:p w14:paraId="500322E6"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Descripción de las pretensiones:</w:t>
            </w:r>
          </w:p>
        </w:tc>
        <w:tc>
          <w:tcPr>
            <w:tcW w:w="6379" w:type="dxa"/>
          </w:tcPr>
          <w:p w14:paraId="500322E7" w14:textId="3DA2C731" w:rsidR="00B5389F" w:rsidRPr="009D404A" w:rsidRDefault="00B5389F" w:rsidP="00B5389F">
            <w:pPr>
              <w:pStyle w:val="NormalWeb"/>
              <w:jc w:val="both"/>
              <w:rPr>
                <w:rFonts w:asciiTheme="minorHAnsi" w:hAnsiTheme="minorHAnsi" w:cstheme="minorHAnsi"/>
                <w:sz w:val="22"/>
                <w:szCs w:val="22"/>
              </w:rPr>
            </w:pPr>
            <w:r w:rsidRPr="009D404A">
              <w:rPr>
                <w:rFonts w:asciiTheme="minorHAnsi" w:hAnsiTheme="minorHAnsi" w:cstheme="minorHAnsi"/>
                <w:sz w:val="22"/>
                <w:szCs w:val="22"/>
              </w:rPr>
              <w:t>La parte demandante aduce que el evento adverso derivado de la rotura de la aguja ocasionó que aquel elemento se aloje en la cavidad bucal del lesionado sin posibilidad de cirugía, por ende manifiesta que ello ha generado impedimentos para acceder al mercado laboral generándole una pérdida de oportunidad, aunado al daño moral derivado de dicha situación, aunado a ello se solicita la indemnización por daño a la salud exclusivamente para el señor Deimer Arroyo.</w:t>
            </w:r>
          </w:p>
        </w:tc>
      </w:tr>
      <w:tr w:rsidR="00B5389F" w:rsidRPr="009D404A" w14:paraId="500322EB" w14:textId="77777777" w:rsidTr="009D404A">
        <w:tc>
          <w:tcPr>
            <w:tcW w:w="5129" w:type="dxa"/>
            <w:shd w:val="clear" w:color="auto" w:fill="D9D9D9" w:themeFill="background1" w:themeFillShade="D9"/>
          </w:tcPr>
          <w:p w14:paraId="500322E9"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Pretensiones cuantificadas ($):</w:t>
            </w:r>
          </w:p>
        </w:tc>
        <w:tc>
          <w:tcPr>
            <w:tcW w:w="6379" w:type="dxa"/>
          </w:tcPr>
          <w:p w14:paraId="683A828A" w14:textId="77777777" w:rsidR="00B5389F" w:rsidRPr="009D404A" w:rsidRDefault="00B5389F" w:rsidP="002E79D4">
            <w:pPr>
              <w:pStyle w:val="NormalWeb"/>
              <w:numPr>
                <w:ilvl w:val="0"/>
                <w:numId w:val="5"/>
              </w:numPr>
              <w:rPr>
                <w:rFonts w:asciiTheme="minorHAnsi" w:hAnsiTheme="minorHAnsi" w:cstheme="minorHAnsi"/>
                <w:sz w:val="22"/>
                <w:szCs w:val="22"/>
              </w:rPr>
            </w:pPr>
            <w:r w:rsidRPr="009D404A">
              <w:rPr>
                <w:rFonts w:asciiTheme="minorHAnsi" w:hAnsiTheme="minorHAnsi" w:cstheme="minorHAnsi"/>
                <w:sz w:val="22"/>
                <w:szCs w:val="22"/>
              </w:rPr>
              <w:t>PÉRDIDA DE OPORTUNIDAD: $15.000.000.</w:t>
            </w:r>
          </w:p>
          <w:p w14:paraId="27AEC5DF" w14:textId="77777777" w:rsidR="00B5389F" w:rsidRPr="009D404A" w:rsidRDefault="00B5389F" w:rsidP="002E79D4">
            <w:pPr>
              <w:pStyle w:val="NormalWeb"/>
              <w:numPr>
                <w:ilvl w:val="0"/>
                <w:numId w:val="5"/>
              </w:numPr>
              <w:rPr>
                <w:rFonts w:asciiTheme="minorHAnsi" w:hAnsiTheme="minorHAnsi" w:cstheme="minorHAnsi"/>
                <w:sz w:val="22"/>
                <w:szCs w:val="22"/>
              </w:rPr>
            </w:pPr>
            <w:r w:rsidRPr="009D404A">
              <w:rPr>
                <w:rFonts w:asciiTheme="minorHAnsi" w:hAnsiTheme="minorHAnsi" w:cstheme="minorHAnsi"/>
                <w:sz w:val="22"/>
                <w:szCs w:val="22"/>
              </w:rPr>
              <w:t>DAÑO MORAL:$338.000.000</w:t>
            </w:r>
          </w:p>
          <w:p w14:paraId="500322EA" w14:textId="76E9B867" w:rsidR="00B5389F" w:rsidRPr="002E79D4" w:rsidRDefault="00B5389F" w:rsidP="002E79D4">
            <w:pPr>
              <w:pStyle w:val="Prrafodelista"/>
              <w:numPr>
                <w:ilvl w:val="0"/>
                <w:numId w:val="5"/>
              </w:numPr>
              <w:jc w:val="both"/>
              <w:rPr>
                <w:rFonts w:asciiTheme="minorHAnsi" w:hAnsiTheme="minorHAnsi" w:cstheme="minorHAnsi"/>
              </w:rPr>
            </w:pPr>
            <w:r w:rsidRPr="002E79D4">
              <w:rPr>
                <w:rFonts w:asciiTheme="minorHAnsi" w:hAnsiTheme="minorHAnsi" w:cstheme="minorHAnsi"/>
              </w:rPr>
              <w:t>DAÑO A LA SALUD: $117.000.000</w:t>
            </w:r>
          </w:p>
        </w:tc>
      </w:tr>
      <w:tr w:rsidR="00B5389F" w:rsidRPr="009D404A" w14:paraId="500322EE" w14:textId="77777777" w:rsidTr="002E79D4">
        <w:trPr>
          <w:trHeight w:val="358"/>
        </w:trPr>
        <w:tc>
          <w:tcPr>
            <w:tcW w:w="5129" w:type="dxa"/>
            <w:shd w:val="clear" w:color="auto" w:fill="D9D9D9" w:themeFill="background1" w:themeFillShade="D9"/>
          </w:tcPr>
          <w:p w14:paraId="500322EC"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Valor asegurado amparos afectados:</w:t>
            </w:r>
          </w:p>
        </w:tc>
        <w:tc>
          <w:tcPr>
            <w:tcW w:w="6379" w:type="dxa"/>
          </w:tcPr>
          <w:p w14:paraId="500322ED" w14:textId="2A5DCD40" w:rsidR="00B5389F" w:rsidRPr="002E79D4" w:rsidRDefault="002E79D4" w:rsidP="00CB3691">
            <w:pPr>
              <w:pStyle w:val="NormalWeb"/>
              <w:rPr>
                <w:rFonts w:asciiTheme="minorHAnsi" w:hAnsiTheme="minorHAnsi" w:cstheme="minorHAnsi"/>
                <w:sz w:val="22"/>
                <w:szCs w:val="22"/>
              </w:rPr>
            </w:pPr>
            <w:r w:rsidRPr="002E79D4">
              <w:rPr>
                <w:rFonts w:asciiTheme="minorHAnsi" w:hAnsiTheme="minorHAnsi" w:cstheme="minorHAnsi"/>
                <w:sz w:val="22"/>
                <w:szCs w:val="22"/>
              </w:rPr>
              <w:t>$</w:t>
            </w:r>
            <w:r w:rsidR="00CB3691" w:rsidRPr="002E79D4">
              <w:rPr>
                <w:rFonts w:asciiTheme="minorHAnsi" w:hAnsiTheme="minorHAnsi" w:cstheme="minorHAnsi"/>
                <w:sz w:val="22"/>
                <w:szCs w:val="22"/>
              </w:rPr>
              <w:t>957</w:t>
            </w:r>
            <w:r w:rsidRPr="002E79D4">
              <w:rPr>
                <w:rFonts w:asciiTheme="minorHAnsi" w:hAnsiTheme="minorHAnsi" w:cstheme="minorHAnsi"/>
                <w:sz w:val="22"/>
                <w:szCs w:val="22"/>
              </w:rPr>
              <w:t>.</w:t>
            </w:r>
            <w:r w:rsidR="00CB3691" w:rsidRPr="002E79D4">
              <w:rPr>
                <w:rFonts w:asciiTheme="minorHAnsi" w:hAnsiTheme="minorHAnsi" w:cstheme="minorHAnsi"/>
                <w:sz w:val="22"/>
                <w:szCs w:val="22"/>
              </w:rPr>
              <w:t>051</w:t>
            </w:r>
            <w:r w:rsidRPr="002E79D4">
              <w:rPr>
                <w:rFonts w:asciiTheme="minorHAnsi" w:hAnsiTheme="minorHAnsi" w:cstheme="minorHAnsi"/>
                <w:sz w:val="22"/>
                <w:szCs w:val="22"/>
              </w:rPr>
              <w:t>.</w:t>
            </w:r>
            <w:r w:rsidR="00CB3691" w:rsidRPr="002E79D4">
              <w:rPr>
                <w:rFonts w:asciiTheme="minorHAnsi" w:hAnsiTheme="minorHAnsi" w:cstheme="minorHAnsi"/>
                <w:sz w:val="22"/>
                <w:szCs w:val="22"/>
              </w:rPr>
              <w:t xml:space="preserve">450 </w:t>
            </w:r>
          </w:p>
        </w:tc>
      </w:tr>
      <w:tr w:rsidR="00B5389F" w:rsidRPr="009D404A" w14:paraId="500322F1" w14:textId="77777777" w:rsidTr="009D404A">
        <w:tc>
          <w:tcPr>
            <w:tcW w:w="5129" w:type="dxa"/>
            <w:shd w:val="clear" w:color="auto" w:fill="D9D9D9" w:themeFill="background1" w:themeFillShade="D9"/>
          </w:tcPr>
          <w:p w14:paraId="500322EF"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Valoración objetiva de las pretensiones:</w:t>
            </w:r>
          </w:p>
        </w:tc>
        <w:tc>
          <w:tcPr>
            <w:tcW w:w="6379" w:type="dxa"/>
          </w:tcPr>
          <w:p w14:paraId="29F725EF" w14:textId="438D3AD7" w:rsidR="00B5389F" w:rsidRPr="009D404A" w:rsidRDefault="002E79D4" w:rsidP="002E79D4">
            <w:pPr>
              <w:jc w:val="both"/>
              <w:rPr>
                <w:rFonts w:asciiTheme="minorHAnsi" w:hAnsiTheme="minorHAnsi" w:cstheme="minorHAnsi"/>
              </w:rPr>
            </w:pPr>
            <w:r>
              <w:rPr>
                <w:rFonts w:asciiTheme="minorHAnsi" w:hAnsiTheme="minorHAnsi" w:cstheme="minorHAnsi"/>
              </w:rPr>
              <w:t xml:space="preserve">Se anticipa que el riesgo de exposición de la compañía es cero, pero para efectos de liquidar los perjuicios se tiene una </w:t>
            </w:r>
            <w:r w:rsidR="00CB3691" w:rsidRPr="009D404A">
              <w:rPr>
                <w:rFonts w:asciiTheme="minorHAnsi" w:hAnsiTheme="minorHAnsi" w:cstheme="minorHAnsi"/>
              </w:rPr>
              <w:t xml:space="preserve">liquidación objetiva de las pretensiones </w:t>
            </w:r>
            <w:r>
              <w:rPr>
                <w:rFonts w:asciiTheme="minorHAnsi" w:hAnsiTheme="minorHAnsi" w:cstheme="minorHAnsi"/>
              </w:rPr>
              <w:t>por la</w:t>
            </w:r>
            <w:r w:rsidR="00CB3691" w:rsidRPr="009D404A">
              <w:rPr>
                <w:rFonts w:asciiTheme="minorHAnsi" w:hAnsiTheme="minorHAnsi" w:cstheme="minorHAnsi"/>
              </w:rPr>
              <w:t xml:space="preserve"> suma de $</w:t>
            </w:r>
            <w:r>
              <w:rPr>
                <w:rFonts w:asciiTheme="minorHAnsi" w:hAnsiTheme="minorHAnsi" w:cstheme="minorHAnsi"/>
              </w:rPr>
              <w:t xml:space="preserve">14.000.000. </w:t>
            </w:r>
            <w:r w:rsidR="00CB3691" w:rsidRPr="009D404A">
              <w:rPr>
                <w:rFonts w:asciiTheme="minorHAnsi" w:hAnsiTheme="minorHAnsi" w:cstheme="minorHAnsi"/>
              </w:rPr>
              <w:t xml:space="preserve"> </w:t>
            </w:r>
            <w:r>
              <w:rPr>
                <w:rFonts w:asciiTheme="minorHAnsi" w:hAnsiTheme="minorHAnsi" w:cstheme="minorHAnsi"/>
              </w:rPr>
              <w:t>L</w:t>
            </w:r>
            <w:r w:rsidR="00CB3691" w:rsidRPr="009D404A">
              <w:rPr>
                <w:rFonts w:asciiTheme="minorHAnsi" w:hAnsiTheme="minorHAnsi" w:cstheme="minorHAnsi"/>
              </w:rPr>
              <w:t>o anterior teniendo en cuenta las siguientes consideraciones:</w:t>
            </w:r>
          </w:p>
          <w:p w14:paraId="343C6964" w14:textId="77777777" w:rsidR="00CB3691" w:rsidRPr="009D404A" w:rsidRDefault="00CB3691" w:rsidP="00B5389F">
            <w:pPr>
              <w:rPr>
                <w:rFonts w:asciiTheme="minorHAnsi" w:hAnsiTheme="minorHAnsi" w:cstheme="minorHAnsi"/>
              </w:rPr>
            </w:pPr>
          </w:p>
          <w:p w14:paraId="09017CA5" w14:textId="1A888F56" w:rsidR="00CB3691" w:rsidRPr="002E79D4" w:rsidRDefault="00CB3691" w:rsidP="00CB3691">
            <w:pPr>
              <w:pStyle w:val="Prrafodelista"/>
              <w:numPr>
                <w:ilvl w:val="0"/>
                <w:numId w:val="3"/>
              </w:numPr>
              <w:rPr>
                <w:rFonts w:asciiTheme="minorHAnsi" w:hAnsiTheme="minorHAnsi" w:cstheme="minorHAnsi"/>
                <w:b/>
                <w:bCs/>
              </w:rPr>
            </w:pPr>
            <w:r w:rsidRPr="002E79D4">
              <w:rPr>
                <w:rFonts w:asciiTheme="minorHAnsi" w:hAnsiTheme="minorHAnsi" w:cstheme="minorHAnsi"/>
                <w:b/>
                <w:bCs/>
              </w:rPr>
              <w:t>Pérdida de oportunidad: $0</w:t>
            </w:r>
          </w:p>
          <w:p w14:paraId="1BC77860" w14:textId="61F988D4" w:rsidR="00CB3691" w:rsidRPr="009D404A" w:rsidRDefault="00CB3691" w:rsidP="00CB3691">
            <w:pPr>
              <w:rPr>
                <w:rFonts w:asciiTheme="minorHAnsi" w:hAnsiTheme="minorHAnsi" w:cstheme="minorHAnsi"/>
              </w:rPr>
            </w:pPr>
            <w:r w:rsidRPr="009D404A">
              <w:rPr>
                <w:rFonts w:asciiTheme="minorHAnsi" w:hAnsiTheme="minorHAnsi" w:cstheme="minorHAnsi"/>
              </w:rPr>
              <w:t xml:space="preserve">No se reconocerá suma alguna por este concepto en la medida en que no se encuentra prueba cierta del chance perdido, pues aunque </w:t>
            </w:r>
            <w:r w:rsidRPr="009D404A">
              <w:rPr>
                <w:rFonts w:asciiTheme="minorHAnsi" w:hAnsiTheme="minorHAnsi" w:cstheme="minorHAnsi"/>
              </w:rPr>
              <w:lastRenderedPageBreak/>
              <w:t xml:space="preserve">se adosa una certificación de diseños obras e ingeniería en donde se indica que no es posible contratar al señor Arroyo por tener una aguja hipodérmica en el maxilar superior, lo cierto es que dicha constancia se emite en febrero 2019, es decir un año después del evento médico y no se ha probado como dicha situación afecta la posibilidad de laborar de la víctima, por ende no se ha probado el daño alegado. </w:t>
            </w:r>
          </w:p>
          <w:p w14:paraId="3A24BA78" w14:textId="77777777" w:rsidR="00CB3691" w:rsidRPr="009D404A" w:rsidRDefault="00CB3691" w:rsidP="00CB3691">
            <w:pPr>
              <w:rPr>
                <w:rFonts w:asciiTheme="minorHAnsi" w:hAnsiTheme="minorHAnsi" w:cstheme="minorHAnsi"/>
              </w:rPr>
            </w:pPr>
          </w:p>
          <w:p w14:paraId="138F9991" w14:textId="18D717D8" w:rsidR="00CB3691" w:rsidRPr="002E79D4" w:rsidRDefault="00CB3691" w:rsidP="00CB3691">
            <w:pPr>
              <w:pStyle w:val="Prrafodelista"/>
              <w:numPr>
                <w:ilvl w:val="0"/>
                <w:numId w:val="3"/>
              </w:numPr>
              <w:rPr>
                <w:rFonts w:asciiTheme="minorHAnsi" w:hAnsiTheme="minorHAnsi" w:cstheme="minorHAnsi"/>
                <w:b/>
                <w:bCs/>
              </w:rPr>
            </w:pPr>
            <w:r w:rsidRPr="002E79D4">
              <w:rPr>
                <w:rFonts w:asciiTheme="minorHAnsi" w:hAnsiTheme="minorHAnsi" w:cstheme="minorHAnsi"/>
                <w:b/>
                <w:bCs/>
              </w:rPr>
              <w:t>Daño moral: $</w:t>
            </w:r>
            <w:r w:rsidR="00FB582B" w:rsidRPr="002E79D4">
              <w:rPr>
                <w:rFonts w:asciiTheme="minorHAnsi" w:hAnsiTheme="minorHAnsi" w:cstheme="minorHAnsi"/>
                <w:b/>
                <w:bCs/>
              </w:rPr>
              <w:t>18.000.000</w:t>
            </w:r>
          </w:p>
          <w:p w14:paraId="64C49820" w14:textId="77777777" w:rsidR="00CB3691" w:rsidRPr="009D404A" w:rsidRDefault="00CB3691" w:rsidP="00CB3691">
            <w:pPr>
              <w:rPr>
                <w:rFonts w:asciiTheme="minorHAnsi" w:hAnsiTheme="minorHAnsi" w:cstheme="minorHAnsi"/>
              </w:rPr>
            </w:pPr>
          </w:p>
          <w:p w14:paraId="413FD7A9" w14:textId="2C869FF0" w:rsidR="00CB3691" w:rsidRPr="009D404A" w:rsidRDefault="00CB3691" w:rsidP="00CB3691">
            <w:pPr>
              <w:jc w:val="both"/>
              <w:rPr>
                <w:rFonts w:asciiTheme="minorHAnsi" w:hAnsiTheme="minorHAnsi" w:cstheme="minorHAnsi"/>
                <w:color w:val="000000"/>
              </w:rPr>
            </w:pPr>
            <w:r w:rsidRPr="009D404A">
              <w:rPr>
                <w:rFonts w:asciiTheme="minorHAnsi" w:hAnsiTheme="minorHAnsi" w:cstheme="minorHAnsi"/>
                <w:color w:val="000000"/>
              </w:rPr>
              <w:t>Se reconocerá la suma de $</w:t>
            </w:r>
            <w:r w:rsidR="00464FA1" w:rsidRPr="009D404A">
              <w:rPr>
                <w:rFonts w:asciiTheme="minorHAnsi" w:hAnsiTheme="minorHAnsi" w:cstheme="minorHAnsi"/>
                <w:color w:val="000000"/>
              </w:rPr>
              <w:t>7.000.000</w:t>
            </w:r>
            <w:r w:rsidRPr="009D404A">
              <w:rPr>
                <w:rFonts w:asciiTheme="minorHAnsi" w:hAnsiTheme="minorHAnsi" w:cstheme="minorHAnsi"/>
                <w:color w:val="000000"/>
              </w:rPr>
              <w:t xml:space="preserve"> para </w:t>
            </w:r>
            <w:r w:rsidRPr="009D404A">
              <w:rPr>
                <w:rFonts w:asciiTheme="minorHAnsi" w:hAnsiTheme="minorHAnsi" w:cstheme="minorHAnsi"/>
                <w:color w:val="000000"/>
              </w:rPr>
              <w:t>Deimer Gamboa Arroyo (víctima directa)</w:t>
            </w:r>
            <w:r w:rsidRPr="009D404A">
              <w:rPr>
                <w:rFonts w:asciiTheme="minorHAnsi" w:hAnsiTheme="minorHAnsi" w:cstheme="minorHAnsi"/>
                <w:color w:val="000000"/>
              </w:rPr>
              <w:t>, $</w:t>
            </w:r>
            <w:r w:rsidR="00464FA1" w:rsidRPr="009D404A">
              <w:rPr>
                <w:rFonts w:asciiTheme="minorHAnsi" w:hAnsiTheme="minorHAnsi" w:cstheme="minorHAnsi"/>
                <w:color w:val="000000"/>
              </w:rPr>
              <w:t>3.000</w:t>
            </w:r>
            <w:r w:rsidRPr="009D404A">
              <w:rPr>
                <w:rFonts w:asciiTheme="minorHAnsi" w:hAnsiTheme="minorHAnsi" w:cstheme="minorHAnsi"/>
                <w:color w:val="000000"/>
              </w:rPr>
              <w:t xml:space="preserve">.000 para </w:t>
            </w:r>
            <w:r w:rsidR="00464FA1" w:rsidRPr="009D404A">
              <w:rPr>
                <w:rFonts w:asciiTheme="minorHAnsi" w:hAnsiTheme="minorHAnsi" w:cstheme="minorHAnsi"/>
                <w:color w:val="000000"/>
              </w:rPr>
              <w:t xml:space="preserve">cada uno de los siguientes demandantes:  </w:t>
            </w:r>
            <w:r w:rsidRPr="009D404A">
              <w:rPr>
                <w:rFonts w:asciiTheme="minorHAnsi" w:hAnsiTheme="minorHAnsi" w:cstheme="minorHAnsi"/>
                <w:color w:val="000000"/>
              </w:rPr>
              <w:t>Jennyfer Angulo Mina (compañera permanente</w:t>
            </w:r>
            <w:r w:rsidRPr="009D404A">
              <w:rPr>
                <w:rFonts w:asciiTheme="minorHAnsi" w:hAnsiTheme="minorHAnsi" w:cstheme="minorHAnsi"/>
                <w:color w:val="000000"/>
              </w:rPr>
              <w:t xml:space="preserve">), </w:t>
            </w:r>
            <w:proofErr w:type="spellStart"/>
            <w:r w:rsidRPr="009D404A">
              <w:rPr>
                <w:rFonts w:asciiTheme="minorHAnsi" w:hAnsiTheme="minorHAnsi" w:cstheme="minorHAnsi"/>
                <w:color w:val="000000"/>
              </w:rPr>
              <w:t>Keilin</w:t>
            </w:r>
            <w:proofErr w:type="spellEnd"/>
            <w:r w:rsidRPr="009D404A">
              <w:rPr>
                <w:rFonts w:asciiTheme="minorHAnsi" w:hAnsiTheme="minorHAnsi" w:cstheme="minorHAnsi"/>
                <w:color w:val="000000"/>
              </w:rPr>
              <w:t xml:space="preserve"> Luciana Gamboa Angulo (hija)</w:t>
            </w:r>
            <w:r w:rsidRPr="009D404A">
              <w:rPr>
                <w:rFonts w:asciiTheme="minorHAnsi" w:hAnsiTheme="minorHAnsi" w:cstheme="minorHAnsi"/>
                <w:color w:val="000000"/>
              </w:rPr>
              <w:t xml:space="preserve"> y</w:t>
            </w:r>
            <w:r w:rsidRPr="009D404A">
              <w:rPr>
                <w:rFonts w:asciiTheme="minorHAnsi" w:hAnsiTheme="minorHAnsi" w:cstheme="minorHAnsi"/>
                <w:color w:val="000000"/>
              </w:rPr>
              <w:t xml:space="preserve"> </w:t>
            </w:r>
            <w:proofErr w:type="spellStart"/>
            <w:r w:rsidRPr="009D404A">
              <w:rPr>
                <w:rFonts w:asciiTheme="minorHAnsi" w:hAnsiTheme="minorHAnsi" w:cstheme="minorHAnsi"/>
                <w:color w:val="000000"/>
              </w:rPr>
              <w:t>Yarleny</w:t>
            </w:r>
            <w:proofErr w:type="spellEnd"/>
            <w:r w:rsidRPr="009D404A">
              <w:rPr>
                <w:rFonts w:asciiTheme="minorHAnsi" w:hAnsiTheme="minorHAnsi" w:cstheme="minorHAnsi"/>
                <w:color w:val="000000"/>
              </w:rPr>
              <w:t xml:space="preserve"> Arroyo Valencia (mamá</w:t>
            </w:r>
            <w:r w:rsidRPr="009D404A">
              <w:rPr>
                <w:rFonts w:asciiTheme="minorHAnsi" w:hAnsiTheme="minorHAnsi" w:cstheme="minorHAnsi"/>
                <w:color w:val="000000"/>
              </w:rPr>
              <w:t>)</w:t>
            </w:r>
            <w:r w:rsidR="00464FA1" w:rsidRPr="009D404A">
              <w:rPr>
                <w:rFonts w:asciiTheme="minorHAnsi" w:hAnsiTheme="minorHAnsi" w:cstheme="minorHAnsi"/>
                <w:color w:val="000000"/>
              </w:rPr>
              <w:t xml:space="preserve">, por su parte se reconocerá $1.000.000 para cada uno de los demandantes </w:t>
            </w:r>
            <w:r w:rsidRPr="009D404A">
              <w:rPr>
                <w:rFonts w:asciiTheme="minorHAnsi" w:hAnsiTheme="minorHAnsi" w:cstheme="minorHAnsi"/>
                <w:color w:val="000000"/>
              </w:rPr>
              <w:t xml:space="preserve">Johan </w:t>
            </w:r>
            <w:proofErr w:type="spellStart"/>
            <w:r w:rsidRPr="009D404A">
              <w:rPr>
                <w:rFonts w:asciiTheme="minorHAnsi" w:hAnsiTheme="minorHAnsi" w:cstheme="minorHAnsi"/>
                <w:color w:val="000000"/>
              </w:rPr>
              <w:t>Sneider</w:t>
            </w:r>
            <w:proofErr w:type="spellEnd"/>
            <w:r w:rsidRPr="009D404A">
              <w:rPr>
                <w:rFonts w:asciiTheme="minorHAnsi" w:hAnsiTheme="minorHAnsi" w:cstheme="minorHAnsi"/>
                <w:color w:val="000000"/>
              </w:rPr>
              <w:t xml:space="preserve"> Gamboa Arroyo (hermano) </w:t>
            </w:r>
            <w:r w:rsidR="00464FA1" w:rsidRPr="009D404A">
              <w:rPr>
                <w:rFonts w:asciiTheme="minorHAnsi" w:hAnsiTheme="minorHAnsi" w:cstheme="minorHAnsi"/>
                <w:color w:val="000000"/>
              </w:rPr>
              <w:t xml:space="preserve"> y </w:t>
            </w:r>
            <w:r w:rsidRPr="009D404A">
              <w:rPr>
                <w:rFonts w:asciiTheme="minorHAnsi" w:hAnsiTheme="minorHAnsi" w:cstheme="minorHAnsi"/>
                <w:color w:val="000000"/>
              </w:rPr>
              <w:t xml:space="preserve">Danna Liseth Gamboa Arroyo (hermana) </w:t>
            </w:r>
          </w:p>
          <w:p w14:paraId="34B5D0BF" w14:textId="0C63E5FA" w:rsidR="00CB3691" w:rsidRPr="009D404A" w:rsidRDefault="00CB3691" w:rsidP="00CB3691">
            <w:pPr>
              <w:rPr>
                <w:rFonts w:asciiTheme="minorHAnsi" w:hAnsiTheme="minorHAnsi" w:cstheme="minorHAnsi"/>
                <w:color w:val="000000"/>
              </w:rPr>
            </w:pPr>
          </w:p>
          <w:p w14:paraId="42BFD348" w14:textId="45B0EEDF" w:rsidR="00464FA1" w:rsidRPr="009D404A" w:rsidRDefault="00464FA1" w:rsidP="00FB582B">
            <w:pPr>
              <w:jc w:val="both"/>
              <w:rPr>
                <w:rFonts w:asciiTheme="minorHAnsi" w:hAnsiTheme="minorHAnsi" w:cstheme="minorHAnsi"/>
                <w:color w:val="000000"/>
              </w:rPr>
            </w:pPr>
            <w:r w:rsidRPr="009D404A">
              <w:rPr>
                <w:rFonts w:asciiTheme="minorHAnsi" w:hAnsiTheme="minorHAnsi" w:cstheme="minorHAnsi"/>
                <w:color w:val="000000"/>
              </w:rPr>
              <w:t xml:space="preserve">Lo anterior teniendo en cuenta que aunque se demostró que el paciente tiene alojado en su cuerpo la aguja hipodérmica, no se ha probado en qué medida dicha situación produce situaciones desmesuradas o graves en la salud del paciente que sean capaces de incidir altamente en la espera emocional de los demandantes. </w:t>
            </w:r>
            <w:r w:rsidR="00FB582B" w:rsidRPr="009D404A">
              <w:rPr>
                <w:rFonts w:asciiTheme="minorHAnsi" w:hAnsiTheme="minorHAnsi" w:cstheme="minorHAnsi"/>
                <w:color w:val="000000"/>
              </w:rPr>
              <w:t xml:space="preserve">Así teniendo en cuenta que estas lesiones de baja gravedad se han indemnizado en cuantía de 2 millones, según la sentencia SC05/05/1999 </w:t>
            </w:r>
            <w:proofErr w:type="spellStart"/>
            <w:r w:rsidR="00FB582B" w:rsidRPr="009D404A">
              <w:rPr>
                <w:rFonts w:asciiTheme="minorHAnsi" w:hAnsiTheme="minorHAnsi" w:cstheme="minorHAnsi"/>
                <w:color w:val="000000"/>
              </w:rPr>
              <w:t>Exp</w:t>
            </w:r>
            <w:proofErr w:type="spellEnd"/>
            <w:r w:rsidR="00FB582B" w:rsidRPr="009D404A">
              <w:rPr>
                <w:rFonts w:asciiTheme="minorHAnsi" w:hAnsiTheme="minorHAnsi" w:cstheme="minorHAnsi"/>
                <w:color w:val="000000"/>
              </w:rPr>
              <w:t>. 1987, debe reajustarse de tal suerte que esa suma al año 2024 equivaldría a $7.000.000 a favor de la víctima directa y de ahí en adelante se reduce prudentemente frente a los familiares del señor Arroyo.</w:t>
            </w:r>
          </w:p>
          <w:p w14:paraId="24ACA6A7" w14:textId="77777777" w:rsidR="00FB582B" w:rsidRPr="009D404A" w:rsidRDefault="00FB582B" w:rsidP="00FB582B">
            <w:pPr>
              <w:jc w:val="both"/>
              <w:rPr>
                <w:rFonts w:asciiTheme="minorHAnsi" w:hAnsiTheme="minorHAnsi" w:cstheme="minorHAnsi"/>
                <w:color w:val="000000"/>
              </w:rPr>
            </w:pPr>
          </w:p>
          <w:p w14:paraId="2F5C6FA6" w14:textId="3F2CC758" w:rsidR="00FB582B" w:rsidRDefault="00FB582B" w:rsidP="00FB582B">
            <w:pPr>
              <w:pStyle w:val="Prrafodelista"/>
              <w:numPr>
                <w:ilvl w:val="0"/>
                <w:numId w:val="3"/>
              </w:numPr>
              <w:jc w:val="both"/>
              <w:rPr>
                <w:rFonts w:asciiTheme="minorHAnsi" w:hAnsiTheme="minorHAnsi" w:cstheme="minorHAnsi"/>
                <w:b/>
                <w:bCs/>
              </w:rPr>
            </w:pPr>
            <w:r w:rsidRPr="002E79D4">
              <w:rPr>
                <w:rFonts w:asciiTheme="minorHAnsi" w:hAnsiTheme="minorHAnsi" w:cstheme="minorHAnsi"/>
                <w:b/>
                <w:bCs/>
              </w:rPr>
              <w:t>Daño a la salud: $0</w:t>
            </w:r>
          </w:p>
          <w:p w14:paraId="5E1B72FA" w14:textId="77777777" w:rsidR="002E79D4" w:rsidRPr="002E79D4" w:rsidRDefault="002E79D4" w:rsidP="002E79D4">
            <w:pPr>
              <w:pStyle w:val="Prrafodelista"/>
              <w:jc w:val="both"/>
              <w:rPr>
                <w:rFonts w:asciiTheme="minorHAnsi" w:hAnsiTheme="minorHAnsi" w:cstheme="minorHAnsi"/>
                <w:b/>
                <w:bCs/>
              </w:rPr>
            </w:pPr>
          </w:p>
          <w:p w14:paraId="721EA579" w14:textId="4F7682D6" w:rsidR="00FB582B" w:rsidRDefault="00FB582B" w:rsidP="00FB582B">
            <w:pPr>
              <w:jc w:val="both"/>
              <w:rPr>
                <w:rFonts w:asciiTheme="minorHAnsi" w:hAnsiTheme="minorHAnsi" w:cstheme="minorHAnsi"/>
              </w:rPr>
            </w:pPr>
            <w:r w:rsidRPr="009D404A">
              <w:rPr>
                <w:rFonts w:asciiTheme="minorHAnsi" w:hAnsiTheme="minorHAnsi" w:cstheme="minorHAnsi"/>
              </w:rPr>
              <w:t xml:space="preserve">No se reconocerá suma alguna en la medida en que en el plenario no obra historia clínica que demuestre que en efecto el alojamiento de la aguja hipodérmica ha causado una desmejora en la salud, o que haya causado secuela alguna. </w:t>
            </w:r>
          </w:p>
          <w:p w14:paraId="38CC41C7" w14:textId="77777777" w:rsidR="002E79D4" w:rsidRDefault="002E79D4" w:rsidP="00FB582B">
            <w:pPr>
              <w:jc w:val="both"/>
              <w:rPr>
                <w:rFonts w:asciiTheme="minorHAnsi" w:hAnsiTheme="minorHAnsi" w:cstheme="minorHAnsi"/>
              </w:rPr>
            </w:pPr>
          </w:p>
          <w:p w14:paraId="3043085F" w14:textId="6336E947" w:rsidR="002E79D4" w:rsidRDefault="002E79D4" w:rsidP="002E79D4">
            <w:pPr>
              <w:pStyle w:val="Prrafodelista"/>
              <w:numPr>
                <w:ilvl w:val="0"/>
                <w:numId w:val="3"/>
              </w:numPr>
              <w:jc w:val="both"/>
              <w:rPr>
                <w:rFonts w:asciiTheme="minorHAnsi" w:hAnsiTheme="minorHAnsi" w:cstheme="minorHAnsi"/>
              </w:rPr>
            </w:pPr>
            <w:r w:rsidRPr="002E79D4">
              <w:rPr>
                <w:rFonts w:asciiTheme="minorHAnsi" w:hAnsiTheme="minorHAnsi" w:cstheme="minorHAnsi"/>
                <w:b/>
                <w:bCs/>
              </w:rPr>
              <w:t>Deducible:</w:t>
            </w:r>
            <w:r>
              <w:rPr>
                <w:rFonts w:asciiTheme="minorHAnsi" w:hAnsiTheme="minorHAnsi" w:cstheme="minorHAnsi"/>
              </w:rPr>
              <w:t xml:space="preserve"> La póliza contempla un deducible del 10% de la pérdida, mínimo $4.000.000</w:t>
            </w:r>
          </w:p>
          <w:p w14:paraId="68792893" w14:textId="77777777" w:rsidR="002E79D4" w:rsidRDefault="002E79D4" w:rsidP="002E79D4">
            <w:pPr>
              <w:jc w:val="both"/>
              <w:rPr>
                <w:rFonts w:asciiTheme="minorHAnsi" w:hAnsiTheme="minorHAnsi" w:cstheme="minorHAnsi"/>
              </w:rPr>
            </w:pPr>
          </w:p>
          <w:p w14:paraId="393A718C" w14:textId="0C9919A3" w:rsidR="002E79D4" w:rsidRPr="002E79D4" w:rsidRDefault="002E79D4" w:rsidP="002E79D4">
            <w:pPr>
              <w:jc w:val="both"/>
              <w:rPr>
                <w:rFonts w:asciiTheme="minorHAnsi" w:hAnsiTheme="minorHAnsi" w:cstheme="minorHAnsi"/>
              </w:rPr>
            </w:pPr>
            <w:r>
              <w:rPr>
                <w:rFonts w:asciiTheme="minorHAnsi" w:hAnsiTheme="minorHAnsi" w:cstheme="minorHAnsi"/>
              </w:rPr>
              <w:t>Por lo anterior al total de perjuicios ($18.000.000) se le resta $4.00.000, generando un valor final de $14.000.000.</w:t>
            </w:r>
          </w:p>
          <w:p w14:paraId="500322F0" w14:textId="1EECBCB3" w:rsidR="00CB3691" w:rsidRPr="009D404A" w:rsidRDefault="00CB3691" w:rsidP="00B5389F">
            <w:pPr>
              <w:rPr>
                <w:rFonts w:asciiTheme="minorHAnsi" w:hAnsiTheme="minorHAnsi" w:cstheme="minorHAnsi"/>
              </w:rPr>
            </w:pPr>
          </w:p>
        </w:tc>
      </w:tr>
      <w:tr w:rsidR="00B5389F" w:rsidRPr="009D404A" w14:paraId="500322F4" w14:textId="77777777" w:rsidTr="009D404A">
        <w:tc>
          <w:tcPr>
            <w:tcW w:w="5129" w:type="dxa"/>
            <w:shd w:val="clear" w:color="auto" w:fill="D9D9D9" w:themeFill="background1" w:themeFillShade="D9"/>
          </w:tcPr>
          <w:p w14:paraId="500322F2"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lastRenderedPageBreak/>
              <w:t>Calificación de la contingencia:</w:t>
            </w:r>
          </w:p>
        </w:tc>
        <w:tc>
          <w:tcPr>
            <w:tcW w:w="6379" w:type="dxa"/>
          </w:tcPr>
          <w:p w14:paraId="500322F3" w14:textId="0B413D18" w:rsidR="00FB582B" w:rsidRPr="009D404A" w:rsidRDefault="002E79D4" w:rsidP="002E79D4">
            <w:pPr>
              <w:jc w:val="both"/>
              <w:rPr>
                <w:rFonts w:asciiTheme="minorHAnsi" w:hAnsiTheme="minorHAnsi" w:cstheme="minorHAnsi"/>
              </w:rPr>
            </w:pPr>
            <w:r>
              <w:rPr>
                <w:rFonts w:asciiTheme="minorHAnsi" w:hAnsiTheme="minorHAnsi" w:cstheme="minorHAnsi"/>
              </w:rPr>
              <w:t>REMOTA</w:t>
            </w:r>
          </w:p>
        </w:tc>
      </w:tr>
      <w:tr w:rsidR="00B5389F" w:rsidRPr="009D404A" w14:paraId="500322F7" w14:textId="77777777" w:rsidTr="009D404A">
        <w:tc>
          <w:tcPr>
            <w:tcW w:w="5129" w:type="dxa"/>
            <w:shd w:val="clear" w:color="auto" w:fill="D9D9D9" w:themeFill="background1" w:themeFillShade="D9"/>
          </w:tcPr>
          <w:p w14:paraId="500322F5"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t>Motivos de la calificación:</w:t>
            </w:r>
          </w:p>
        </w:tc>
        <w:tc>
          <w:tcPr>
            <w:tcW w:w="6379" w:type="dxa"/>
          </w:tcPr>
          <w:p w14:paraId="38884E96" w14:textId="77777777" w:rsidR="002E79D4" w:rsidRDefault="002E79D4" w:rsidP="002E79D4">
            <w:pPr>
              <w:jc w:val="both"/>
              <w:rPr>
                <w:rFonts w:asciiTheme="minorHAnsi" w:hAnsiTheme="minorHAnsi" w:cstheme="minorHAnsi"/>
              </w:rPr>
            </w:pPr>
            <w:r w:rsidRPr="009D404A">
              <w:rPr>
                <w:rFonts w:asciiTheme="minorHAnsi" w:hAnsiTheme="minorHAnsi" w:cstheme="minorHAnsi"/>
              </w:rPr>
              <w:t xml:space="preserve">La contingencia se califica como </w:t>
            </w:r>
            <w:r w:rsidRPr="002E79D4">
              <w:rPr>
                <w:rFonts w:asciiTheme="minorHAnsi" w:hAnsiTheme="minorHAnsi" w:cstheme="minorHAnsi"/>
                <w:b/>
                <w:bCs/>
              </w:rPr>
              <w:t>REMOTA</w:t>
            </w:r>
            <w:r w:rsidRPr="009D404A">
              <w:rPr>
                <w:rFonts w:asciiTheme="minorHAnsi" w:hAnsiTheme="minorHAnsi" w:cstheme="minorHAnsi"/>
              </w:rPr>
              <w:t xml:space="preserve"> teniendo en cuenta que la póliza no presta cobertura temporal.</w:t>
            </w:r>
          </w:p>
          <w:p w14:paraId="5126F507" w14:textId="71C8E769" w:rsidR="002E79D4" w:rsidRPr="009D404A" w:rsidRDefault="002E79D4" w:rsidP="002E79D4">
            <w:pPr>
              <w:pStyle w:val="NormalWeb"/>
              <w:jc w:val="both"/>
              <w:rPr>
                <w:rFonts w:asciiTheme="minorHAnsi" w:hAnsiTheme="minorHAnsi" w:cstheme="minorHAnsi"/>
                <w:sz w:val="22"/>
                <w:szCs w:val="22"/>
              </w:rPr>
            </w:pPr>
            <w:r w:rsidRPr="009D404A">
              <w:rPr>
                <w:rFonts w:asciiTheme="minorHAnsi" w:hAnsiTheme="minorHAnsi" w:cstheme="minorHAnsi"/>
                <w:sz w:val="22"/>
                <w:szCs w:val="22"/>
              </w:rPr>
              <w:lastRenderedPageBreak/>
              <w:t xml:space="preserve">En primera medida se debe decir que la póliza No. </w:t>
            </w:r>
            <w:r w:rsidRPr="009D404A">
              <w:rPr>
                <w:rFonts w:asciiTheme="minorHAnsi" w:hAnsiTheme="minorHAnsi" w:cstheme="minorHAnsi"/>
                <w:b/>
                <w:bCs/>
                <w:sz w:val="22"/>
                <w:szCs w:val="22"/>
              </w:rPr>
              <w:t xml:space="preserve">699059 </w:t>
            </w:r>
            <w:r w:rsidRPr="009D404A">
              <w:rPr>
                <w:rFonts w:asciiTheme="minorHAnsi" w:hAnsiTheme="minorHAnsi" w:cstheme="minorHAnsi"/>
                <w:sz w:val="22"/>
                <w:szCs w:val="22"/>
              </w:rPr>
              <w:t>contempla una cobertura temporal entre el 19 de octubre de 2018 hasta el 19 de octubre de 2019, en consecuencia no se encontraba</w:t>
            </w:r>
            <w:r>
              <w:rPr>
                <w:rFonts w:asciiTheme="minorHAnsi" w:hAnsiTheme="minorHAnsi" w:cstheme="minorHAnsi"/>
                <w:sz w:val="22"/>
                <w:szCs w:val="22"/>
              </w:rPr>
              <w:t xml:space="preserve"> </w:t>
            </w:r>
            <w:r w:rsidRPr="009D404A">
              <w:rPr>
                <w:rFonts w:asciiTheme="minorHAnsi" w:hAnsiTheme="minorHAnsi" w:cstheme="minorHAnsi"/>
                <w:sz w:val="22"/>
                <w:szCs w:val="22"/>
              </w:rPr>
              <w:t xml:space="preserve">vigente para el día de los hechos (20 de junio de 2019), aunque es un seguro por modalidad </w:t>
            </w:r>
            <w:proofErr w:type="spellStart"/>
            <w:r w:rsidRPr="009D404A">
              <w:rPr>
                <w:rFonts w:asciiTheme="minorHAnsi" w:hAnsiTheme="minorHAnsi" w:cstheme="minorHAnsi"/>
                <w:sz w:val="22"/>
                <w:szCs w:val="22"/>
              </w:rPr>
              <w:t>claims</w:t>
            </w:r>
            <w:proofErr w:type="spellEnd"/>
            <w:r w:rsidRPr="009D404A">
              <w:rPr>
                <w:rFonts w:asciiTheme="minorHAnsi" w:hAnsiTheme="minorHAnsi" w:cstheme="minorHAnsi"/>
                <w:sz w:val="22"/>
                <w:szCs w:val="22"/>
              </w:rPr>
              <w:t xml:space="preserve"> </w:t>
            </w:r>
            <w:proofErr w:type="spellStart"/>
            <w:r w:rsidRPr="009D404A">
              <w:rPr>
                <w:rFonts w:asciiTheme="minorHAnsi" w:hAnsiTheme="minorHAnsi" w:cstheme="minorHAnsi"/>
                <w:sz w:val="22"/>
                <w:szCs w:val="22"/>
              </w:rPr>
              <w:t>made</w:t>
            </w:r>
            <w:proofErr w:type="spellEnd"/>
            <w:r w:rsidRPr="009D404A">
              <w:rPr>
                <w:rFonts w:asciiTheme="minorHAnsi" w:hAnsiTheme="minorHAnsi" w:cstheme="minorHAnsi"/>
                <w:sz w:val="22"/>
                <w:szCs w:val="22"/>
              </w:rPr>
              <w:t>, no contempla un periodo de retroactividad en su cobertura. por lo que se concluye que no presta cobertura temporal. Frente a la cobertura material en efecto el seguro contempla el amparo de responsabilidad civil profesional.</w:t>
            </w:r>
          </w:p>
          <w:p w14:paraId="5E92DCAA" w14:textId="77777777" w:rsidR="002E79D4" w:rsidRPr="009D404A" w:rsidRDefault="002E79D4" w:rsidP="002E79D4">
            <w:pPr>
              <w:pStyle w:val="NormalWeb"/>
              <w:jc w:val="both"/>
              <w:rPr>
                <w:rFonts w:asciiTheme="minorHAnsi" w:hAnsiTheme="minorHAnsi" w:cstheme="minorHAnsi"/>
                <w:sz w:val="22"/>
                <w:szCs w:val="22"/>
              </w:rPr>
            </w:pPr>
            <w:r w:rsidRPr="009D404A">
              <w:rPr>
                <w:rFonts w:asciiTheme="minorHAnsi" w:hAnsiTheme="minorHAnsi" w:cstheme="minorHAnsi"/>
                <w:sz w:val="22"/>
                <w:szCs w:val="22"/>
              </w:rPr>
              <w:t>Frente a la responsabilidad del asegurado y la aseguradora, debe decirse que está probado el hecho culposo puesto que en la historia clínica de IPS Manantial se indica que ocurrió un evento adverso cuando se fragmentó la aguja con la que se estaba suministrando la anestesia para adelantar el procedimiento odontológico, luego no hay eximente de responsabilidad alguno. Sin embargo debe decirse que no se ha probado todos los daños, puesto que la pérdida de oportunidad alegada no cumple el carácter cierto y tampoco se evidencia un nexo causal entre el acto culposo y el supuesto daño, así mismo frente al daño a la salud no existe registro médico que evidencie continuidad de atenciones por el elemento extraño alojado en el maxilar, no se evidencia cuáles son las repercusiones que ello ha generado, quedando así únicamente la posibilidad de reconocer el daño moral que en estos eventos puede fincarse en una presunción pero morigerado al caudal probatorio que descarta unas lesiones de gravedad. Por otro lado, frente a la obligación de Liberty, debe decirse que no es posible imponer condena alguna puesto que la póliza por la cual se vinculó no estaba vigente para la época de la atención odontológica, sino que empezó su cobertura cuatro meses después.</w:t>
            </w:r>
          </w:p>
          <w:p w14:paraId="43285EC4" w14:textId="77777777" w:rsidR="002E79D4" w:rsidRPr="009D404A" w:rsidRDefault="002E79D4" w:rsidP="002E79D4">
            <w:pPr>
              <w:jc w:val="both"/>
              <w:rPr>
                <w:rFonts w:asciiTheme="minorHAnsi" w:hAnsiTheme="minorHAnsi" w:cstheme="minorHAnsi"/>
              </w:rPr>
            </w:pPr>
            <w:r w:rsidRPr="009D404A">
              <w:rPr>
                <w:rFonts w:asciiTheme="minorHAnsi" w:hAnsiTheme="minorHAnsi" w:cstheme="minorHAnsi"/>
              </w:rPr>
              <w:t>Todo lo anterior, sin perjuicio del carácter contingente del proceso.</w:t>
            </w:r>
          </w:p>
          <w:p w14:paraId="1A127533" w14:textId="77777777" w:rsidR="002E79D4" w:rsidRPr="009D404A" w:rsidRDefault="002E79D4" w:rsidP="002E79D4">
            <w:pPr>
              <w:jc w:val="both"/>
              <w:rPr>
                <w:rFonts w:asciiTheme="minorHAnsi" w:hAnsiTheme="minorHAnsi" w:cstheme="minorHAnsi"/>
              </w:rPr>
            </w:pPr>
          </w:p>
          <w:p w14:paraId="500322F6" w14:textId="1635BF7A" w:rsidR="00B5389F" w:rsidRPr="009D404A" w:rsidRDefault="00B5389F" w:rsidP="00B5389F">
            <w:pPr>
              <w:spacing w:line="276" w:lineRule="auto"/>
              <w:jc w:val="both"/>
              <w:rPr>
                <w:rFonts w:asciiTheme="minorHAnsi" w:eastAsia="Arial" w:hAnsiTheme="minorHAnsi" w:cstheme="minorHAnsi"/>
              </w:rPr>
            </w:pPr>
          </w:p>
        </w:tc>
      </w:tr>
      <w:tr w:rsidR="00B5389F" w:rsidRPr="009D404A" w14:paraId="50032300" w14:textId="77777777" w:rsidTr="009D404A">
        <w:tc>
          <w:tcPr>
            <w:tcW w:w="5129" w:type="dxa"/>
            <w:shd w:val="clear" w:color="auto" w:fill="D9D9D9" w:themeFill="background1" w:themeFillShade="D9"/>
          </w:tcPr>
          <w:p w14:paraId="500322F8"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lastRenderedPageBreak/>
              <w:t>Excepciones propuestas:</w:t>
            </w:r>
          </w:p>
        </w:tc>
        <w:tc>
          <w:tcPr>
            <w:tcW w:w="6379" w:type="dxa"/>
          </w:tcPr>
          <w:p w14:paraId="32D5DAB4" w14:textId="1EF18AAD" w:rsidR="00B5389F" w:rsidRPr="009D404A" w:rsidRDefault="00B5389F" w:rsidP="00B5389F">
            <w:pPr>
              <w:jc w:val="both"/>
              <w:rPr>
                <w:rFonts w:asciiTheme="minorHAnsi" w:hAnsiTheme="minorHAnsi" w:cstheme="minorHAnsi"/>
                <w:b/>
                <w:bCs/>
              </w:rPr>
            </w:pPr>
            <w:r w:rsidRPr="009D404A">
              <w:rPr>
                <w:rFonts w:asciiTheme="minorHAnsi" w:hAnsiTheme="minorHAnsi" w:cstheme="minorHAnsi"/>
                <w:b/>
                <w:bCs/>
              </w:rPr>
              <w:t xml:space="preserve">EXCEPCIONES DE FONDO FRENTE A LA </w:t>
            </w:r>
            <w:r w:rsidR="009D404A" w:rsidRPr="009D404A">
              <w:rPr>
                <w:rFonts w:asciiTheme="minorHAnsi" w:hAnsiTheme="minorHAnsi" w:cstheme="minorHAnsi"/>
                <w:b/>
                <w:bCs/>
              </w:rPr>
              <w:t>RESPONSABILIDAD:</w:t>
            </w:r>
          </w:p>
          <w:p w14:paraId="259EB29A" w14:textId="77777777" w:rsidR="009D404A" w:rsidRPr="009D404A" w:rsidRDefault="009D404A" w:rsidP="009D404A">
            <w:pPr>
              <w:pStyle w:val="Ttulo2"/>
              <w:numPr>
                <w:ilvl w:val="0"/>
                <w:numId w:val="3"/>
              </w:numPr>
              <w:rPr>
                <w:rFonts w:asciiTheme="minorHAnsi" w:hAnsiTheme="minorHAnsi" w:cstheme="minorHAnsi"/>
                <w:b w:val="0"/>
                <w:sz w:val="22"/>
                <w:szCs w:val="22"/>
              </w:rPr>
            </w:pPr>
            <w:r w:rsidRPr="009D404A">
              <w:rPr>
                <w:rFonts w:asciiTheme="minorHAnsi" w:hAnsiTheme="minorHAnsi" w:cstheme="minorHAnsi"/>
                <w:b w:val="0"/>
                <w:sz w:val="22"/>
                <w:szCs w:val="22"/>
              </w:rPr>
              <w:lastRenderedPageBreak/>
              <w:t>EL RÉGIMEN DE RESPONSABILIDAD CIVIL MÉDICA SE RIGE POR LA CULPA PROBADA-INEXISTENCIA DE OBLIGACIÓN DE IPS MANANTIAL DE VIDA POR AUSENCIA DE CULPA</w:t>
            </w:r>
          </w:p>
          <w:p w14:paraId="6122652B" w14:textId="77777777" w:rsidR="009D404A" w:rsidRPr="009D404A" w:rsidRDefault="009D404A" w:rsidP="009D404A">
            <w:pPr>
              <w:pStyle w:val="Ttulo2"/>
              <w:numPr>
                <w:ilvl w:val="0"/>
                <w:numId w:val="3"/>
              </w:numPr>
              <w:rPr>
                <w:rFonts w:asciiTheme="minorHAnsi" w:hAnsiTheme="minorHAnsi" w:cstheme="minorHAnsi"/>
                <w:b w:val="0"/>
                <w:sz w:val="22"/>
                <w:szCs w:val="22"/>
                <w:lang w:val="es-ES_tradnl"/>
              </w:rPr>
            </w:pPr>
            <w:r w:rsidRPr="009D404A">
              <w:rPr>
                <w:rFonts w:asciiTheme="minorHAnsi" w:hAnsiTheme="minorHAnsi" w:cstheme="minorHAnsi"/>
                <w:b w:val="0"/>
                <w:sz w:val="22"/>
                <w:szCs w:val="22"/>
                <w:lang w:val="es-ES_tradnl"/>
              </w:rPr>
              <w:t>FALTA DE LEGITIMACIÓN EN LA CAUSA POR ACTIVA DE JENNYFER AGUDELO MINA</w:t>
            </w:r>
          </w:p>
          <w:p w14:paraId="284654B3" w14:textId="77777777" w:rsidR="009D404A" w:rsidRPr="009D404A" w:rsidRDefault="009D404A" w:rsidP="009D404A">
            <w:pPr>
              <w:pStyle w:val="Ttulo2"/>
              <w:numPr>
                <w:ilvl w:val="0"/>
                <w:numId w:val="3"/>
              </w:numPr>
              <w:rPr>
                <w:rFonts w:asciiTheme="minorHAnsi" w:hAnsiTheme="minorHAnsi" w:cstheme="minorHAnsi"/>
                <w:b w:val="0"/>
                <w:sz w:val="22"/>
                <w:szCs w:val="22"/>
                <w:lang w:val="es-ES_tradnl"/>
              </w:rPr>
            </w:pPr>
            <w:r w:rsidRPr="009D404A">
              <w:rPr>
                <w:rFonts w:asciiTheme="minorHAnsi" w:hAnsiTheme="minorHAnsi" w:cstheme="minorHAnsi"/>
                <w:b w:val="0"/>
                <w:sz w:val="22"/>
                <w:szCs w:val="22"/>
                <w:lang w:val="es-ES_tradnl"/>
              </w:rPr>
              <w:t xml:space="preserve">LOS PERJUICIOS MORALES SOLICITADOS DESCONOCEN LOS LÍMITES JURISPRUDENCIALES ESTABLECIDOS POR EL MÁXIMO ÓRGANO DE LA JURISDICCIÓN CIVIL </w:t>
            </w:r>
          </w:p>
          <w:p w14:paraId="1D645D54" w14:textId="77777777" w:rsidR="009D404A" w:rsidRPr="009D404A" w:rsidRDefault="009D404A" w:rsidP="009D404A">
            <w:pPr>
              <w:pStyle w:val="Ttulo2"/>
              <w:numPr>
                <w:ilvl w:val="0"/>
                <w:numId w:val="3"/>
              </w:numPr>
              <w:rPr>
                <w:rFonts w:asciiTheme="minorHAnsi" w:hAnsiTheme="minorHAnsi" w:cstheme="minorHAnsi"/>
                <w:b w:val="0"/>
                <w:sz w:val="22"/>
                <w:szCs w:val="22"/>
              </w:rPr>
            </w:pPr>
            <w:r w:rsidRPr="009D404A">
              <w:rPr>
                <w:rFonts w:asciiTheme="minorHAnsi" w:hAnsiTheme="minorHAnsi" w:cstheme="minorHAnsi"/>
                <w:b w:val="0"/>
                <w:sz w:val="22"/>
                <w:szCs w:val="22"/>
              </w:rPr>
              <w:t>INEXISTENCIA DEL DAÑO CONSISTENTE EN LA PÉRDIDA DE OPORTUNIDAD, POR ENDE NO HAY LUGAR A SU RECONOCIMIENTO</w:t>
            </w:r>
          </w:p>
          <w:p w14:paraId="094D211E" w14:textId="77777777" w:rsidR="009D404A" w:rsidRPr="009D404A" w:rsidRDefault="009D404A" w:rsidP="009D404A">
            <w:pPr>
              <w:pStyle w:val="Ttulo2"/>
              <w:numPr>
                <w:ilvl w:val="0"/>
                <w:numId w:val="3"/>
              </w:numPr>
              <w:rPr>
                <w:rFonts w:asciiTheme="minorHAnsi" w:hAnsiTheme="minorHAnsi" w:cstheme="minorHAnsi"/>
                <w:b w:val="0"/>
                <w:sz w:val="22"/>
                <w:szCs w:val="22"/>
              </w:rPr>
            </w:pPr>
            <w:r w:rsidRPr="009D404A">
              <w:rPr>
                <w:rFonts w:asciiTheme="minorHAnsi" w:hAnsiTheme="minorHAnsi" w:cstheme="minorHAnsi"/>
                <w:b w:val="0"/>
                <w:sz w:val="22"/>
                <w:szCs w:val="22"/>
              </w:rPr>
              <w:t>INEXISTENCIA E IMPROCEDENCIA DE ACCEDER A UNA INDMENIZACIÓN POR DAÑO A LA SALUD</w:t>
            </w:r>
          </w:p>
          <w:p w14:paraId="500322FB" w14:textId="76D1516C" w:rsidR="00B5389F" w:rsidRPr="009D404A" w:rsidRDefault="009D404A" w:rsidP="009D404A">
            <w:pPr>
              <w:pStyle w:val="Ttulo2"/>
              <w:numPr>
                <w:ilvl w:val="0"/>
                <w:numId w:val="3"/>
              </w:numPr>
              <w:rPr>
                <w:rFonts w:asciiTheme="minorHAnsi" w:hAnsiTheme="minorHAnsi" w:cstheme="minorHAnsi"/>
                <w:b w:val="0"/>
                <w:sz w:val="22"/>
                <w:szCs w:val="22"/>
              </w:rPr>
            </w:pPr>
            <w:r w:rsidRPr="009D404A">
              <w:rPr>
                <w:rFonts w:asciiTheme="minorHAnsi" w:hAnsiTheme="minorHAnsi" w:cstheme="minorHAnsi"/>
                <w:b w:val="0"/>
                <w:sz w:val="22"/>
                <w:szCs w:val="22"/>
              </w:rPr>
              <w:t>GENÉRICA O INNOMINADA</w:t>
            </w:r>
          </w:p>
          <w:p w14:paraId="500322FC" w14:textId="77777777" w:rsidR="00B5389F" w:rsidRPr="009D404A" w:rsidRDefault="00B5389F" w:rsidP="00B5389F">
            <w:pPr>
              <w:jc w:val="both"/>
              <w:rPr>
                <w:rFonts w:asciiTheme="minorHAnsi" w:hAnsiTheme="minorHAnsi" w:cstheme="minorHAnsi"/>
              </w:rPr>
            </w:pPr>
          </w:p>
          <w:p w14:paraId="500322FD" w14:textId="7BC4C1F7" w:rsidR="00B5389F" w:rsidRPr="009D404A" w:rsidRDefault="00B5389F" w:rsidP="00B5389F">
            <w:pPr>
              <w:jc w:val="both"/>
              <w:rPr>
                <w:rFonts w:asciiTheme="minorHAnsi" w:hAnsiTheme="minorHAnsi" w:cstheme="minorHAnsi"/>
                <w:b/>
                <w:bCs/>
              </w:rPr>
            </w:pPr>
            <w:r w:rsidRPr="009D404A">
              <w:rPr>
                <w:rFonts w:asciiTheme="minorHAnsi" w:hAnsiTheme="minorHAnsi" w:cstheme="minorHAnsi"/>
                <w:b/>
                <w:bCs/>
              </w:rPr>
              <w:t>EXCEPCIONES FRENTE AL LLAMAMIENTO EN GARANTÍA:</w:t>
            </w:r>
          </w:p>
          <w:p w14:paraId="49EF55BB" w14:textId="77777777" w:rsidR="009D404A" w:rsidRPr="009D404A" w:rsidRDefault="009D404A" w:rsidP="009D404A">
            <w:pPr>
              <w:pStyle w:val="Ttulo2"/>
              <w:numPr>
                <w:ilvl w:val="0"/>
                <w:numId w:val="4"/>
              </w:numPr>
              <w:rPr>
                <w:rFonts w:asciiTheme="minorHAnsi" w:hAnsiTheme="minorHAnsi" w:cstheme="minorHAnsi"/>
                <w:b w:val="0"/>
                <w:sz w:val="22"/>
                <w:szCs w:val="22"/>
              </w:rPr>
            </w:pPr>
            <w:r w:rsidRPr="009D404A">
              <w:rPr>
                <w:rFonts w:asciiTheme="minorHAnsi" w:hAnsiTheme="minorHAnsi" w:cstheme="minorHAnsi"/>
                <w:b w:val="0"/>
                <w:sz w:val="22"/>
                <w:szCs w:val="22"/>
              </w:rPr>
              <w:t>FALTA DE COBERTURA TEMPORAL DE LA PÓLIZA 699059</w:t>
            </w:r>
          </w:p>
          <w:p w14:paraId="524E4CF3" w14:textId="77777777" w:rsidR="009D404A" w:rsidRPr="009D404A" w:rsidRDefault="009D404A" w:rsidP="009D404A">
            <w:pPr>
              <w:pStyle w:val="Ttulo2"/>
              <w:numPr>
                <w:ilvl w:val="0"/>
                <w:numId w:val="4"/>
              </w:numPr>
              <w:rPr>
                <w:rFonts w:asciiTheme="minorHAnsi" w:hAnsiTheme="minorHAnsi" w:cstheme="minorHAnsi"/>
                <w:b w:val="0"/>
                <w:sz w:val="22"/>
                <w:szCs w:val="22"/>
              </w:rPr>
            </w:pPr>
            <w:r w:rsidRPr="009D404A">
              <w:rPr>
                <w:rFonts w:asciiTheme="minorHAnsi" w:hAnsiTheme="minorHAnsi" w:cstheme="minorHAnsi"/>
                <w:b w:val="0"/>
                <w:sz w:val="22"/>
                <w:szCs w:val="22"/>
              </w:rPr>
              <w:t>FALTA DE LEGITIMACIÓN EN LA CAUSA POR PASIVA DE LIBERTY SEGUROS S.A.</w:t>
            </w:r>
          </w:p>
          <w:p w14:paraId="1131E8B0" w14:textId="77777777" w:rsidR="009D404A" w:rsidRPr="009D404A" w:rsidRDefault="009D404A" w:rsidP="009D404A">
            <w:pPr>
              <w:pStyle w:val="Ttulo2"/>
              <w:numPr>
                <w:ilvl w:val="0"/>
                <w:numId w:val="4"/>
              </w:numPr>
              <w:rPr>
                <w:rFonts w:asciiTheme="minorHAnsi" w:hAnsiTheme="minorHAnsi" w:cstheme="minorHAnsi"/>
                <w:b w:val="0"/>
                <w:sz w:val="22"/>
                <w:szCs w:val="22"/>
              </w:rPr>
            </w:pPr>
            <w:r w:rsidRPr="009D404A">
              <w:rPr>
                <w:rFonts w:asciiTheme="minorHAnsi" w:hAnsiTheme="minorHAnsi" w:cstheme="minorHAnsi"/>
                <w:b w:val="0"/>
                <w:sz w:val="22"/>
                <w:szCs w:val="22"/>
              </w:rPr>
              <w:t xml:space="preserve">PRESCRIPCIÓN DE LAS ACCIONES DERIVADAS DEL CONTRATO DE SEGURO </w:t>
            </w:r>
          </w:p>
          <w:p w14:paraId="319BA478" w14:textId="77777777" w:rsidR="009D404A" w:rsidRPr="009D404A" w:rsidRDefault="009D404A" w:rsidP="009D404A">
            <w:pPr>
              <w:pStyle w:val="Ttulo2"/>
              <w:numPr>
                <w:ilvl w:val="0"/>
                <w:numId w:val="4"/>
              </w:numPr>
              <w:rPr>
                <w:rFonts w:asciiTheme="minorHAnsi" w:hAnsiTheme="minorHAnsi" w:cstheme="minorHAnsi"/>
                <w:b w:val="0"/>
                <w:sz w:val="22"/>
                <w:szCs w:val="22"/>
              </w:rPr>
            </w:pPr>
            <w:r w:rsidRPr="009D404A">
              <w:rPr>
                <w:rFonts w:asciiTheme="minorHAnsi" w:hAnsiTheme="minorHAnsi" w:cstheme="minorHAnsi"/>
                <w:b w:val="0"/>
                <w:sz w:val="22"/>
                <w:szCs w:val="22"/>
              </w:rPr>
              <w:t xml:space="preserve">SUBSIDIARIAMENTE, INEXISTENCIA DE OBLIGACIÓN INDEMNIZATORIA, POR FALTA DE ACREDITACION DE LAS CARGAS PREVISTAS EN EL ARTÍCULO 1077 DEL </w:t>
            </w:r>
            <w:proofErr w:type="spellStart"/>
            <w:r w:rsidRPr="009D404A">
              <w:rPr>
                <w:rFonts w:asciiTheme="minorHAnsi" w:hAnsiTheme="minorHAnsi" w:cstheme="minorHAnsi"/>
                <w:b w:val="0"/>
                <w:sz w:val="22"/>
                <w:szCs w:val="22"/>
              </w:rPr>
              <w:t>C.Co</w:t>
            </w:r>
            <w:proofErr w:type="spellEnd"/>
            <w:r w:rsidRPr="009D404A">
              <w:rPr>
                <w:rFonts w:asciiTheme="minorHAnsi" w:hAnsiTheme="minorHAnsi" w:cstheme="minorHAnsi"/>
                <w:b w:val="0"/>
                <w:sz w:val="22"/>
                <w:szCs w:val="22"/>
              </w:rPr>
              <w:t>.</w:t>
            </w:r>
          </w:p>
          <w:p w14:paraId="758877A0" w14:textId="77777777" w:rsidR="009D404A" w:rsidRPr="009D404A" w:rsidRDefault="009D404A" w:rsidP="009D404A">
            <w:pPr>
              <w:pStyle w:val="Ttulo2"/>
              <w:numPr>
                <w:ilvl w:val="0"/>
                <w:numId w:val="4"/>
              </w:numPr>
              <w:rPr>
                <w:rFonts w:asciiTheme="minorHAnsi" w:hAnsiTheme="minorHAnsi" w:cstheme="minorHAnsi"/>
                <w:b w:val="0"/>
                <w:sz w:val="22"/>
                <w:szCs w:val="22"/>
              </w:rPr>
            </w:pPr>
            <w:bookmarkStart w:id="0" w:name="_Hlk87507686"/>
            <w:r w:rsidRPr="009D404A">
              <w:rPr>
                <w:rFonts w:asciiTheme="minorHAnsi" w:hAnsiTheme="minorHAnsi" w:cstheme="minorHAnsi"/>
                <w:b w:val="0"/>
                <w:sz w:val="22"/>
                <w:szCs w:val="22"/>
              </w:rPr>
              <w:t xml:space="preserve">CARÁCTER MERAMENTE INDEMNIZATORIO QUE REVISTEN LOS CONTRATOS DE SEGUROS </w:t>
            </w:r>
          </w:p>
          <w:p w14:paraId="04AED0CD" w14:textId="77777777" w:rsidR="009D404A" w:rsidRPr="009D404A" w:rsidRDefault="009D404A" w:rsidP="009D404A">
            <w:pPr>
              <w:pStyle w:val="Ttulo2"/>
              <w:numPr>
                <w:ilvl w:val="0"/>
                <w:numId w:val="4"/>
              </w:numPr>
              <w:rPr>
                <w:rFonts w:asciiTheme="minorHAnsi" w:hAnsiTheme="minorHAnsi" w:cstheme="minorHAnsi"/>
                <w:b w:val="0"/>
                <w:sz w:val="22"/>
                <w:szCs w:val="22"/>
              </w:rPr>
            </w:pPr>
            <w:bookmarkStart w:id="1" w:name="_Hlk87507663"/>
            <w:bookmarkEnd w:id="0"/>
            <w:r w:rsidRPr="009D404A">
              <w:rPr>
                <w:rFonts w:asciiTheme="minorHAnsi" w:hAnsiTheme="minorHAnsi" w:cstheme="minorHAnsi"/>
                <w:b w:val="0"/>
                <w:sz w:val="22"/>
                <w:szCs w:val="22"/>
              </w:rPr>
              <w:t>SUJECIÓN A LAS CONDICIONES PARTICULARES Y GENERALES DEL CONTRATO DE SEGURO, EN LA QUE SE IDENTIFICA LA PÓLIZA 699059, EL CLAUSULADO Y LOS AMPAROS</w:t>
            </w:r>
          </w:p>
          <w:p w14:paraId="07DBDD1C" w14:textId="77777777" w:rsidR="009D404A" w:rsidRPr="009D404A" w:rsidRDefault="009D404A" w:rsidP="009D404A">
            <w:pPr>
              <w:pStyle w:val="Ttulo2"/>
              <w:numPr>
                <w:ilvl w:val="0"/>
                <w:numId w:val="4"/>
              </w:numPr>
              <w:rPr>
                <w:rFonts w:asciiTheme="minorHAnsi" w:eastAsia="Times New Roman" w:hAnsiTheme="minorHAnsi" w:cstheme="minorHAnsi"/>
                <w:b w:val="0"/>
                <w:sz w:val="22"/>
                <w:szCs w:val="22"/>
                <w:lang w:val="es-ES_tradnl" w:eastAsia="es-ES"/>
              </w:rPr>
            </w:pPr>
            <w:bookmarkStart w:id="2" w:name="_Hlk87507711"/>
            <w:bookmarkEnd w:id="1"/>
            <w:r w:rsidRPr="009D404A">
              <w:rPr>
                <w:rFonts w:asciiTheme="minorHAnsi" w:eastAsia="Times New Roman" w:hAnsiTheme="minorHAnsi" w:cstheme="minorHAnsi"/>
                <w:b w:val="0"/>
                <w:sz w:val="22"/>
                <w:szCs w:val="22"/>
                <w:lang w:val="es-ES_tradnl" w:eastAsia="es-ES"/>
              </w:rPr>
              <w:lastRenderedPageBreak/>
              <w:t>EN CUALQUIER CASO, DE NINGUNA FORMA SE PODRÁ EXCEDER EL LÍMITE DEL VALOR ASEGURADO</w:t>
            </w:r>
          </w:p>
          <w:p w14:paraId="7140566C" w14:textId="77777777" w:rsidR="009D404A" w:rsidRPr="009D404A" w:rsidRDefault="009D404A" w:rsidP="009D404A">
            <w:pPr>
              <w:pStyle w:val="Ttulo2"/>
              <w:numPr>
                <w:ilvl w:val="0"/>
                <w:numId w:val="4"/>
              </w:numPr>
              <w:rPr>
                <w:rFonts w:asciiTheme="minorHAnsi" w:hAnsiTheme="minorHAnsi" w:cstheme="minorHAnsi"/>
                <w:b w:val="0"/>
                <w:sz w:val="22"/>
                <w:szCs w:val="22"/>
              </w:rPr>
            </w:pPr>
            <w:bookmarkStart w:id="3" w:name="_Hlk87507734"/>
            <w:bookmarkEnd w:id="2"/>
            <w:r w:rsidRPr="009D404A">
              <w:rPr>
                <w:rFonts w:asciiTheme="minorHAnsi" w:eastAsia="Times New Roman" w:hAnsiTheme="minorHAnsi" w:cstheme="minorHAnsi"/>
                <w:b w:val="0"/>
                <w:sz w:val="22"/>
                <w:szCs w:val="22"/>
                <w:shd w:val="clear" w:color="auto" w:fill="FFFFFF"/>
              </w:rPr>
              <w:t>EN CUALQUIER CASO, SE DEBERÁ TENER EN CUENTA EL DEDUCIBLE PACTADO</w:t>
            </w:r>
          </w:p>
          <w:bookmarkEnd w:id="3"/>
          <w:p w14:paraId="1829C94E" w14:textId="77777777" w:rsidR="009D404A" w:rsidRPr="009D404A" w:rsidRDefault="009D404A" w:rsidP="009D404A">
            <w:pPr>
              <w:pStyle w:val="Ttulo2"/>
              <w:numPr>
                <w:ilvl w:val="0"/>
                <w:numId w:val="4"/>
              </w:numPr>
              <w:rPr>
                <w:rFonts w:asciiTheme="minorHAnsi" w:hAnsiTheme="minorHAnsi" w:cstheme="minorHAnsi"/>
                <w:b w:val="0"/>
                <w:sz w:val="22"/>
                <w:szCs w:val="22"/>
              </w:rPr>
            </w:pPr>
            <w:r w:rsidRPr="009D404A">
              <w:rPr>
                <w:rFonts w:asciiTheme="minorHAnsi" w:hAnsiTheme="minorHAnsi" w:cstheme="minorHAnsi"/>
                <w:b w:val="0"/>
                <w:sz w:val="22"/>
                <w:szCs w:val="22"/>
              </w:rPr>
              <w:t xml:space="preserve">DISPONIBILIDAD DEL VALOR ASEGURADO. </w:t>
            </w:r>
          </w:p>
          <w:p w14:paraId="2A998204" w14:textId="77777777" w:rsidR="009D404A" w:rsidRPr="009D404A" w:rsidRDefault="009D404A" w:rsidP="009D404A">
            <w:pPr>
              <w:pStyle w:val="Ttulo2"/>
              <w:numPr>
                <w:ilvl w:val="0"/>
                <w:numId w:val="4"/>
              </w:numPr>
              <w:rPr>
                <w:rFonts w:asciiTheme="minorHAnsi" w:hAnsiTheme="minorHAnsi" w:cstheme="minorHAnsi"/>
                <w:b w:val="0"/>
                <w:sz w:val="22"/>
                <w:szCs w:val="22"/>
              </w:rPr>
            </w:pPr>
            <w:r w:rsidRPr="009D404A">
              <w:rPr>
                <w:rFonts w:asciiTheme="minorHAnsi" w:hAnsiTheme="minorHAnsi" w:cstheme="minorHAnsi"/>
                <w:b w:val="0"/>
                <w:sz w:val="22"/>
                <w:szCs w:val="22"/>
              </w:rPr>
              <w:t xml:space="preserve">GENÉRICA O INNOMINADA </w:t>
            </w:r>
          </w:p>
          <w:p w14:paraId="5613A009" w14:textId="77777777" w:rsidR="009D404A" w:rsidRPr="009D404A" w:rsidRDefault="009D404A" w:rsidP="00B5389F">
            <w:pPr>
              <w:jc w:val="both"/>
              <w:rPr>
                <w:rFonts w:asciiTheme="minorHAnsi" w:hAnsiTheme="minorHAnsi" w:cstheme="minorHAnsi"/>
              </w:rPr>
            </w:pPr>
          </w:p>
          <w:p w14:paraId="500322FF" w14:textId="77777777" w:rsidR="00B5389F" w:rsidRPr="009D404A" w:rsidRDefault="00B5389F" w:rsidP="00B5389F">
            <w:pPr>
              <w:jc w:val="both"/>
              <w:rPr>
                <w:rFonts w:asciiTheme="minorHAnsi" w:hAnsiTheme="minorHAnsi" w:cstheme="minorHAnsi"/>
              </w:rPr>
            </w:pPr>
          </w:p>
        </w:tc>
      </w:tr>
      <w:tr w:rsidR="00B5389F" w:rsidRPr="009D404A" w14:paraId="50032303" w14:textId="77777777" w:rsidTr="009D404A">
        <w:tc>
          <w:tcPr>
            <w:tcW w:w="5129" w:type="dxa"/>
            <w:shd w:val="clear" w:color="auto" w:fill="D9D9D9" w:themeFill="background1" w:themeFillShade="D9"/>
          </w:tcPr>
          <w:p w14:paraId="50032301" w14:textId="77777777" w:rsidR="00B5389F" w:rsidRPr="009D404A" w:rsidRDefault="00B5389F" w:rsidP="00B5389F">
            <w:pPr>
              <w:rPr>
                <w:rFonts w:asciiTheme="minorHAnsi" w:hAnsiTheme="minorHAnsi" w:cstheme="minorHAnsi"/>
                <w:b/>
              </w:rPr>
            </w:pPr>
            <w:r w:rsidRPr="009D404A">
              <w:rPr>
                <w:rFonts w:asciiTheme="minorHAnsi" w:hAnsiTheme="minorHAnsi" w:cstheme="minorHAnsi"/>
                <w:b/>
              </w:rPr>
              <w:lastRenderedPageBreak/>
              <w:t>Concepto del abogado sobre la posibilidad de conciliar el caso y valor de una propuesta conciliatoria:</w:t>
            </w:r>
          </w:p>
        </w:tc>
        <w:tc>
          <w:tcPr>
            <w:tcW w:w="6379" w:type="dxa"/>
          </w:tcPr>
          <w:p w14:paraId="50032302" w14:textId="1ED9A790" w:rsidR="00B5389F" w:rsidRPr="002E79D4" w:rsidRDefault="002E79D4" w:rsidP="00B5389F">
            <w:pPr>
              <w:jc w:val="both"/>
              <w:rPr>
                <w:rFonts w:asciiTheme="minorHAnsi" w:hAnsiTheme="minorHAnsi" w:cstheme="minorHAnsi"/>
                <w:bCs/>
              </w:rPr>
            </w:pPr>
            <w:r w:rsidRPr="002E79D4">
              <w:rPr>
                <w:rFonts w:asciiTheme="minorHAnsi" w:hAnsiTheme="minorHAnsi" w:cstheme="minorHAnsi"/>
                <w:bCs/>
              </w:rPr>
              <w:t>No se recomienda conciliar ante la calificación remota de la contingencia</w:t>
            </w:r>
          </w:p>
        </w:tc>
      </w:tr>
    </w:tbl>
    <w:p w14:paraId="50032304" w14:textId="77777777" w:rsidR="0057097F" w:rsidRPr="009D404A" w:rsidRDefault="0057097F">
      <w:pPr>
        <w:rPr>
          <w:rFonts w:asciiTheme="minorHAnsi" w:hAnsiTheme="minorHAnsi" w:cstheme="minorHAnsi"/>
          <w:b/>
        </w:rPr>
      </w:pPr>
    </w:p>
    <w:p w14:paraId="50032305" w14:textId="77777777" w:rsidR="0057097F" w:rsidRPr="009D404A" w:rsidRDefault="0057097F">
      <w:pPr>
        <w:rPr>
          <w:rFonts w:asciiTheme="minorHAnsi" w:hAnsiTheme="minorHAnsi" w:cstheme="minorHAnsi"/>
          <w:b/>
        </w:rPr>
      </w:pPr>
    </w:p>
    <w:p w14:paraId="50032306" w14:textId="77777777" w:rsidR="0057097F" w:rsidRPr="009D404A" w:rsidRDefault="000B7A27">
      <w:pPr>
        <w:rPr>
          <w:rFonts w:asciiTheme="minorHAnsi" w:hAnsiTheme="minorHAnsi" w:cstheme="minorHAnsi"/>
          <w:b/>
        </w:rPr>
      </w:pPr>
      <w:r w:rsidRPr="009D404A">
        <w:rPr>
          <w:rFonts w:asciiTheme="minorHAnsi" w:hAnsiTheme="minorHAnsi" w:cstheme="min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9D404A" w14:paraId="50032309" w14:textId="77777777">
        <w:trPr>
          <w:trHeight w:val="238"/>
        </w:trPr>
        <w:tc>
          <w:tcPr>
            <w:tcW w:w="4414" w:type="dxa"/>
            <w:shd w:val="clear" w:color="auto" w:fill="D9D9D9"/>
          </w:tcPr>
          <w:p w14:paraId="50032307" w14:textId="77777777" w:rsidR="0057097F" w:rsidRPr="009D404A" w:rsidRDefault="000B7A27">
            <w:pPr>
              <w:rPr>
                <w:rFonts w:asciiTheme="minorHAnsi" w:hAnsiTheme="minorHAnsi" w:cstheme="minorHAnsi"/>
                <w:b/>
              </w:rPr>
            </w:pPr>
            <w:r w:rsidRPr="009D404A">
              <w:rPr>
                <w:rFonts w:asciiTheme="minorHAnsi" w:hAnsiTheme="minorHAnsi" w:cstheme="minorHAnsi"/>
                <w:b/>
              </w:rPr>
              <w:t>Fecha y hora de la diligencia:</w:t>
            </w:r>
          </w:p>
        </w:tc>
        <w:tc>
          <w:tcPr>
            <w:tcW w:w="4414" w:type="dxa"/>
          </w:tcPr>
          <w:p w14:paraId="50032308" w14:textId="77777777" w:rsidR="0057097F" w:rsidRPr="009D404A" w:rsidRDefault="0057097F">
            <w:pPr>
              <w:rPr>
                <w:rFonts w:asciiTheme="minorHAnsi" w:hAnsiTheme="minorHAnsi" w:cstheme="minorHAnsi"/>
                <w:b/>
              </w:rPr>
            </w:pPr>
          </w:p>
        </w:tc>
      </w:tr>
      <w:tr w:rsidR="0057097F" w:rsidRPr="009D404A" w14:paraId="5003230C" w14:textId="77777777">
        <w:tc>
          <w:tcPr>
            <w:tcW w:w="4414" w:type="dxa"/>
            <w:shd w:val="clear" w:color="auto" w:fill="D9D9D9"/>
          </w:tcPr>
          <w:p w14:paraId="5003230A" w14:textId="77777777" w:rsidR="0057097F" w:rsidRPr="009D404A" w:rsidRDefault="000B7A27">
            <w:pPr>
              <w:rPr>
                <w:rFonts w:asciiTheme="minorHAnsi" w:hAnsiTheme="minorHAnsi" w:cstheme="minorHAnsi"/>
                <w:b/>
              </w:rPr>
            </w:pPr>
            <w:r w:rsidRPr="009D404A">
              <w:rPr>
                <w:rFonts w:asciiTheme="minorHAnsi" w:hAnsiTheme="minorHAnsi" w:cstheme="minorHAnsi"/>
                <w:b/>
              </w:rPr>
              <w:t>Síntesis de los argumentos de la Compañía:</w:t>
            </w:r>
          </w:p>
        </w:tc>
        <w:tc>
          <w:tcPr>
            <w:tcW w:w="4414" w:type="dxa"/>
          </w:tcPr>
          <w:p w14:paraId="5003230B" w14:textId="77777777" w:rsidR="0057097F" w:rsidRPr="009D404A" w:rsidRDefault="0057097F">
            <w:pPr>
              <w:pBdr>
                <w:top w:val="nil"/>
                <w:left w:val="nil"/>
                <w:bottom w:val="nil"/>
                <w:right w:val="nil"/>
                <w:between w:val="nil"/>
              </w:pBdr>
              <w:spacing w:after="160" w:line="259" w:lineRule="auto"/>
              <w:ind w:left="720"/>
              <w:jc w:val="both"/>
              <w:rPr>
                <w:rFonts w:asciiTheme="minorHAnsi" w:hAnsiTheme="minorHAnsi" w:cstheme="minorHAnsi"/>
                <w:color w:val="000000"/>
              </w:rPr>
            </w:pPr>
          </w:p>
        </w:tc>
      </w:tr>
      <w:tr w:rsidR="0057097F" w:rsidRPr="009D404A" w14:paraId="5003230F" w14:textId="77777777">
        <w:tc>
          <w:tcPr>
            <w:tcW w:w="4414" w:type="dxa"/>
            <w:shd w:val="clear" w:color="auto" w:fill="D9D9D9"/>
          </w:tcPr>
          <w:p w14:paraId="5003230D" w14:textId="77777777" w:rsidR="0057097F" w:rsidRPr="009D404A" w:rsidRDefault="000B7A27">
            <w:pPr>
              <w:rPr>
                <w:rFonts w:asciiTheme="minorHAnsi" w:hAnsiTheme="minorHAnsi" w:cstheme="minorHAnsi"/>
                <w:b/>
              </w:rPr>
            </w:pPr>
            <w:r w:rsidRPr="009D404A">
              <w:rPr>
                <w:rFonts w:asciiTheme="minorHAnsi" w:hAnsiTheme="minorHAnsi" w:cstheme="minorHAnsi"/>
                <w:b/>
              </w:rPr>
              <w:t>Recomendaciones para la diligencia:</w:t>
            </w:r>
          </w:p>
        </w:tc>
        <w:tc>
          <w:tcPr>
            <w:tcW w:w="4414" w:type="dxa"/>
          </w:tcPr>
          <w:p w14:paraId="5003230E" w14:textId="77777777" w:rsidR="0057097F" w:rsidRPr="009D404A" w:rsidRDefault="0057097F">
            <w:pPr>
              <w:jc w:val="both"/>
              <w:rPr>
                <w:rFonts w:asciiTheme="minorHAnsi" w:hAnsiTheme="minorHAnsi" w:cstheme="minorHAnsi"/>
              </w:rPr>
            </w:pPr>
          </w:p>
        </w:tc>
      </w:tr>
    </w:tbl>
    <w:p w14:paraId="50032310" w14:textId="77777777" w:rsidR="0057097F" w:rsidRPr="009D404A" w:rsidRDefault="0057097F">
      <w:pPr>
        <w:rPr>
          <w:rFonts w:asciiTheme="minorHAnsi" w:hAnsiTheme="minorHAnsi" w:cstheme="minorHAnsi"/>
          <w:b/>
        </w:rPr>
      </w:pPr>
    </w:p>
    <w:sectPr w:rsidR="0057097F" w:rsidRPr="009D404A">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42B0" w14:textId="77777777" w:rsidR="004F3B86" w:rsidRDefault="004F3B86">
      <w:pPr>
        <w:spacing w:after="0" w:line="240" w:lineRule="auto"/>
      </w:pPr>
      <w:r>
        <w:separator/>
      </w:r>
    </w:p>
  </w:endnote>
  <w:endnote w:type="continuationSeparator" w:id="0">
    <w:p w14:paraId="3F1C3455" w14:textId="77777777" w:rsidR="004F3B86" w:rsidRDefault="004F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1583" w14:textId="77777777" w:rsidR="004F3B86" w:rsidRDefault="004F3B86">
      <w:pPr>
        <w:spacing w:after="0" w:line="240" w:lineRule="auto"/>
      </w:pPr>
      <w:r>
        <w:separator/>
      </w:r>
    </w:p>
  </w:footnote>
  <w:footnote w:type="continuationSeparator" w:id="0">
    <w:p w14:paraId="7C6009B9" w14:textId="77777777" w:rsidR="004F3B86" w:rsidRDefault="004F3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655"/>
    <w:multiLevelType w:val="hybridMultilevel"/>
    <w:tmpl w:val="1B2CAE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1232C"/>
    <w:multiLevelType w:val="hybridMultilevel"/>
    <w:tmpl w:val="59CC7C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5D0B6E"/>
    <w:multiLevelType w:val="hybridMultilevel"/>
    <w:tmpl w:val="9850CF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7593865">
    <w:abstractNumId w:val="2"/>
  </w:num>
  <w:num w:numId="2" w16cid:durableId="324867110">
    <w:abstractNumId w:val="1"/>
  </w:num>
  <w:num w:numId="3" w16cid:durableId="413548349">
    <w:abstractNumId w:val="4"/>
  </w:num>
  <w:num w:numId="4" w16cid:durableId="424500711">
    <w:abstractNumId w:val="3"/>
  </w:num>
  <w:num w:numId="5" w16cid:durableId="159659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B7A27"/>
    <w:rsid w:val="002E79D4"/>
    <w:rsid w:val="00464FA1"/>
    <w:rsid w:val="004F3B86"/>
    <w:rsid w:val="0057097F"/>
    <w:rsid w:val="005A4426"/>
    <w:rsid w:val="009D404A"/>
    <w:rsid w:val="00B5389F"/>
    <w:rsid w:val="00CB3691"/>
    <w:rsid w:val="00F02D8E"/>
    <w:rsid w:val="00FB582B"/>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NormalWeb">
    <w:name w:val="Normal (Web)"/>
    <w:basedOn w:val="Normal"/>
    <w:uiPriority w:val="99"/>
    <w:unhideWhenUsed/>
    <w:rsid w:val="00B5389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76768">
      <w:bodyDiv w:val="1"/>
      <w:marLeft w:val="0"/>
      <w:marRight w:val="0"/>
      <w:marTop w:val="0"/>
      <w:marBottom w:val="0"/>
      <w:divBdr>
        <w:top w:val="none" w:sz="0" w:space="0" w:color="auto"/>
        <w:left w:val="none" w:sz="0" w:space="0" w:color="auto"/>
        <w:bottom w:val="none" w:sz="0" w:space="0" w:color="auto"/>
        <w:right w:val="none" w:sz="0" w:space="0" w:color="auto"/>
      </w:divBdr>
      <w:divsChild>
        <w:div w:id="2102598967">
          <w:marLeft w:val="0"/>
          <w:marRight w:val="0"/>
          <w:marTop w:val="0"/>
          <w:marBottom w:val="0"/>
          <w:divBdr>
            <w:top w:val="none" w:sz="0" w:space="0" w:color="auto"/>
            <w:left w:val="none" w:sz="0" w:space="0" w:color="auto"/>
            <w:bottom w:val="none" w:sz="0" w:space="0" w:color="auto"/>
            <w:right w:val="none" w:sz="0" w:space="0" w:color="auto"/>
          </w:divBdr>
          <w:divsChild>
            <w:div w:id="1756391918">
              <w:marLeft w:val="0"/>
              <w:marRight w:val="0"/>
              <w:marTop w:val="0"/>
              <w:marBottom w:val="0"/>
              <w:divBdr>
                <w:top w:val="none" w:sz="0" w:space="0" w:color="auto"/>
                <w:left w:val="none" w:sz="0" w:space="0" w:color="auto"/>
                <w:bottom w:val="none" w:sz="0" w:space="0" w:color="auto"/>
                <w:right w:val="none" w:sz="0" w:space="0" w:color="auto"/>
              </w:divBdr>
              <w:divsChild>
                <w:div w:id="4374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4288">
      <w:bodyDiv w:val="1"/>
      <w:marLeft w:val="0"/>
      <w:marRight w:val="0"/>
      <w:marTop w:val="0"/>
      <w:marBottom w:val="0"/>
      <w:divBdr>
        <w:top w:val="none" w:sz="0" w:space="0" w:color="auto"/>
        <w:left w:val="none" w:sz="0" w:space="0" w:color="auto"/>
        <w:bottom w:val="none" w:sz="0" w:space="0" w:color="auto"/>
        <w:right w:val="none" w:sz="0" w:space="0" w:color="auto"/>
      </w:divBdr>
      <w:divsChild>
        <w:div w:id="1869022104">
          <w:marLeft w:val="0"/>
          <w:marRight w:val="0"/>
          <w:marTop w:val="0"/>
          <w:marBottom w:val="0"/>
          <w:divBdr>
            <w:top w:val="none" w:sz="0" w:space="0" w:color="auto"/>
            <w:left w:val="none" w:sz="0" w:space="0" w:color="auto"/>
            <w:bottom w:val="none" w:sz="0" w:space="0" w:color="auto"/>
            <w:right w:val="none" w:sz="0" w:space="0" w:color="auto"/>
          </w:divBdr>
          <w:divsChild>
            <w:div w:id="1442072374">
              <w:marLeft w:val="0"/>
              <w:marRight w:val="0"/>
              <w:marTop w:val="0"/>
              <w:marBottom w:val="0"/>
              <w:divBdr>
                <w:top w:val="none" w:sz="0" w:space="0" w:color="auto"/>
                <w:left w:val="none" w:sz="0" w:space="0" w:color="auto"/>
                <w:bottom w:val="none" w:sz="0" w:space="0" w:color="auto"/>
                <w:right w:val="none" w:sz="0" w:space="0" w:color="auto"/>
              </w:divBdr>
              <w:divsChild>
                <w:div w:id="4802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3908">
      <w:bodyDiv w:val="1"/>
      <w:marLeft w:val="0"/>
      <w:marRight w:val="0"/>
      <w:marTop w:val="0"/>
      <w:marBottom w:val="0"/>
      <w:divBdr>
        <w:top w:val="none" w:sz="0" w:space="0" w:color="auto"/>
        <w:left w:val="none" w:sz="0" w:space="0" w:color="auto"/>
        <w:bottom w:val="none" w:sz="0" w:space="0" w:color="auto"/>
        <w:right w:val="none" w:sz="0" w:space="0" w:color="auto"/>
      </w:divBdr>
      <w:divsChild>
        <w:div w:id="2088914755">
          <w:marLeft w:val="0"/>
          <w:marRight w:val="0"/>
          <w:marTop w:val="0"/>
          <w:marBottom w:val="0"/>
          <w:divBdr>
            <w:top w:val="none" w:sz="0" w:space="0" w:color="auto"/>
            <w:left w:val="none" w:sz="0" w:space="0" w:color="auto"/>
            <w:bottom w:val="none" w:sz="0" w:space="0" w:color="auto"/>
            <w:right w:val="none" w:sz="0" w:space="0" w:color="auto"/>
          </w:divBdr>
          <w:divsChild>
            <w:div w:id="70130286">
              <w:marLeft w:val="0"/>
              <w:marRight w:val="0"/>
              <w:marTop w:val="0"/>
              <w:marBottom w:val="0"/>
              <w:divBdr>
                <w:top w:val="none" w:sz="0" w:space="0" w:color="auto"/>
                <w:left w:val="none" w:sz="0" w:space="0" w:color="auto"/>
                <w:bottom w:val="none" w:sz="0" w:space="0" w:color="auto"/>
                <w:right w:val="none" w:sz="0" w:space="0" w:color="auto"/>
              </w:divBdr>
              <w:divsChild>
                <w:div w:id="13317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4" ma:contentTypeDescription="Crear nuevo documento." ma:contentTypeScope="" ma:versionID="1d0f7bc2eb83b66115e34bf51dbe6bfd">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2aa01a208a970a54f27858f6c957c500"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2.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58D8349-27B2-491F-A7EC-71C1061E0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1256</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Daisy Carolina López R.</cp:lastModifiedBy>
  <cp:revision>4</cp:revision>
  <cp:lastPrinted>2023-02-19T22:55:00Z</cp:lastPrinted>
  <dcterms:created xsi:type="dcterms:W3CDTF">2020-08-08T15:35:00Z</dcterms:created>
  <dcterms:modified xsi:type="dcterms:W3CDTF">2024-04-07T23:29:00Z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