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5DD81" w14:textId="57D3F447" w:rsidR="00F53C05" w:rsidRDefault="00F53C05" w:rsidP="00F53C05">
      <w:pPr>
        <w:spacing w:line="360" w:lineRule="auto"/>
        <w:jc w:val="both"/>
        <w:rPr>
          <w:rFonts w:ascii="Arial" w:hAnsi="Arial" w:cs="Arial"/>
          <w:lang w:val="es-CO"/>
        </w:rPr>
      </w:pPr>
      <w:bookmarkStart w:id="0" w:name="_Hlk111204256"/>
      <w:bookmarkStart w:id="1" w:name="_Hlk197983751"/>
      <w:r>
        <w:rPr>
          <w:rFonts w:ascii="Arial" w:hAnsi="Arial" w:cs="Arial"/>
          <w:lang w:val="es-CO"/>
        </w:rPr>
        <w:t>Señores</w:t>
      </w:r>
    </w:p>
    <w:p w14:paraId="593792E3" w14:textId="2522F0A3" w:rsidR="00051B41" w:rsidRDefault="00051B41" w:rsidP="00051B41">
      <w:pPr>
        <w:spacing w:line="360" w:lineRule="auto"/>
        <w:jc w:val="both"/>
        <w:rPr>
          <w:rFonts w:ascii="Arial" w:hAnsi="Arial" w:cs="Arial"/>
          <w:b/>
          <w:bCs/>
          <w:lang w:val="es-CO"/>
        </w:rPr>
      </w:pPr>
      <w:r w:rsidRPr="00051B41">
        <w:rPr>
          <w:rFonts w:ascii="Arial" w:hAnsi="Arial" w:cs="Arial"/>
          <w:b/>
          <w:bCs/>
          <w:lang w:val="es-CO"/>
        </w:rPr>
        <w:t>JUZGADO PRIMERO ADMINISTRATIVO ORAL DEL CIRCUITO DE BUGA</w:t>
      </w:r>
      <w:r>
        <w:rPr>
          <w:rFonts w:ascii="Arial" w:hAnsi="Arial" w:cs="Arial"/>
          <w:b/>
          <w:bCs/>
          <w:lang w:val="es-CO"/>
        </w:rPr>
        <w:t>.</w:t>
      </w:r>
    </w:p>
    <w:p w14:paraId="185CC564" w14:textId="77777777" w:rsidR="00F53C05" w:rsidRDefault="00205437" w:rsidP="00BD7F61">
      <w:pPr>
        <w:spacing w:line="360" w:lineRule="auto"/>
        <w:jc w:val="both"/>
        <w:rPr>
          <w:rFonts w:ascii="Arial" w:hAnsi="Arial" w:cs="Arial"/>
          <w:b/>
          <w:bCs/>
        </w:rPr>
      </w:pPr>
      <w:r w:rsidRPr="00BD7F61">
        <w:rPr>
          <w:rFonts w:ascii="Arial" w:hAnsi="Arial" w:cs="Arial"/>
        </w:rPr>
        <w:t>E.</w:t>
      </w:r>
      <w:r w:rsidR="00023DC5" w:rsidRPr="00BD7F61">
        <w:rPr>
          <w:rFonts w:ascii="Arial" w:hAnsi="Arial" w:cs="Arial"/>
        </w:rPr>
        <w:t xml:space="preserve">  </w:t>
      </w:r>
      <w:r w:rsidRPr="00BD7F61">
        <w:rPr>
          <w:rFonts w:ascii="Arial" w:hAnsi="Arial" w:cs="Arial"/>
        </w:rPr>
        <w:t>S.</w:t>
      </w:r>
      <w:r w:rsidR="00023DC5" w:rsidRPr="00BD7F61">
        <w:rPr>
          <w:rFonts w:ascii="Arial" w:hAnsi="Arial" w:cs="Arial"/>
        </w:rPr>
        <w:t xml:space="preserve">  </w:t>
      </w:r>
      <w:r w:rsidRPr="00BD7F61">
        <w:rPr>
          <w:rFonts w:ascii="Arial" w:hAnsi="Arial" w:cs="Arial"/>
        </w:rPr>
        <w:t>D</w:t>
      </w:r>
      <w:r w:rsidRPr="00BD7F61">
        <w:rPr>
          <w:rFonts w:ascii="Arial" w:hAnsi="Arial" w:cs="Arial"/>
          <w:b/>
          <w:bCs/>
        </w:rPr>
        <w:t>.</w:t>
      </w:r>
    </w:p>
    <w:p w14:paraId="2867FCED" w14:textId="77777777" w:rsidR="00F53C05" w:rsidRDefault="00F53C05" w:rsidP="00BD7F61">
      <w:pPr>
        <w:spacing w:line="360" w:lineRule="auto"/>
        <w:jc w:val="both"/>
        <w:rPr>
          <w:rFonts w:ascii="Arial" w:hAnsi="Arial" w:cs="Arial"/>
          <w:b/>
          <w:bCs/>
        </w:rPr>
      </w:pPr>
    </w:p>
    <w:p w14:paraId="5427BBCD" w14:textId="0203293B" w:rsidR="0047326F" w:rsidRPr="00F53C05" w:rsidRDefault="0047326F" w:rsidP="00BD7F61">
      <w:pPr>
        <w:spacing w:line="360" w:lineRule="auto"/>
        <w:jc w:val="both"/>
        <w:rPr>
          <w:rFonts w:ascii="Arial" w:hAnsi="Arial" w:cs="Arial"/>
          <w:b/>
          <w:bCs/>
        </w:rPr>
      </w:pPr>
      <w:r w:rsidRPr="00BD7F61">
        <w:rPr>
          <w:rFonts w:ascii="Arial" w:hAnsi="Arial" w:cs="Arial"/>
          <w:b/>
          <w:bCs/>
        </w:rPr>
        <w:t>REFERENCIA</w:t>
      </w:r>
      <w:r w:rsidRPr="00BD7F61">
        <w:rPr>
          <w:rFonts w:ascii="Arial" w:hAnsi="Arial" w:cs="Arial"/>
        </w:rPr>
        <w:t xml:space="preserve">: </w:t>
      </w:r>
      <w:r w:rsidRPr="00BD7F61">
        <w:rPr>
          <w:rFonts w:ascii="Arial" w:hAnsi="Arial" w:cs="Arial"/>
        </w:rPr>
        <w:tab/>
      </w:r>
      <w:r w:rsidR="00B35CF3" w:rsidRPr="00BD7F61">
        <w:rPr>
          <w:rFonts w:ascii="Arial" w:hAnsi="Arial" w:cs="Arial"/>
        </w:rPr>
        <w:t xml:space="preserve">        </w:t>
      </w:r>
      <w:r w:rsidRPr="00BD7F61">
        <w:rPr>
          <w:rFonts w:ascii="Arial" w:hAnsi="Arial" w:cs="Arial"/>
          <w:b/>
          <w:bCs/>
          <w:u w:val="single"/>
        </w:rPr>
        <w:t>ALEGATOS DE CONCLUSIÓN DE PRIMERA INSTANCIA</w:t>
      </w:r>
    </w:p>
    <w:p w14:paraId="135C81B0" w14:textId="2F7066FB" w:rsidR="0047326F" w:rsidRPr="00BD7F61" w:rsidRDefault="0047326F" w:rsidP="00BD7F61">
      <w:pPr>
        <w:spacing w:line="360" w:lineRule="auto"/>
        <w:jc w:val="both"/>
        <w:rPr>
          <w:rFonts w:ascii="Arial" w:hAnsi="Arial" w:cs="Arial"/>
        </w:rPr>
      </w:pPr>
      <w:r w:rsidRPr="00BD7F61">
        <w:rPr>
          <w:rFonts w:ascii="Arial" w:hAnsi="Arial" w:cs="Arial"/>
          <w:b/>
          <w:bCs/>
        </w:rPr>
        <w:t>PROCESO</w:t>
      </w:r>
      <w:r w:rsidRPr="00BD7F61">
        <w:rPr>
          <w:rFonts w:ascii="Arial" w:hAnsi="Arial" w:cs="Arial"/>
        </w:rPr>
        <w:t>:</w:t>
      </w:r>
      <w:r w:rsidRPr="00BD7F61">
        <w:rPr>
          <w:rFonts w:ascii="Arial" w:hAnsi="Arial" w:cs="Arial"/>
        </w:rPr>
        <w:tab/>
      </w:r>
      <w:r w:rsidRPr="00BD7F61">
        <w:rPr>
          <w:rFonts w:ascii="Arial" w:hAnsi="Arial" w:cs="Arial"/>
        </w:rPr>
        <w:tab/>
      </w:r>
      <w:r w:rsidR="00B35CF3" w:rsidRPr="00BD7F61">
        <w:rPr>
          <w:rFonts w:ascii="Arial" w:hAnsi="Arial" w:cs="Arial"/>
        </w:rPr>
        <w:t xml:space="preserve">        </w:t>
      </w:r>
      <w:r w:rsidRPr="00BD7F61">
        <w:rPr>
          <w:rFonts w:ascii="Arial" w:hAnsi="Arial" w:cs="Arial"/>
        </w:rPr>
        <w:t xml:space="preserve">REPARACIÓN DIRECTA  </w:t>
      </w:r>
    </w:p>
    <w:p w14:paraId="38463B02" w14:textId="25048C19" w:rsidR="0082651F" w:rsidRPr="00BD7F61" w:rsidRDefault="0047326F" w:rsidP="00BD7F61">
      <w:pPr>
        <w:spacing w:line="360" w:lineRule="auto"/>
        <w:jc w:val="both"/>
        <w:rPr>
          <w:rFonts w:ascii="Arial" w:hAnsi="Arial" w:cs="Arial"/>
        </w:rPr>
      </w:pPr>
      <w:r w:rsidRPr="00BD7F61">
        <w:rPr>
          <w:rFonts w:ascii="Arial" w:hAnsi="Arial" w:cs="Arial"/>
          <w:b/>
          <w:bCs/>
        </w:rPr>
        <w:t>RADICADO</w:t>
      </w:r>
      <w:r w:rsidRPr="00BD7F61">
        <w:rPr>
          <w:rFonts w:ascii="Arial" w:hAnsi="Arial" w:cs="Arial"/>
        </w:rPr>
        <w:t xml:space="preserve">: </w:t>
      </w:r>
      <w:r w:rsidRPr="00BD7F61">
        <w:rPr>
          <w:rFonts w:ascii="Arial" w:hAnsi="Arial" w:cs="Arial"/>
        </w:rPr>
        <w:tab/>
      </w:r>
      <w:r w:rsidRPr="00BD7F61">
        <w:rPr>
          <w:rFonts w:ascii="Arial" w:hAnsi="Arial" w:cs="Arial"/>
        </w:rPr>
        <w:tab/>
      </w:r>
      <w:r w:rsidR="00B35CF3" w:rsidRPr="00BD7F61">
        <w:rPr>
          <w:rFonts w:ascii="Arial" w:hAnsi="Arial" w:cs="Arial"/>
        </w:rPr>
        <w:t xml:space="preserve">        </w:t>
      </w:r>
      <w:r w:rsidR="00051B41" w:rsidRPr="00051B41">
        <w:rPr>
          <w:rFonts w:ascii="Arial" w:hAnsi="Arial" w:cs="Arial"/>
        </w:rPr>
        <w:t>76-111-33-33-001-</w:t>
      </w:r>
      <w:r w:rsidR="00051B41" w:rsidRPr="00051B41">
        <w:rPr>
          <w:rFonts w:ascii="Arial" w:hAnsi="Arial" w:cs="Arial"/>
          <w:b/>
          <w:bCs/>
          <w:u w:val="single"/>
        </w:rPr>
        <w:t>2018-00103</w:t>
      </w:r>
      <w:r w:rsidR="00051B41" w:rsidRPr="00051B41">
        <w:rPr>
          <w:rFonts w:ascii="Arial" w:hAnsi="Arial" w:cs="Arial"/>
        </w:rPr>
        <w:t>-00</w:t>
      </w:r>
    </w:p>
    <w:p w14:paraId="73785CA8" w14:textId="1F0732AC" w:rsidR="00662F75" w:rsidRPr="00BD7F61" w:rsidRDefault="0047326F" w:rsidP="00BD7F61">
      <w:pPr>
        <w:spacing w:line="360" w:lineRule="auto"/>
        <w:jc w:val="both"/>
        <w:rPr>
          <w:rFonts w:ascii="Arial" w:hAnsi="Arial" w:cs="Arial"/>
        </w:rPr>
      </w:pPr>
      <w:r w:rsidRPr="00BD7F61">
        <w:rPr>
          <w:rFonts w:ascii="Arial" w:hAnsi="Arial" w:cs="Arial"/>
          <w:b/>
          <w:bCs/>
        </w:rPr>
        <w:t>DEMANDANTES</w:t>
      </w:r>
      <w:r w:rsidRPr="00BD7F61">
        <w:rPr>
          <w:rFonts w:ascii="Arial" w:hAnsi="Arial" w:cs="Arial"/>
        </w:rPr>
        <w:t xml:space="preserve">: </w:t>
      </w:r>
      <w:r w:rsidRPr="00BD7F61">
        <w:rPr>
          <w:rFonts w:ascii="Arial" w:hAnsi="Arial" w:cs="Arial"/>
        </w:rPr>
        <w:tab/>
      </w:r>
      <w:r w:rsidR="00B35CF3" w:rsidRPr="00BD7F61">
        <w:rPr>
          <w:rFonts w:ascii="Arial" w:hAnsi="Arial" w:cs="Arial"/>
        </w:rPr>
        <w:t xml:space="preserve">        </w:t>
      </w:r>
      <w:r w:rsidR="00051B41" w:rsidRPr="00051B41">
        <w:rPr>
          <w:rFonts w:ascii="Arial" w:hAnsi="Arial" w:cs="Arial"/>
        </w:rPr>
        <w:t>FERNANDO ARAQUE PATIÑO Y OTROS</w:t>
      </w:r>
    </w:p>
    <w:p w14:paraId="35EDAEA7" w14:textId="3F4691CD" w:rsidR="00B35CF3" w:rsidRPr="00BD7F61" w:rsidRDefault="0047326F" w:rsidP="00051B41">
      <w:pPr>
        <w:spacing w:line="360" w:lineRule="auto"/>
        <w:jc w:val="both"/>
        <w:rPr>
          <w:rFonts w:ascii="Arial" w:hAnsi="Arial" w:cs="Arial"/>
          <w:lang w:val="es-CO"/>
        </w:rPr>
      </w:pPr>
      <w:r w:rsidRPr="00BD7F61">
        <w:rPr>
          <w:rFonts w:ascii="Arial" w:hAnsi="Arial" w:cs="Arial"/>
          <w:b/>
          <w:bCs/>
          <w:lang w:val="es-CO"/>
        </w:rPr>
        <w:t>DEMANDADOS</w:t>
      </w:r>
      <w:r w:rsidRPr="00BD7F61">
        <w:rPr>
          <w:rFonts w:ascii="Arial" w:hAnsi="Arial" w:cs="Arial"/>
          <w:lang w:val="es-CO"/>
        </w:rPr>
        <w:t xml:space="preserve">: </w:t>
      </w:r>
      <w:r w:rsidR="00B35CF3" w:rsidRPr="00BD7F61">
        <w:rPr>
          <w:rFonts w:ascii="Arial" w:hAnsi="Arial" w:cs="Arial"/>
          <w:lang w:val="es-CO"/>
        </w:rPr>
        <w:t xml:space="preserve">               </w:t>
      </w:r>
      <w:bookmarkEnd w:id="0"/>
      <w:r w:rsidR="00051B41" w:rsidRPr="00051B41">
        <w:rPr>
          <w:rFonts w:ascii="Arial" w:hAnsi="Arial" w:cs="Arial"/>
          <w:lang w:val="es-CO"/>
        </w:rPr>
        <w:t>NACIÓN-MINISTERIO DE TRANSPORTE- INVÍAS</w:t>
      </w:r>
      <w:r w:rsidR="00051B41">
        <w:rPr>
          <w:rFonts w:ascii="Arial" w:hAnsi="Arial" w:cs="Arial"/>
          <w:lang w:val="es-CO"/>
        </w:rPr>
        <w:t xml:space="preserve"> Y OTROS </w:t>
      </w:r>
    </w:p>
    <w:p w14:paraId="7D72BBF4" w14:textId="5DE4538E" w:rsidR="00B35CF3" w:rsidRPr="00BD7F61" w:rsidRDefault="00B35CF3" w:rsidP="00BD7F61">
      <w:pPr>
        <w:spacing w:line="360" w:lineRule="auto"/>
        <w:jc w:val="both"/>
        <w:rPr>
          <w:rFonts w:ascii="Arial" w:hAnsi="Arial" w:cs="Arial"/>
          <w:lang w:val="es-CO"/>
        </w:rPr>
      </w:pPr>
      <w:r w:rsidRPr="00BD7F61">
        <w:rPr>
          <w:rFonts w:ascii="Arial" w:hAnsi="Arial" w:cs="Arial"/>
          <w:b/>
          <w:bCs/>
          <w:lang w:val="es-CO"/>
        </w:rPr>
        <w:t xml:space="preserve">LLAMADO EN GTÍA: </w:t>
      </w:r>
      <w:r w:rsidR="00F53C05">
        <w:rPr>
          <w:rFonts w:ascii="Arial" w:hAnsi="Arial" w:cs="Arial"/>
          <w:b/>
          <w:bCs/>
          <w:lang w:val="es-CO"/>
        </w:rPr>
        <w:t xml:space="preserve">      </w:t>
      </w:r>
      <w:r w:rsidRPr="00BD7F61">
        <w:rPr>
          <w:rFonts w:ascii="Arial" w:hAnsi="Arial" w:cs="Arial"/>
          <w:b/>
          <w:bCs/>
          <w:lang w:val="es-CO"/>
        </w:rPr>
        <w:t xml:space="preserve"> </w:t>
      </w:r>
      <w:r w:rsidR="0057139D" w:rsidRPr="0057139D">
        <w:rPr>
          <w:rFonts w:ascii="Arial" w:hAnsi="Arial" w:cs="Arial"/>
          <w:bCs/>
        </w:rPr>
        <w:t>MAPFRE SEGUROS GENERALES DE COLOMBIA S.A</w:t>
      </w:r>
    </w:p>
    <w:p w14:paraId="1EE917A4" w14:textId="77777777" w:rsidR="00B35CF3" w:rsidRPr="00BD7F61" w:rsidRDefault="00B35CF3" w:rsidP="00BD7F61">
      <w:pPr>
        <w:spacing w:line="360" w:lineRule="auto"/>
        <w:jc w:val="both"/>
        <w:rPr>
          <w:rFonts w:ascii="Arial" w:eastAsiaTheme="minorEastAsia" w:hAnsi="Arial" w:cs="Arial"/>
          <w:lang w:eastAsia="es-CO"/>
        </w:rPr>
      </w:pPr>
    </w:p>
    <w:p w14:paraId="27B6A50F" w14:textId="77777777" w:rsidR="00B35CF3" w:rsidRPr="00BD7F61" w:rsidRDefault="00B35CF3" w:rsidP="00BD7F61">
      <w:pPr>
        <w:widowControl/>
        <w:adjustRightInd w:val="0"/>
        <w:rPr>
          <w:rFonts w:ascii="Arial" w:eastAsiaTheme="minorHAnsi" w:hAnsi="Arial" w:cs="Arial"/>
          <w:color w:val="000000"/>
          <w:sz w:val="24"/>
          <w:szCs w:val="24"/>
          <w:lang w:val="es-CO"/>
        </w:rPr>
      </w:pPr>
    </w:p>
    <w:p w14:paraId="3CC38A47" w14:textId="5F855803" w:rsidR="00D96DE8" w:rsidRPr="00E25191" w:rsidRDefault="00B35CF3" w:rsidP="00D96DE8">
      <w:pPr>
        <w:spacing w:line="360" w:lineRule="auto"/>
        <w:jc w:val="both"/>
        <w:rPr>
          <w:rFonts w:ascii="Arial" w:hAnsi="Arial" w:cs="Arial"/>
        </w:rPr>
      </w:pPr>
      <w:r w:rsidRPr="00BD7F61">
        <w:rPr>
          <w:rFonts w:ascii="Arial" w:eastAsiaTheme="minorHAnsi" w:hAnsi="Arial" w:cs="Arial"/>
          <w:b/>
          <w:bCs/>
          <w:color w:val="000000"/>
          <w:lang w:val="es-CO"/>
        </w:rPr>
        <w:t>GUSTAVO ALBERTO HERRERA ÁVILA</w:t>
      </w:r>
      <w:r w:rsidRPr="00BD7F61">
        <w:rPr>
          <w:rFonts w:ascii="Arial" w:eastAsiaTheme="minorHAnsi" w:hAnsi="Arial" w:cs="Arial"/>
          <w:color w:val="000000"/>
          <w:lang w:val="es-CO"/>
        </w:rPr>
        <w:t>, identificado con cédula de ciudadanía No.19.395.114</w:t>
      </w:r>
      <w:r w:rsidR="001960FD" w:rsidRPr="00BD7F61">
        <w:rPr>
          <w:rFonts w:ascii="Arial" w:eastAsiaTheme="minorHAnsi" w:hAnsi="Arial" w:cs="Arial"/>
          <w:color w:val="000000"/>
          <w:lang w:val="es-CO"/>
        </w:rPr>
        <w:t xml:space="preserve"> </w:t>
      </w:r>
      <w:r w:rsidRPr="00BD7F61">
        <w:rPr>
          <w:rFonts w:ascii="Arial" w:eastAsiaTheme="minorHAnsi" w:hAnsi="Arial" w:cs="Arial"/>
          <w:color w:val="000000"/>
          <w:lang w:val="es-CO"/>
        </w:rPr>
        <w:t xml:space="preserve">de Bogotá, abogado en ejercicio, portador de la Tarjeta Profesional No. 39.116 del C. S. de la J., actuando en mi </w:t>
      </w:r>
      <w:r w:rsidRPr="00CC2EE1">
        <w:rPr>
          <w:rFonts w:ascii="Arial" w:eastAsiaTheme="minorHAnsi" w:hAnsi="Arial" w:cs="Arial"/>
          <w:color w:val="000000"/>
          <w:lang w:val="es-CO"/>
        </w:rPr>
        <w:t xml:space="preserve">calidad de </w:t>
      </w:r>
      <w:r w:rsidRPr="004A657E">
        <w:rPr>
          <w:rFonts w:ascii="Arial" w:eastAsiaTheme="minorHAnsi" w:hAnsi="Arial" w:cs="Arial"/>
          <w:color w:val="000000"/>
          <w:lang w:val="es-CO"/>
        </w:rPr>
        <w:t>apoderado de</w:t>
      </w:r>
      <w:r w:rsidRPr="00CC2EE1">
        <w:rPr>
          <w:rFonts w:ascii="Arial" w:eastAsiaTheme="minorHAnsi" w:hAnsi="Arial" w:cs="Arial"/>
          <w:color w:val="000000"/>
          <w:lang w:val="es-CO"/>
        </w:rPr>
        <w:t xml:space="preserve"> </w:t>
      </w:r>
      <w:bookmarkStart w:id="2" w:name="_Hlk197983764"/>
      <w:bookmarkEnd w:id="1"/>
      <w:r w:rsidR="004E7B1F" w:rsidRPr="004E7B1F">
        <w:rPr>
          <w:rFonts w:ascii="Arial" w:hAnsi="Arial" w:cs="Arial"/>
          <w:b/>
        </w:rPr>
        <w:t>MAPFRE SEGUROS GENERALES DE COLOMBIA S.A</w:t>
      </w:r>
      <w:r w:rsidR="004E7B1F">
        <w:rPr>
          <w:rFonts w:ascii="Arial" w:hAnsi="Arial" w:cs="Arial"/>
          <w:b/>
        </w:rPr>
        <w:t xml:space="preserve"> </w:t>
      </w:r>
      <w:r w:rsidRPr="004A657E">
        <w:rPr>
          <w:rFonts w:ascii="Arial" w:eastAsiaTheme="minorHAnsi" w:hAnsi="Arial" w:cs="Arial"/>
          <w:color w:val="000000"/>
          <w:lang w:val="es-CO"/>
        </w:rPr>
        <w:t xml:space="preserve">mediante el presente escrito procedo a </w:t>
      </w:r>
      <w:r w:rsidRPr="004A657E">
        <w:rPr>
          <w:rFonts w:ascii="Arial" w:eastAsiaTheme="minorHAnsi" w:hAnsi="Arial" w:cs="Arial"/>
          <w:b/>
          <w:bCs/>
          <w:color w:val="000000"/>
          <w:lang w:val="es-CO"/>
        </w:rPr>
        <w:t>REASUMIR</w:t>
      </w:r>
      <w:r w:rsidRPr="00BD7F61">
        <w:rPr>
          <w:rFonts w:ascii="Arial" w:eastAsiaTheme="minorHAnsi" w:hAnsi="Arial" w:cs="Arial"/>
          <w:b/>
          <w:bCs/>
          <w:color w:val="000000"/>
          <w:lang w:val="es-CO"/>
        </w:rPr>
        <w:t xml:space="preserve"> </w:t>
      </w:r>
      <w:r w:rsidRPr="00BD7F61">
        <w:rPr>
          <w:rFonts w:ascii="Arial" w:eastAsiaTheme="minorHAnsi" w:hAnsi="Arial" w:cs="Arial"/>
          <w:color w:val="000000"/>
          <w:lang w:val="es-CO"/>
        </w:rPr>
        <w:t xml:space="preserve">el poder a mi conferido en el proceso de la referencia, y a presentar dentro del término legal, los </w:t>
      </w:r>
      <w:r w:rsidRPr="00BD7F61">
        <w:rPr>
          <w:rFonts w:ascii="Arial" w:eastAsiaTheme="minorHAnsi" w:hAnsi="Arial" w:cs="Arial"/>
          <w:b/>
          <w:bCs/>
          <w:color w:val="000000"/>
          <w:lang w:val="es-CO"/>
        </w:rPr>
        <w:t xml:space="preserve">ALEGATOS DE CONCLUSIÓN; </w:t>
      </w:r>
      <w:r w:rsidRPr="00BD7F61">
        <w:rPr>
          <w:rFonts w:ascii="Arial" w:eastAsiaTheme="minorHAnsi" w:hAnsi="Arial" w:cs="Arial"/>
          <w:color w:val="000000"/>
          <w:lang w:val="es-CO"/>
        </w:rPr>
        <w:t xml:space="preserve">solicitando desde ya, </w:t>
      </w:r>
      <w:r w:rsidR="00D96DE8" w:rsidRPr="00E25191">
        <w:rPr>
          <w:rFonts w:ascii="Arial" w:hAnsi="Arial" w:cs="Arial"/>
        </w:rPr>
        <w:t>se profiera sentencia favorable</w:t>
      </w:r>
      <w:r w:rsidR="00D96DE8" w:rsidRPr="00E25191">
        <w:rPr>
          <w:rFonts w:ascii="Arial" w:hAnsi="Arial" w:cs="Arial"/>
          <w:b/>
        </w:rPr>
        <w:t xml:space="preserve"> </w:t>
      </w:r>
      <w:r w:rsidR="00D96DE8" w:rsidRPr="00E25191">
        <w:rPr>
          <w:rFonts w:ascii="Arial" w:hAnsi="Arial" w:cs="Arial"/>
        </w:rPr>
        <w:t xml:space="preserve">a los intereses de mi representada, </w:t>
      </w:r>
      <w:r w:rsidR="00D96DE8" w:rsidRPr="00E25191">
        <w:rPr>
          <w:rFonts w:ascii="Arial" w:hAnsi="Arial" w:cs="Arial"/>
          <w:lang w:val="es-CO"/>
        </w:rPr>
        <w:t>desestimando las pretensiones de la parte actora y declarando probada las excepciones propuestas al momento de contestar la demanda y el llamamiento en garantía:</w:t>
      </w:r>
    </w:p>
    <w:p w14:paraId="46F414BA" w14:textId="349C9E22" w:rsidR="00194DAC" w:rsidRPr="00D96DE8" w:rsidRDefault="00194DAC" w:rsidP="00BD7F61">
      <w:pPr>
        <w:spacing w:line="360" w:lineRule="auto"/>
        <w:jc w:val="both"/>
        <w:rPr>
          <w:rFonts w:ascii="Arial" w:eastAsiaTheme="minorHAnsi" w:hAnsi="Arial" w:cs="Arial"/>
          <w:color w:val="000000"/>
        </w:rPr>
      </w:pPr>
    </w:p>
    <w:p w14:paraId="09927A08" w14:textId="77777777" w:rsidR="00626AB9" w:rsidRPr="00BD7F61" w:rsidRDefault="00626AB9" w:rsidP="00BD7F61">
      <w:pPr>
        <w:spacing w:line="360" w:lineRule="auto"/>
        <w:jc w:val="both"/>
        <w:rPr>
          <w:rFonts w:ascii="Arial" w:hAnsi="Arial" w:cs="Arial"/>
        </w:rPr>
      </w:pPr>
    </w:p>
    <w:p w14:paraId="3BC0CF3A" w14:textId="77777777" w:rsidR="00626AB9" w:rsidRPr="00BD7F61" w:rsidRDefault="00626AB9" w:rsidP="00BD7F61">
      <w:pPr>
        <w:spacing w:line="360" w:lineRule="auto"/>
        <w:jc w:val="center"/>
        <w:rPr>
          <w:rFonts w:ascii="Arial" w:hAnsi="Arial" w:cs="Arial"/>
          <w:b/>
          <w:bCs/>
          <w:u w:val="single"/>
        </w:rPr>
      </w:pPr>
      <w:r w:rsidRPr="00BD7F61">
        <w:rPr>
          <w:rFonts w:ascii="Arial" w:hAnsi="Arial" w:cs="Arial"/>
          <w:b/>
          <w:bCs/>
          <w:u w:val="single"/>
        </w:rPr>
        <w:t xml:space="preserve">CAPÍTULO I.   OPORTUNIDAD </w:t>
      </w:r>
      <w:r w:rsidRPr="00BD7F61">
        <w:rPr>
          <w:rFonts w:ascii="Arial" w:hAnsi="Arial" w:cs="Arial"/>
          <w:b/>
          <w:bCs/>
          <w:u w:val="single"/>
          <w:lang w:val="es-CO"/>
        </w:rPr>
        <w:t>PARA PRESENTAR ALEGATOS.</w:t>
      </w:r>
    </w:p>
    <w:p w14:paraId="6EDAC8FF" w14:textId="77777777" w:rsidR="00626AB9" w:rsidRPr="00BD7F61" w:rsidRDefault="00626AB9" w:rsidP="00BD7F61">
      <w:pPr>
        <w:spacing w:line="360" w:lineRule="auto"/>
        <w:jc w:val="both"/>
        <w:rPr>
          <w:rFonts w:ascii="Arial" w:hAnsi="Arial" w:cs="Arial"/>
        </w:rPr>
      </w:pPr>
    </w:p>
    <w:p w14:paraId="5A5DD22D" w14:textId="0F44D3A6" w:rsidR="00626AB9" w:rsidRPr="00BD7F61" w:rsidRDefault="00D96DE8" w:rsidP="00051B41">
      <w:pPr>
        <w:pStyle w:val="Default"/>
        <w:spacing w:line="360" w:lineRule="auto"/>
        <w:ind w:right="-2"/>
        <w:jc w:val="both"/>
        <w:rPr>
          <w:color w:val="auto"/>
          <w:sz w:val="22"/>
          <w:szCs w:val="22"/>
          <w:lang w:val="es-ES"/>
        </w:rPr>
      </w:pPr>
      <w:r>
        <w:rPr>
          <w:color w:val="auto"/>
          <w:sz w:val="22"/>
          <w:szCs w:val="22"/>
          <w:lang w:val="es-ES"/>
        </w:rPr>
        <w:t xml:space="preserve">En audiencia de pruebas llevada a cabo el día </w:t>
      </w:r>
      <w:r w:rsidR="00051B41">
        <w:rPr>
          <w:color w:val="auto"/>
          <w:sz w:val="22"/>
          <w:szCs w:val="22"/>
          <w:lang w:val="es-ES"/>
        </w:rPr>
        <w:t>12 de junio de 2025</w:t>
      </w:r>
      <w:r>
        <w:rPr>
          <w:color w:val="auto"/>
          <w:sz w:val="22"/>
          <w:szCs w:val="22"/>
          <w:lang w:val="es-ES"/>
        </w:rPr>
        <w:t xml:space="preserve">, el </w:t>
      </w:r>
      <w:r w:rsidR="00051B41" w:rsidRPr="00051B41">
        <w:rPr>
          <w:color w:val="auto"/>
          <w:sz w:val="22"/>
          <w:szCs w:val="22"/>
          <w:lang w:val="es-ES"/>
        </w:rPr>
        <w:t>Juzgado Primero Administrativo Oral Del Circuito De Guadalajara De Buga</w:t>
      </w:r>
      <w:r w:rsidR="00051B41">
        <w:rPr>
          <w:color w:val="auto"/>
          <w:sz w:val="22"/>
          <w:szCs w:val="22"/>
          <w:lang w:val="es-ES"/>
        </w:rPr>
        <w:t xml:space="preserve"> - </w:t>
      </w:r>
      <w:r w:rsidR="00051B41" w:rsidRPr="00051B41">
        <w:rPr>
          <w:color w:val="auto"/>
          <w:sz w:val="22"/>
          <w:szCs w:val="22"/>
          <w:lang w:val="es-ES"/>
        </w:rPr>
        <w:t>Valle Del Cauca</w:t>
      </w:r>
      <w:r w:rsidR="00051B41">
        <w:rPr>
          <w:color w:val="auto"/>
          <w:sz w:val="22"/>
          <w:szCs w:val="22"/>
          <w:lang w:val="es-ES"/>
        </w:rPr>
        <w:t xml:space="preserve"> </w:t>
      </w:r>
      <w:r>
        <w:rPr>
          <w:color w:val="auto"/>
          <w:sz w:val="22"/>
          <w:szCs w:val="22"/>
          <w:lang w:val="es-ES"/>
        </w:rPr>
        <w:t xml:space="preserve">clausuró la etapa probatoria en el presente proceso, y </w:t>
      </w:r>
      <w:r w:rsidR="00626AB9" w:rsidRPr="00BD7F61">
        <w:rPr>
          <w:color w:val="auto"/>
          <w:sz w:val="22"/>
          <w:szCs w:val="22"/>
          <w:lang w:val="es-ES"/>
        </w:rPr>
        <w:t>ordenó</w:t>
      </w:r>
      <w:r>
        <w:rPr>
          <w:color w:val="auto"/>
          <w:sz w:val="22"/>
          <w:szCs w:val="22"/>
          <w:lang w:val="es-ES"/>
        </w:rPr>
        <w:t xml:space="preserve"> correr traslado por</w:t>
      </w:r>
      <w:r w:rsidR="00626AB9" w:rsidRPr="00BD7F61">
        <w:rPr>
          <w:color w:val="auto"/>
          <w:sz w:val="22"/>
          <w:szCs w:val="22"/>
          <w:lang w:val="es-ES"/>
        </w:rPr>
        <w:t xml:space="preserve"> el termino conjunto de 10 días para que las partes presenten Alegatos de Merito en Primera instancia </w:t>
      </w:r>
      <w:r w:rsidR="00626AB9" w:rsidRPr="00BD7F61">
        <w:rPr>
          <w:rFonts w:eastAsia="Arial"/>
          <w:color w:val="auto"/>
          <w:sz w:val="22"/>
          <w:szCs w:val="22"/>
          <w:lang w:val="es-ES"/>
        </w:rPr>
        <w:t xml:space="preserve">conforme a lo previsto por el artículo 181 del CPACA. En ese sentido, dicho término transcurrió los días </w:t>
      </w:r>
      <w:r w:rsidR="00051B41">
        <w:rPr>
          <w:rFonts w:eastAsia="Arial"/>
          <w:color w:val="auto"/>
          <w:sz w:val="22"/>
          <w:szCs w:val="22"/>
          <w:lang w:val="es-ES"/>
        </w:rPr>
        <w:t xml:space="preserve">13, 16, 17, 18, 19, 20 24, 25, 26 y </w:t>
      </w:r>
      <w:r w:rsidR="00051B41" w:rsidRPr="00051B41">
        <w:rPr>
          <w:rFonts w:eastAsia="Arial"/>
          <w:b/>
          <w:bCs/>
          <w:color w:val="auto"/>
          <w:sz w:val="22"/>
          <w:szCs w:val="22"/>
          <w:u w:val="single"/>
          <w:lang w:val="es-ES"/>
        </w:rPr>
        <w:t>27 de junio de 2025</w:t>
      </w:r>
      <w:r>
        <w:rPr>
          <w:rFonts w:eastAsia="Arial"/>
          <w:color w:val="auto"/>
          <w:sz w:val="22"/>
          <w:szCs w:val="22"/>
          <w:lang w:val="es-ES"/>
        </w:rPr>
        <w:t xml:space="preserve"> </w:t>
      </w:r>
      <w:r w:rsidR="00626AB9" w:rsidRPr="00BD7F61">
        <w:rPr>
          <w:rFonts w:eastAsia="Arial"/>
          <w:color w:val="auto"/>
          <w:sz w:val="22"/>
          <w:szCs w:val="22"/>
          <w:lang w:val="es-ES"/>
        </w:rPr>
        <w:t xml:space="preserve">(los días </w:t>
      </w:r>
      <w:r w:rsidR="00051B41">
        <w:rPr>
          <w:rFonts w:eastAsia="Arial"/>
          <w:color w:val="auto"/>
          <w:sz w:val="22"/>
          <w:szCs w:val="22"/>
          <w:lang w:val="es-ES"/>
        </w:rPr>
        <w:t>14</w:t>
      </w:r>
      <w:r w:rsidR="00EF7FC0">
        <w:rPr>
          <w:rFonts w:eastAsia="Arial"/>
          <w:color w:val="auto"/>
          <w:sz w:val="22"/>
          <w:szCs w:val="22"/>
          <w:lang w:val="es-ES"/>
        </w:rPr>
        <w:t>, 15, 21, 22 y 23</w:t>
      </w:r>
      <w:r w:rsidR="0057139D">
        <w:rPr>
          <w:rFonts w:eastAsia="Arial"/>
          <w:color w:val="auto"/>
          <w:sz w:val="22"/>
          <w:szCs w:val="22"/>
          <w:lang w:val="es-ES"/>
        </w:rPr>
        <w:t xml:space="preserve"> </w:t>
      </w:r>
      <w:r>
        <w:rPr>
          <w:rFonts w:eastAsia="Arial"/>
          <w:color w:val="auto"/>
          <w:sz w:val="22"/>
          <w:szCs w:val="22"/>
          <w:lang w:val="es-ES"/>
        </w:rPr>
        <w:t xml:space="preserve">de junio </w:t>
      </w:r>
      <w:r w:rsidR="00626AB9" w:rsidRPr="00BD7F61">
        <w:rPr>
          <w:rFonts w:eastAsia="Arial"/>
          <w:color w:val="auto"/>
          <w:sz w:val="22"/>
          <w:szCs w:val="22"/>
          <w:lang w:val="es-ES"/>
        </w:rPr>
        <w:t xml:space="preserve">no se cuentan por ser días no hábiles), </w:t>
      </w:r>
      <w:bookmarkStart w:id="3" w:name="_Hlk201729557"/>
      <w:r w:rsidR="00626AB9" w:rsidRPr="00BD7F61">
        <w:rPr>
          <w:rFonts w:eastAsia="Arial"/>
          <w:color w:val="auto"/>
          <w:sz w:val="22"/>
          <w:szCs w:val="22"/>
          <w:lang w:val="es-ES"/>
        </w:rPr>
        <w:t xml:space="preserve">por lo que </w:t>
      </w:r>
      <w:r w:rsidR="00626AB9" w:rsidRPr="00BD7F61">
        <w:rPr>
          <w:color w:val="auto"/>
          <w:sz w:val="22"/>
          <w:szCs w:val="22"/>
          <w:lang w:val="es-ES"/>
        </w:rPr>
        <w:t>se concluye que este escrito es presentado dentro del tiempo previsto para tal efecto.</w:t>
      </w:r>
      <w:bookmarkEnd w:id="3"/>
    </w:p>
    <w:p w14:paraId="303FB82B" w14:textId="77777777" w:rsidR="00626AB9" w:rsidRPr="00BD7F61" w:rsidRDefault="00626AB9" w:rsidP="00BD7F61">
      <w:pPr>
        <w:spacing w:line="360" w:lineRule="auto"/>
        <w:rPr>
          <w:rFonts w:ascii="Arial" w:hAnsi="Arial" w:cs="Arial"/>
        </w:rPr>
      </w:pPr>
    </w:p>
    <w:p w14:paraId="17890FD5" w14:textId="77777777" w:rsidR="00626AB9" w:rsidRPr="00BD7F61" w:rsidRDefault="00626AB9" w:rsidP="00BD7F61">
      <w:pPr>
        <w:spacing w:line="360" w:lineRule="auto"/>
        <w:jc w:val="center"/>
        <w:rPr>
          <w:rFonts w:ascii="Arial" w:hAnsi="Arial" w:cs="Arial"/>
          <w:b/>
          <w:bCs/>
          <w:u w:val="single"/>
          <w:lang w:val="es-CO"/>
        </w:rPr>
      </w:pPr>
      <w:r w:rsidRPr="00BD7F61">
        <w:rPr>
          <w:rFonts w:ascii="Arial" w:hAnsi="Arial" w:cs="Arial"/>
          <w:b/>
          <w:bCs/>
          <w:u w:val="single"/>
          <w:lang w:val="es-CO"/>
        </w:rPr>
        <w:t>CAPÍTULO II.   ASPECTO PREVIOS RELATIVOS A LA “IMPUTACIÓN”.</w:t>
      </w:r>
    </w:p>
    <w:p w14:paraId="0031196D" w14:textId="77777777" w:rsidR="00626AB9" w:rsidRPr="00BD7F61" w:rsidRDefault="00626AB9" w:rsidP="00BD7F61">
      <w:pPr>
        <w:spacing w:line="360" w:lineRule="auto"/>
        <w:ind w:right="-2"/>
        <w:rPr>
          <w:rFonts w:ascii="Arial" w:hAnsi="Arial" w:cs="Arial"/>
          <w:b/>
          <w:bCs/>
          <w:u w:val="single"/>
          <w:lang w:val="es-CO"/>
        </w:rPr>
      </w:pPr>
    </w:p>
    <w:p w14:paraId="76A9232A" w14:textId="77777777" w:rsidR="00626AB9" w:rsidRPr="00BD7F61" w:rsidRDefault="00626AB9" w:rsidP="00BD7F61">
      <w:pPr>
        <w:spacing w:line="360" w:lineRule="auto"/>
        <w:jc w:val="both"/>
        <w:rPr>
          <w:rFonts w:ascii="Arial" w:hAnsi="Arial" w:cs="Arial"/>
        </w:rPr>
      </w:pPr>
      <w:r w:rsidRPr="00BD7F61">
        <w:rPr>
          <w:rFonts w:ascii="Arial" w:hAnsi="Arial" w:cs="Arial"/>
        </w:rPr>
        <w:t xml:space="preserve">Es importante precisar que el objeto del litigio aquí ventilado corresponde al fijado por el despacho en audiencia inicial, en los siguientes términos: </w:t>
      </w:r>
    </w:p>
    <w:p w14:paraId="51B707C8" w14:textId="77777777" w:rsidR="00626AB9" w:rsidRPr="00BD7F61" w:rsidRDefault="00626AB9" w:rsidP="00EF7FC0">
      <w:pPr>
        <w:spacing w:line="360" w:lineRule="auto"/>
        <w:jc w:val="both"/>
        <w:rPr>
          <w:rFonts w:ascii="Arial" w:hAnsi="Arial" w:cs="Arial"/>
          <w:sz w:val="20"/>
          <w:szCs w:val="20"/>
        </w:rPr>
      </w:pPr>
    </w:p>
    <w:p w14:paraId="22F79EF4" w14:textId="0FF0290D" w:rsidR="00EF7FC0" w:rsidRDefault="00EF7FC0" w:rsidP="00EF7FC0">
      <w:pPr>
        <w:spacing w:line="360" w:lineRule="auto"/>
        <w:ind w:left="708"/>
        <w:jc w:val="both"/>
        <w:rPr>
          <w:rFonts w:ascii="Arial" w:hAnsi="Arial" w:cs="Arial"/>
          <w:i/>
          <w:iCs/>
          <w:sz w:val="20"/>
          <w:szCs w:val="20"/>
          <w:lang w:val="es-CO"/>
        </w:rPr>
      </w:pPr>
      <w:r>
        <w:rPr>
          <w:rFonts w:ascii="Arial" w:hAnsi="Arial" w:cs="Arial"/>
          <w:i/>
          <w:iCs/>
          <w:sz w:val="20"/>
          <w:szCs w:val="20"/>
          <w:lang w:val="es-CO"/>
        </w:rPr>
        <w:t>“</w:t>
      </w:r>
      <w:r w:rsidRPr="00EF7FC0">
        <w:rPr>
          <w:rFonts w:ascii="Arial" w:hAnsi="Arial" w:cs="Arial"/>
          <w:i/>
          <w:iCs/>
          <w:sz w:val="20"/>
          <w:szCs w:val="20"/>
          <w:lang w:val="es-CO"/>
        </w:rPr>
        <w:t>Se contrae a determinar si las entidades demandadas, son administrativamente y patrimonialmente</w:t>
      </w:r>
      <w:r>
        <w:rPr>
          <w:rFonts w:ascii="Arial" w:hAnsi="Arial" w:cs="Arial"/>
          <w:i/>
          <w:iCs/>
          <w:sz w:val="20"/>
          <w:szCs w:val="20"/>
          <w:lang w:val="es-CO"/>
        </w:rPr>
        <w:t xml:space="preserve"> </w:t>
      </w:r>
      <w:r w:rsidRPr="00EF7FC0">
        <w:rPr>
          <w:rFonts w:ascii="Arial" w:hAnsi="Arial" w:cs="Arial"/>
          <w:i/>
          <w:iCs/>
          <w:sz w:val="20"/>
          <w:szCs w:val="20"/>
          <w:lang w:val="es-CO"/>
        </w:rPr>
        <w:t>responsables del daño antijurídico alegado por la parte demandante bajo el régimen de imputación</w:t>
      </w:r>
      <w:r>
        <w:rPr>
          <w:rFonts w:ascii="Arial" w:hAnsi="Arial" w:cs="Arial"/>
          <w:i/>
          <w:iCs/>
          <w:sz w:val="20"/>
          <w:szCs w:val="20"/>
          <w:lang w:val="es-CO"/>
        </w:rPr>
        <w:t xml:space="preserve"> </w:t>
      </w:r>
      <w:r w:rsidRPr="00EF7FC0">
        <w:rPr>
          <w:rFonts w:ascii="Arial" w:hAnsi="Arial" w:cs="Arial"/>
          <w:i/>
          <w:iCs/>
          <w:sz w:val="20"/>
          <w:szCs w:val="20"/>
          <w:lang w:val="es-CO"/>
        </w:rPr>
        <w:t>de falla en el servicio, daño se concreta en la muerte del señor DANIEL ARAQUE RUIZ, la que ocurrió</w:t>
      </w:r>
      <w:r>
        <w:rPr>
          <w:rFonts w:ascii="Arial" w:hAnsi="Arial" w:cs="Arial"/>
          <w:i/>
          <w:iCs/>
          <w:sz w:val="20"/>
          <w:szCs w:val="20"/>
          <w:lang w:val="es-CO"/>
        </w:rPr>
        <w:t xml:space="preserve"> </w:t>
      </w:r>
      <w:r w:rsidRPr="00EF7FC0">
        <w:rPr>
          <w:rFonts w:ascii="Arial" w:hAnsi="Arial" w:cs="Arial"/>
          <w:i/>
          <w:iCs/>
          <w:sz w:val="20"/>
          <w:szCs w:val="20"/>
          <w:lang w:val="es-CO"/>
        </w:rPr>
        <w:lastRenderedPageBreak/>
        <w:t>por accidente de tránsito acaecido el día 9 de agosto de 2016 en la vía que del Municipio de Buga (V)</w:t>
      </w:r>
      <w:r>
        <w:rPr>
          <w:rFonts w:ascii="Arial" w:hAnsi="Arial" w:cs="Arial"/>
          <w:i/>
          <w:iCs/>
          <w:sz w:val="20"/>
          <w:szCs w:val="20"/>
          <w:lang w:val="es-CO"/>
        </w:rPr>
        <w:t xml:space="preserve"> </w:t>
      </w:r>
      <w:r w:rsidRPr="00EF7FC0">
        <w:rPr>
          <w:rFonts w:ascii="Arial" w:hAnsi="Arial" w:cs="Arial"/>
          <w:i/>
          <w:iCs/>
          <w:sz w:val="20"/>
          <w:szCs w:val="20"/>
          <w:lang w:val="es-CO"/>
        </w:rPr>
        <w:t>conduce al puerto de Buenaventura (V), y si como consecuencia de ello, debe ordenarse el</w:t>
      </w:r>
      <w:r>
        <w:rPr>
          <w:rFonts w:ascii="Arial" w:hAnsi="Arial" w:cs="Arial"/>
          <w:i/>
          <w:iCs/>
          <w:sz w:val="20"/>
          <w:szCs w:val="20"/>
          <w:lang w:val="es-CO"/>
        </w:rPr>
        <w:t xml:space="preserve"> </w:t>
      </w:r>
      <w:r w:rsidRPr="00EF7FC0">
        <w:rPr>
          <w:rFonts w:ascii="Arial" w:hAnsi="Arial" w:cs="Arial"/>
          <w:i/>
          <w:iCs/>
          <w:sz w:val="20"/>
          <w:szCs w:val="20"/>
          <w:lang w:val="es-CO"/>
        </w:rPr>
        <w:t>resarcimiento de los perjuicios morales y materiales reclamados; o si por el contrario logra probarse</w:t>
      </w:r>
      <w:r>
        <w:rPr>
          <w:rFonts w:ascii="Arial" w:hAnsi="Arial" w:cs="Arial"/>
          <w:i/>
          <w:iCs/>
          <w:sz w:val="20"/>
          <w:szCs w:val="20"/>
          <w:lang w:val="es-CO"/>
        </w:rPr>
        <w:t xml:space="preserve"> </w:t>
      </w:r>
      <w:r w:rsidRPr="00EF7FC0">
        <w:rPr>
          <w:rFonts w:ascii="Arial" w:hAnsi="Arial" w:cs="Arial"/>
          <w:i/>
          <w:iCs/>
          <w:sz w:val="20"/>
          <w:szCs w:val="20"/>
          <w:lang w:val="es-CO"/>
        </w:rPr>
        <w:t>cualquiera de las eximentes de responsabilidad planteadas por quienes integran el extremo pasivo de</w:t>
      </w:r>
      <w:r>
        <w:rPr>
          <w:rFonts w:ascii="Arial" w:hAnsi="Arial" w:cs="Arial"/>
          <w:i/>
          <w:iCs/>
          <w:sz w:val="20"/>
          <w:szCs w:val="20"/>
          <w:lang w:val="es-CO"/>
        </w:rPr>
        <w:t xml:space="preserve"> </w:t>
      </w:r>
      <w:r w:rsidRPr="00EF7FC0">
        <w:rPr>
          <w:rFonts w:ascii="Arial" w:hAnsi="Arial" w:cs="Arial"/>
          <w:i/>
          <w:iCs/>
          <w:sz w:val="20"/>
          <w:szCs w:val="20"/>
          <w:lang w:val="es-CO"/>
        </w:rPr>
        <w:t>la relación procesal.</w:t>
      </w:r>
    </w:p>
    <w:p w14:paraId="4E59DD38" w14:textId="77777777" w:rsidR="00EF7FC0" w:rsidRPr="00EF7FC0" w:rsidRDefault="00EF7FC0" w:rsidP="00EF7FC0">
      <w:pPr>
        <w:spacing w:line="360" w:lineRule="auto"/>
        <w:ind w:left="708"/>
        <w:jc w:val="both"/>
        <w:rPr>
          <w:rFonts w:ascii="Arial" w:hAnsi="Arial" w:cs="Arial"/>
          <w:i/>
          <w:iCs/>
          <w:sz w:val="20"/>
          <w:szCs w:val="20"/>
          <w:lang w:val="es-CO"/>
        </w:rPr>
      </w:pPr>
    </w:p>
    <w:p w14:paraId="76C006D7" w14:textId="12A42D69" w:rsidR="00F76838" w:rsidRPr="00BD7F61" w:rsidRDefault="00EF7FC0" w:rsidP="00EF7FC0">
      <w:pPr>
        <w:spacing w:line="360" w:lineRule="auto"/>
        <w:ind w:left="708"/>
        <w:jc w:val="both"/>
        <w:rPr>
          <w:rFonts w:ascii="Arial" w:hAnsi="Arial" w:cs="Arial"/>
          <w:sz w:val="20"/>
          <w:szCs w:val="20"/>
        </w:rPr>
      </w:pPr>
      <w:r w:rsidRPr="00EF7FC0">
        <w:rPr>
          <w:rFonts w:ascii="Arial" w:hAnsi="Arial" w:cs="Arial"/>
          <w:i/>
          <w:iCs/>
          <w:sz w:val="20"/>
          <w:szCs w:val="20"/>
          <w:lang w:val="es-CO"/>
        </w:rPr>
        <w:t>Una vez determinado lo anterior y de salir avante la pretensión principal del demandante, debe</w:t>
      </w:r>
      <w:r>
        <w:rPr>
          <w:rFonts w:ascii="Arial" w:hAnsi="Arial" w:cs="Arial"/>
          <w:i/>
          <w:iCs/>
          <w:sz w:val="20"/>
          <w:szCs w:val="20"/>
          <w:lang w:val="es-CO"/>
        </w:rPr>
        <w:t xml:space="preserve"> </w:t>
      </w:r>
      <w:r w:rsidRPr="00EF7FC0">
        <w:rPr>
          <w:rFonts w:ascii="Arial" w:hAnsi="Arial" w:cs="Arial"/>
          <w:i/>
          <w:iCs/>
          <w:sz w:val="20"/>
          <w:szCs w:val="20"/>
          <w:lang w:val="es-CO"/>
        </w:rPr>
        <w:t>resolverse si las llamadas en garantía están obligadas a contribuir en el pago de la condena que le</w:t>
      </w:r>
      <w:r>
        <w:rPr>
          <w:rFonts w:ascii="Arial" w:hAnsi="Arial" w:cs="Arial"/>
          <w:i/>
          <w:iCs/>
          <w:sz w:val="20"/>
          <w:szCs w:val="20"/>
          <w:lang w:val="es-CO"/>
        </w:rPr>
        <w:t xml:space="preserve"> </w:t>
      </w:r>
      <w:r w:rsidRPr="00EF7FC0">
        <w:rPr>
          <w:rFonts w:ascii="Arial" w:hAnsi="Arial" w:cs="Arial"/>
          <w:i/>
          <w:iCs/>
          <w:sz w:val="20"/>
          <w:szCs w:val="20"/>
          <w:lang w:val="es-CO"/>
        </w:rPr>
        <w:t>fuere impuesta a las demandadas y/o vinculadas en virtud de la relación contractual existente con sus</w:t>
      </w:r>
      <w:r>
        <w:rPr>
          <w:rFonts w:ascii="Arial" w:hAnsi="Arial" w:cs="Arial"/>
          <w:i/>
          <w:iCs/>
          <w:sz w:val="20"/>
          <w:szCs w:val="20"/>
          <w:lang w:val="es-CO"/>
        </w:rPr>
        <w:t xml:space="preserve"> </w:t>
      </w:r>
      <w:r w:rsidRPr="00EF7FC0">
        <w:rPr>
          <w:rFonts w:ascii="Arial" w:hAnsi="Arial" w:cs="Arial"/>
          <w:i/>
          <w:iCs/>
          <w:sz w:val="20"/>
          <w:szCs w:val="20"/>
          <w:lang w:val="es-CO"/>
        </w:rPr>
        <w:t>llamantes, en materia de las coberturas y límites establecidos en los respectivos contratos</w:t>
      </w:r>
      <w:r w:rsidR="008475E2" w:rsidRPr="00BD7F61">
        <w:rPr>
          <w:rFonts w:ascii="Arial" w:hAnsi="Arial" w:cs="Arial"/>
          <w:i/>
          <w:iCs/>
          <w:sz w:val="20"/>
          <w:szCs w:val="20"/>
        </w:rPr>
        <w:t>.</w:t>
      </w:r>
      <w:r w:rsidR="00F76838" w:rsidRPr="00BD7F61">
        <w:rPr>
          <w:rFonts w:ascii="Arial" w:hAnsi="Arial" w:cs="Arial"/>
          <w:i/>
          <w:iCs/>
          <w:sz w:val="20"/>
          <w:szCs w:val="20"/>
        </w:rPr>
        <w:t>”</w:t>
      </w:r>
      <w:r w:rsidR="00D42061" w:rsidRPr="00BD7F61">
        <w:rPr>
          <w:rStyle w:val="Refdenotaalpie"/>
          <w:rFonts w:ascii="Arial" w:hAnsi="Arial" w:cs="Arial"/>
          <w:i/>
          <w:iCs/>
          <w:sz w:val="20"/>
          <w:szCs w:val="20"/>
        </w:rPr>
        <w:footnoteReference w:id="1"/>
      </w:r>
    </w:p>
    <w:bookmarkEnd w:id="2"/>
    <w:p w14:paraId="29B0AD7E" w14:textId="77777777" w:rsidR="008475E2" w:rsidRPr="00BD7F61" w:rsidRDefault="008475E2" w:rsidP="00BD7F61">
      <w:pPr>
        <w:spacing w:line="360" w:lineRule="auto"/>
        <w:rPr>
          <w:rFonts w:ascii="Arial" w:hAnsi="Arial" w:cs="Arial"/>
        </w:rPr>
      </w:pPr>
    </w:p>
    <w:p w14:paraId="76644FDD" w14:textId="77777777" w:rsidR="0004147F" w:rsidRPr="00BD7F61" w:rsidRDefault="0004147F" w:rsidP="00BD7F61">
      <w:pPr>
        <w:spacing w:line="360" w:lineRule="auto"/>
        <w:jc w:val="center"/>
        <w:rPr>
          <w:rFonts w:ascii="Arial" w:hAnsi="Arial" w:cs="Arial"/>
        </w:rPr>
      </w:pPr>
    </w:p>
    <w:p w14:paraId="712C91DD" w14:textId="3777B0DC" w:rsidR="004D36C3" w:rsidRPr="00BD7F61" w:rsidRDefault="0004147F">
      <w:pPr>
        <w:pStyle w:val="Prrafodelista"/>
        <w:numPr>
          <w:ilvl w:val="0"/>
          <w:numId w:val="1"/>
        </w:numPr>
        <w:spacing w:line="360" w:lineRule="auto"/>
        <w:jc w:val="center"/>
        <w:rPr>
          <w:rFonts w:ascii="Arial" w:hAnsi="Arial" w:cs="Arial"/>
          <w:b/>
          <w:bCs/>
          <w:u w:val="single"/>
          <w:lang w:val="es-CO"/>
        </w:rPr>
      </w:pPr>
      <w:r w:rsidRPr="00BD7F61">
        <w:rPr>
          <w:rFonts w:ascii="Arial" w:hAnsi="Arial" w:cs="Arial"/>
          <w:b/>
          <w:bCs/>
          <w:u w:val="single"/>
          <w:lang w:val="es-CO"/>
        </w:rPr>
        <w:t>ALEGATOS</w:t>
      </w:r>
      <w:r w:rsidR="0013615F" w:rsidRPr="00BD7F61">
        <w:rPr>
          <w:rFonts w:ascii="Arial" w:hAnsi="Arial" w:cs="Arial"/>
          <w:b/>
          <w:bCs/>
          <w:u w:val="single"/>
          <w:lang w:val="es-CO"/>
        </w:rPr>
        <w:t xml:space="preserve"> DE MERITO</w:t>
      </w:r>
      <w:r w:rsidRPr="00BD7F61">
        <w:rPr>
          <w:rFonts w:ascii="Arial" w:hAnsi="Arial" w:cs="Arial"/>
          <w:b/>
          <w:bCs/>
          <w:u w:val="single"/>
          <w:lang w:val="es-CO"/>
        </w:rPr>
        <w:t xml:space="preserve"> FRENTE</w:t>
      </w:r>
      <w:r w:rsidR="0013615F" w:rsidRPr="00BD7F61">
        <w:rPr>
          <w:rFonts w:ascii="Arial" w:hAnsi="Arial" w:cs="Arial"/>
          <w:b/>
          <w:bCs/>
          <w:u w:val="single"/>
          <w:lang w:val="es-CO"/>
        </w:rPr>
        <w:t xml:space="preserve"> A LO PROBADO EN LA DEMANDA</w:t>
      </w:r>
    </w:p>
    <w:p w14:paraId="5C402CC3" w14:textId="77777777" w:rsidR="00322482" w:rsidRPr="00BD7F61" w:rsidRDefault="00322482" w:rsidP="00BD7F61">
      <w:pPr>
        <w:widowControl/>
        <w:adjustRightInd w:val="0"/>
        <w:rPr>
          <w:rFonts w:ascii="Arial" w:eastAsiaTheme="minorHAnsi" w:hAnsi="Arial" w:cs="Arial"/>
          <w:b/>
          <w:bCs/>
          <w:color w:val="000000"/>
          <w:lang w:val="es-CO"/>
        </w:rPr>
      </w:pPr>
    </w:p>
    <w:p w14:paraId="4A1F10F3" w14:textId="7A58460A" w:rsidR="00724E33" w:rsidRPr="00B954AD" w:rsidRDefault="00A21F90">
      <w:pPr>
        <w:pStyle w:val="Prrafodelista"/>
        <w:numPr>
          <w:ilvl w:val="0"/>
          <w:numId w:val="3"/>
        </w:numPr>
        <w:spacing w:line="360" w:lineRule="auto"/>
        <w:jc w:val="both"/>
        <w:rPr>
          <w:rFonts w:ascii="Arial" w:hAnsi="Arial" w:cs="Arial"/>
          <w:b/>
          <w:bCs/>
          <w:lang w:val="es-CO"/>
        </w:rPr>
      </w:pPr>
      <w:r>
        <w:rPr>
          <w:rFonts w:ascii="Arial" w:eastAsiaTheme="minorHAnsi" w:hAnsi="Arial" w:cs="Arial"/>
          <w:b/>
          <w:bCs/>
          <w:color w:val="000000"/>
          <w:lang w:val="es-CO"/>
        </w:rPr>
        <w:t xml:space="preserve">SE PROBÓ LA </w:t>
      </w:r>
      <w:r w:rsidRPr="00B954AD">
        <w:rPr>
          <w:rFonts w:ascii="Arial" w:eastAsiaTheme="minorHAnsi" w:hAnsi="Arial" w:cs="Arial"/>
          <w:b/>
          <w:bCs/>
          <w:color w:val="000000"/>
          <w:lang w:val="es-CO"/>
        </w:rPr>
        <w:t xml:space="preserve">INEXISTENCIA DE </w:t>
      </w:r>
      <w:r w:rsidR="00D6721B" w:rsidRPr="00B954AD">
        <w:rPr>
          <w:rFonts w:ascii="Arial" w:eastAsiaTheme="minorHAnsi" w:hAnsi="Arial" w:cs="Arial"/>
          <w:b/>
          <w:bCs/>
          <w:color w:val="000000"/>
          <w:lang w:val="es-CO"/>
        </w:rPr>
        <w:t xml:space="preserve">FALLA </w:t>
      </w:r>
      <w:r w:rsidR="00D6721B">
        <w:rPr>
          <w:rFonts w:ascii="Arial" w:eastAsiaTheme="minorHAnsi" w:hAnsi="Arial" w:cs="Arial"/>
          <w:b/>
          <w:bCs/>
          <w:color w:val="000000"/>
          <w:lang w:val="es-CO"/>
        </w:rPr>
        <w:t xml:space="preserve">EN EL SERVICIO. </w:t>
      </w:r>
    </w:p>
    <w:p w14:paraId="0B93D0EB" w14:textId="77777777" w:rsidR="00E90588" w:rsidRDefault="00E90588" w:rsidP="00550F65">
      <w:pPr>
        <w:spacing w:line="360" w:lineRule="auto"/>
        <w:jc w:val="both"/>
        <w:rPr>
          <w:rFonts w:ascii="Arial" w:hAnsi="Arial" w:cs="Arial"/>
          <w:lang w:val="es-CO"/>
        </w:rPr>
      </w:pPr>
    </w:p>
    <w:p w14:paraId="1E7F4F41" w14:textId="73683357" w:rsidR="00277BF8" w:rsidRDefault="00277BF8" w:rsidP="00277BF8">
      <w:pPr>
        <w:spacing w:line="360" w:lineRule="auto"/>
        <w:jc w:val="both"/>
        <w:rPr>
          <w:rFonts w:ascii="Arial" w:hAnsi="Arial" w:cs="Arial"/>
          <w:lang w:val="es-CO"/>
        </w:rPr>
      </w:pPr>
      <w:r w:rsidRPr="00277BF8">
        <w:rPr>
          <w:rFonts w:ascii="Arial" w:hAnsi="Arial" w:cs="Arial"/>
          <w:lang w:val="es-CO"/>
        </w:rPr>
        <w:t>Como fue expuesto de manera clara y contundente en la contestación de la demanda y se demostró con suficiencia a lo largo del proceso, no se configura en el caso concreto ninguna falla del servicio atribuible al INSTITUTO NACIONAL DE VÍAS – INVÍAS</w:t>
      </w:r>
      <w:r>
        <w:rPr>
          <w:rFonts w:ascii="Arial" w:hAnsi="Arial" w:cs="Arial"/>
          <w:lang w:val="es-CO"/>
        </w:rPr>
        <w:t>, debido a la inexistencia de los elementos que permiten configurar la responsabilidad.</w:t>
      </w:r>
      <w:r w:rsidRPr="00277BF8">
        <w:rPr>
          <w:rFonts w:ascii="Arial" w:hAnsi="Arial" w:cs="Arial"/>
          <w:lang w:val="es-CO"/>
        </w:rPr>
        <w:t xml:space="preserve"> En consecuencia, no es posible imputar responsabilidad patrimonial alguna a la entidad por los lamentables hechos ocurridos el 9 de agosto de 2016, en los que resultó </w:t>
      </w:r>
      <w:r w:rsidR="005F4CBB">
        <w:rPr>
          <w:rFonts w:ascii="Arial" w:hAnsi="Arial" w:cs="Arial"/>
          <w:lang w:val="es-CO"/>
        </w:rPr>
        <w:t>en el fallecimiento de</w:t>
      </w:r>
      <w:r w:rsidRPr="00277BF8">
        <w:rPr>
          <w:rFonts w:ascii="Arial" w:hAnsi="Arial" w:cs="Arial"/>
          <w:lang w:val="es-CO"/>
        </w:rPr>
        <w:t xml:space="preserve">l señor </w:t>
      </w:r>
      <w:r w:rsidR="005F4CBB" w:rsidRPr="00277BF8">
        <w:rPr>
          <w:rFonts w:ascii="Arial" w:hAnsi="Arial" w:cs="Arial"/>
          <w:lang w:val="es-CO"/>
        </w:rPr>
        <w:t>DANIEL ARAQUE RUIZ</w:t>
      </w:r>
      <w:r w:rsidRPr="00277BF8">
        <w:rPr>
          <w:rFonts w:ascii="Arial" w:hAnsi="Arial" w:cs="Arial"/>
          <w:lang w:val="es-CO"/>
        </w:rPr>
        <w:t>.</w:t>
      </w:r>
    </w:p>
    <w:p w14:paraId="17D84695" w14:textId="77777777" w:rsidR="00277BF8" w:rsidRPr="00277BF8" w:rsidRDefault="00277BF8" w:rsidP="00277BF8">
      <w:pPr>
        <w:spacing w:line="360" w:lineRule="auto"/>
        <w:jc w:val="both"/>
        <w:rPr>
          <w:rFonts w:ascii="Arial" w:hAnsi="Arial" w:cs="Arial"/>
          <w:lang w:val="es-CO"/>
        </w:rPr>
      </w:pPr>
    </w:p>
    <w:p w14:paraId="61436737" w14:textId="563E6AF3" w:rsidR="00277BF8" w:rsidRDefault="00277BF8" w:rsidP="00277BF8">
      <w:pPr>
        <w:spacing w:line="360" w:lineRule="auto"/>
        <w:jc w:val="both"/>
        <w:rPr>
          <w:rFonts w:ascii="Arial" w:hAnsi="Arial" w:cs="Arial"/>
          <w:lang w:val="es-CO"/>
        </w:rPr>
      </w:pPr>
      <w:r w:rsidRPr="00277BF8">
        <w:rPr>
          <w:rFonts w:ascii="Arial" w:hAnsi="Arial" w:cs="Arial"/>
          <w:lang w:val="es-CO"/>
        </w:rPr>
        <w:t xml:space="preserve">Esta conclusión se sustenta, </w:t>
      </w:r>
      <w:r w:rsidR="005F4CBB">
        <w:rPr>
          <w:rFonts w:ascii="Arial" w:hAnsi="Arial" w:cs="Arial"/>
          <w:lang w:val="es-CO"/>
        </w:rPr>
        <w:t>en el régimen de</w:t>
      </w:r>
      <w:r w:rsidRPr="00277BF8">
        <w:rPr>
          <w:rFonts w:ascii="Arial" w:hAnsi="Arial" w:cs="Arial"/>
          <w:lang w:val="es-CO"/>
        </w:rPr>
        <w:t xml:space="preserve"> la responsabilidad extracontractual del Estado por el hecho del servicio bajo el régimen de falla probada. Como ha sido reiterado por la jurisprudencia de la Sección Tercera del Consejo de Estado, cuando se alega la responsabilidad del Estado por defectos o irregularidades en la infraestructura vial, el análisis debe hacerse bajo este régimen, el cual impone a la parte demandante la carga de probar de manera clara y concurrente: </w:t>
      </w:r>
      <w:r w:rsidRPr="00277BF8">
        <w:rPr>
          <w:rFonts w:ascii="Arial" w:hAnsi="Arial" w:cs="Arial"/>
          <w:b/>
          <w:bCs/>
          <w:lang w:val="es-CO"/>
        </w:rPr>
        <w:t>(i)</w:t>
      </w:r>
      <w:r w:rsidRPr="00277BF8">
        <w:rPr>
          <w:rFonts w:ascii="Arial" w:hAnsi="Arial" w:cs="Arial"/>
          <w:lang w:val="es-CO"/>
        </w:rPr>
        <w:t xml:space="preserve"> la existencia de un daño cierto y antijurídico, </w:t>
      </w:r>
      <w:r w:rsidRPr="00277BF8">
        <w:rPr>
          <w:rFonts w:ascii="Arial" w:hAnsi="Arial" w:cs="Arial"/>
          <w:b/>
          <w:bCs/>
          <w:lang w:val="es-CO"/>
        </w:rPr>
        <w:t>(</w:t>
      </w:r>
      <w:proofErr w:type="spellStart"/>
      <w:r w:rsidRPr="00277BF8">
        <w:rPr>
          <w:rFonts w:ascii="Arial" w:hAnsi="Arial" w:cs="Arial"/>
          <w:b/>
          <w:bCs/>
          <w:lang w:val="es-CO"/>
        </w:rPr>
        <w:t>ii</w:t>
      </w:r>
      <w:proofErr w:type="spellEnd"/>
      <w:r w:rsidRPr="00277BF8">
        <w:rPr>
          <w:rFonts w:ascii="Arial" w:hAnsi="Arial" w:cs="Arial"/>
          <w:b/>
          <w:bCs/>
          <w:lang w:val="es-CO"/>
        </w:rPr>
        <w:t>)</w:t>
      </w:r>
      <w:r w:rsidRPr="00277BF8">
        <w:rPr>
          <w:rFonts w:ascii="Arial" w:hAnsi="Arial" w:cs="Arial"/>
          <w:lang w:val="es-CO"/>
        </w:rPr>
        <w:t xml:space="preserve"> una conducta activa u omisiva de la administración que configure una falla del servicio, y </w:t>
      </w:r>
      <w:r w:rsidRPr="00277BF8">
        <w:rPr>
          <w:rFonts w:ascii="Arial" w:hAnsi="Arial" w:cs="Arial"/>
          <w:b/>
          <w:bCs/>
          <w:lang w:val="es-CO"/>
        </w:rPr>
        <w:t>(</w:t>
      </w:r>
      <w:proofErr w:type="spellStart"/>
      <w:r w:rsidRPr="00277BF8">
        <w:rPr>
          <w:rFonts w:ascii="Arial" w:hAnsi="Arial" w:cs="Arial"/>
          <w:b/>
          <w:bCs/>
          <w:lang w:val="es-CO"/>
        </w:rPr>
        <w:t>iii</w:t>
      </w:r>
      <w:proofErr w:type="spellEnd"/>
      <w:r w:rsidRPr="00277BF8">
        <w:rPr>
          <w:rFonts w:ascii="Arial" w:hAnsi="Arial" w:cs="Arial"/>
          <w:b/>
          <w:bCs/>
          <w:lang w:val="es-CO"/>
        </w:rPr>
        <w:t>)</w:t>
      </w:r>
      <w:r w:rsidRPr="00277BF8">
        <w:rPr>
          <w:rFonts w:ascii="Arial" w:hAnsi="Arial" w:cs="Arial"/>
          <w:lang w:val="es-CO"/>
        </w:rPr>
        <w:t xml:space="preserve"> un nexo de causalidad adecuado entre dicha conducta y el daño causado.</w:t>
      </w:r>
      <w:r w:rsidR="005F4CBB">
        <w:rPr>
          <w:rFonts w:ascii="Arial" w:hAnsi="Arial" w:cs="Arial"/>
          <w:lang w:val="es-CO"/>
        </w:rPr>
        <w:t xml:space="preserve"> </w:t>
      </w:r>
      <w:r w:rsidRPr="00277BF8">
        <w:rPr>
          <w:rFonts w:ascii="Arial" w:hAnsi="Arial" w:cs="Arial"/>
          <w:lang w:val="es-CO"/>
        </w:rPr>
        <w:t>Así, en palabras del Consejo de Estado:</w:t>
      </w:r>
      <w:r w:rsidR="005F4CBB">
        <w:rPr>
          <w:rFonts w:ascii="Arial" w:hAnsi="Arial" w:cs="Arial"/>
          <w:lang w:val="es-CO"/>
        </w:rPr>
        <w:t xml:space="preserve"> </w:t>
      </w:r>
      <w:r w:rsidRPr="00277BF8">
        <w:rPr>
          <w:rFonts w:ascii="Arial" w:hAnsi="Arial" w:cs="Arial"/>
          <w:i/>
          <w:iCs/>
          <w:lang w:val="es-CO"/>
        </w:rPr>
        <w:t>"La sola acreditación del daño no es suficiente para declarar la responsabilidad del Estado. Se requiere, además, la demostración de la falla del servicio y del vínculo causal entre esta y el daño."</w:t>
      </w:r>
      <w:r w:rsidRPr="00277BF8">
        <w:rPr>
          <w:rFonts w:ascii="Arial" w:hAnsi="Arial" w:cs="Arial"/>
          <w:lang w:val="es-CO"/>
        </w:rPr>
        <w:t xml:space="preserve"> </w:t>
      </w:r>
      <w:r w:rsidR="005F4CBB">
        <w:rPr>
          <w:rStyle w:val="Refdenotaalpie"/>
          <w:rFonts w:ascii="Arial" w:hAnsi="Arial" w:cs="Arial"/>
          <w:lang w:val="es-CO"/>
        </w:rPr>
        <w:footnoteReference w:id="2"/>
      </w:r>
    </w:p>
    <w:p w14:paraId="22235832" w14:textId="77777777" w:rsidR="005F4CBB" w:rsidRPr="00277BF8" w:rsidRDefault="005F4CBB" w:rsidP="00277BF8">
      <w:pPr>
        <w:spacing w:line="360" w:lineRule="auto"/>
        <w:jc w:val="both"/>
        <w:rPr>
          <w:rFonts w:ascii="Arial" w:hAnsi="Arial" w:cs="Arial"/>
          <w:lang w:val="es-CO"/>
        </w:rPr>
      </w:pPr>
    </w:p>
    <w:p w14:paraId="4D95DF34" w14:textId="5EA003C4" w:rsidR="00277BF8" w:rsidRDefault="00277BF8" w:rsidP="00277BF8">
      <w:pPr>
        <w:spacing w:line="360" w:lineRule="auto"/>
        <w:jc w:val="both"/>
        <w:rPr>
          <w:rFonts w:ascii="Arial" w:hAnsi="Arial" w:cs="Arial"/>
          <w:lang w:val="es-CO"/>
        </w:rPr>
      </w:pPr>
      <w:r w:rsidRPr="00277BF8">
        <w:rPr>
          <w:rFonts w:ascii="Arial" w:hAnsi="Arial" w:cs="Arial"/>
          <w:lang w:val="es-CO"/>
        </w:rPr>
        <w:t>A lo largo del proceso fueron practicadas múltiples pruebas que permiten concluir, sin ambigüedad, que el accidente de tránsito no fue ocasionado por una omisión del INVÍAS en el cumplimiento de sus deberes legales de mantenimiento, conservación y señalización de la vía.</w:t>
      </w:r>
      <w:r w:rsidR="005F4CBB">
        <w:rPr>
          <w:rFonts w:ascii="Arial" w:hAnsi="Arial" w:cs="Arial"/>
          <w:lang w:val="es-CO"/>
        </w:rPr>
        <w:t xml:space="preserve"> </w:t>
      </w:r>
      <w:r w:rsidRPr="00277BF8">
        <w:rPr>
          <w:rFonts w:ascii="Arial" w:hAnsi="Arial" w:cs="Arial"/>
          <w:lang w:val="es-CO"/>
        </w:rPr>
        <w:t xml:space="preserve">En el expediente obra el Informe Policial de Accidente de Tránsito No. 000019005, suscrito por el patrullero </w:t>
      </w:r>
      <w:r w:rsidR="005F4CBB" w:rsidRPr="00277BF8">
        <w:rPr>
          <w:rFonts w:ascii="Arial" w:hAnsi="Arial" w:cs="Arial"/>
          <w:lang w:val="es-CO"/>
        </w:rPr>
        <w:t>WILLIAM GALLARDO NIÑO</w:t>
      </w:r>
      <w:r w:rsidRPr="00277BF8">
        <w:rPr>
          <w:rFonts w:ascii="Arial" w:hAnsi="Arial" w:cs="Arial"/>
          <w:lang w:val="es-CO"/>
        </w:rPr>
        <w:t xml:space="preserve">, en el que se consignó que supuestamente existían huecos en el carril por el que </w:t>
      </w:r>
      <w:r w:rsidRPr="00277BF8">
        <w:rPr>
          <w:rFonts w:ascii="Arial" w:hAnsi="Arial" w:cs="Arial"/>
          <w:lang w:val="es-CO"/>
        </w:rPr>
        <w:lastRenderedPageBreak/>
        <w:t xml:space="preserve">transitaba el señor </w:t>
      </w:r>
      <w:r w:rsidR="005F4CBB" w:rsidRPr="00277BF8">
        <w:rPr>
          <w:rFonts w:ascii="Arial" w:hAnsi="Arial" w:cs="Arial"/>
          <w:lang w:val="es-CO"/>
        </w:rPr>
        <w:t xml:space="preserve">DANIEL ARAQUE RUIZ. </w:t>
      </w:r>
      <w:r w:rsidRPr="00277BF8">
        <w:rPr>
          <w:rFonts w:ascii="Arial" w:hAnsi="Arial" w:cs="Arial"/>
          <w:lang w:val="es-CO"/>
        </w:rPr>
        <w:t>Sin embargo, este elemento probatorio no puede ser interpretado como una prueba directa, concluyente ni determinante de una falla atribuible a la entidad demandada. Por el contrario, su análisis detallado permite constatar su escaso valor probatorio, por las siguientes razones:</w:t>
      </w:r>
    </w:p>
    <w:p w14:paraId="6DBF2D99" w14:textId="77777777" w:rsidR="005F4CBB" w:rsidRPr="00277BF8" w:rsidRDefault="005F4CBB" w:rsidP="00277BF8">
      <w:pPr>
        <w:spacing w:line="360" w:lineRule="auto"/>
        <w:jc w:val="both"/>
        <w:rPr>
          <w:rFonts w:ascii="Arial" w:hAnsi="Arial" w:cs="Arial"/>
          <w:lang w:val="es-CO"/>
        </w:rPr>
      </w:pPr>
    </w:p>
    <w:p w14:paraId="09A0AD81" w14:textId="4573BCC5" w:rsidR="00277BF8" w:rsidRDefault="00277BF8">
      <w:pPr>
        <w:numPr>
          <w:ilvl w:val="0"/>
          <w:numId w:val="7"/>
        </w:numPr>
        <w:spacing w:line="360" w:lineRule="auto"/>
        <w:jc w:val="both"/>
        <w:rPr>
          <w:rFonts w:ascii="Arial" w:hAnsi="Arial" w:cs="Arial"/>
          <w:b/>
          <w:bCs/>
          <w:u w:val="single"/>
          <w:lang w:val="es-CO"/>
        </w:rPr>
      </w:pPr>
      <w:r w:rsidRPr="00277BF8">
        <w:rPr>
          <w:rFonts w:ascii="Arial" w:hAnsi="Arial" w:cs="Arial"/>
          <w:b/>
          <w:bCs/>
          <w:lang w:val="es-CO"/>
        </w:rPr>
        <w:t>El agente de tránsito no presenció el accidente</w:t>
      </w:r>
      <w:r w:rsidRPr="00277BF8">
        <w:rPr>
          <w:rFonts w:ascii="Arial" w:hAnsi="Arial" w:cs="Arial"/>
          <w:lang w:val="es-CO"/>
        </w:rPr>
        <w:t xml:space="preserve">. Así lo reconoció expresamente el patrullero </w:t>
      </w:r>
      <w:r w:rsidR="005F4CBB" w:rsidRPr="00277BF8">
        <w:rPr>
          <w:rFonts w:ascii="Arial" w:hAnsi="Arial" w:cs="Arial"/>
          <w:lang w:val="es-CO"/>
        </w:rPr>
        <w:t xml:space="preserve">GALLARDO NIÑO </w:t>
      </w:r>
      <w:r w:rsidRPr="00277BF8">
        <w:rPr>
          <w:rFonts w:ascii="Arial" w:hAnsi="Arial" w:cs="Arial"/>
          <w:lang w:val="es-CO"/>
        </w:rPr>
        <w:t xml:space="preserve">en su declaración rendida en audiencia de pruebas el 12 de junio de 2025, en la que indicó que llegó al lugar </w:t>
      </w:r>
      <w:r w:rsidR="005F4CBB">
        <w:rPr>
          <w:rFonts w:ascii="Arial" w:hAnsi="Arial" w:cs="Arial"/>
          <w:lang w:val="es-CO"/>
        </w:rPr>
        <w:t>con posterioridad a la ocurrencia de</w:t>
      </w:r>
      <w:r w:rsidRPr="00277BF8">
        <w:rPr>
          <w:rFonts w:ascii="Arial" w:hAnsi="Arial" w:cs="Arial"/>
          <w:lang w:val="es-CO"/>
        </w:rPr>
        <w:t xml:space="preserve"> los hechos, lo que excluye la posibilidad de que sus observaciones hayan tenido un carácter técnico o forense. En sus propias palabras, manifestó </w:t>
      </w:r>
      <w:r w:rsidRPr="00277BF8">
        <w:rPr>
          <w:rFonts w:ascii="Arial" w:hAnsi="Arial" w:cs="Arial"/>
          <w:b/>
          <w:bCs/>
          <w:u w:val="single"/>
          <w:lang w:val="es-CO"/>
        </w:rPr>
        <w:t>“no recordar bien el caso”, que no podía precisar el tiempo que tardó en llegar al lugar y que no recordaba las supuestas irregularidades de la vía</w:t>
      </w:r>
      <w:r w:rsidRPr="00277BF8">
        <w:rPr>
          <w:rFonts w:ascii="Arial" w:hAnsi="Arial" w:cs="Arial"/>
          <w:lang w:val="es-CO"/>
        </w:rPr>
        <w:t xml:space="preserve">. </w:t>
      </w:r>
      <w:r w:rsidRPr="00277BF8">
        <w:rPr>
          <w:rFonts w:ascii="Arial" w:hAnsi="Arial" w:cs="Arial"/>
          <w:b/>
          <w:bCs/>
          <w:u w:val="single"/>
          <w:lang w:val="es-CO"/>
        </w:rPr>
        <w:t>Además, en el croquis anexo al informe no se representó gráficamente ningún hueco u obstáculo en la calzada, lo que revela la ausencia de constatación objetiva de dicha anomalía.</w:t>
      </w:r>
      <w:r w:rsidR="003E7169">
        <w:rPr>
          <w:rFonts w:ascii="Arial" w:hAnsi="Arial" w:cs="Arial"/>
          <w:b/>
          <w:bCs/>
          <w:u w:val="single"/>
          <w:lang w:val="es-CO"/>
        </w:rPr>
        <w:t xml:space="preserve"> Como se observa:</w:t>
      </w:r>
    </w:p>
    <w:p w14:paraId="3DBAB815" w14:textId="7840402C" w:rsidR="003E7169" w:rsidRPr="00277BF8" w:rsidRDefault="003E7169" w:rsidP="003E7169">
      <w:pPr>
        <w:spacing w:line="360" w:lineRule="auto"/>
        <w:ind w:left="720"/>
        <w:jc w:val="center"/>
        <w:rPr>
          <w:rFonts w:ascii="Arial" w:hAnsi="Arial" w:cs="Arial"/>
          <w:lang w:val="es-CO"/>
        </w:rPr>
      </w:pPr>
      <w:r w:rsidRPr="003E7169">
        <w:rPr>
          <w:rFonts w:ascii="Arial" w:hAnsi="Arial" w:cs="Arial"/>
          <w:noProof/>
          <w:lang w:val="es-CO"/>
        </w:rPr>
        <w:drawing>
          <wp:inline distT="0" distB="0" distL="0" distR="0" wp14:anchorId="47016A72" wp14:editId="3679C325">
            <wp:extent cx="3581400" cy="1844618"/>
            <wp:effectExtent l="152400" t="152400" r="361950" b="365760"/>
            <wp:docPr id="18316340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34099" name=""/>
                    <pic:cNvPicPr/>
                  </pic:nvPicPr>
                  <pic:blipFill rotWithShape="1">
                    <a:blip r:embed="rId8"/>
                    <a:srcRect l="2076"/>
                    <a:stretch>
                      <a:fillRect/>
                    </a:stretch>
                  </pic:blipFill>
                  <pic:spPr bwMode="auto">
                    <a:xfrm>
                      <a:off x="0" y="0"/>
                      <a:ext cx="3592074" cy="185011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42CD8A5" w14:textId="49611390" w:rsidR="00277BF8" w:rsidRPr="00277BF8" w:rsidRDefault="00277BF8">
      <w:pPr>
        <w:numPr>
          <w:ilvl w:val="0"/>
          <w:numId w:val="7"/>
        </w:numPr>
        <w:spacing w:line="360" w:lineRule="auto"/>
        <w:jc w:val="both"/>
        <w:rPr>
          <w:rFonts w:ascii="Arial" w:hAnsi="Arial" w:cs="Arial"/>
          <w:lang w:val="es-CO"/>
        </w:rPr>
      </w:pPr>
      <w:r w:rsidRPr="00277BF8">
        <w:rPr>
          <w:rFonts w:ascii="Arial" w:hAnsi="Arial" w:cs="Arial"/>
          <w:b/>
          <w:bCs/>
          <w:lang w:val="es-CO"/>
        </w:rPr>
        <w:t>Lo consignado en el IPAT se limita a una hipótesis</w:t>
      </w:r>
      <w:r w:rsidRPr="00277BF8">
        <w:rPr>
          <w:rFonts w:ascii="Arial" w:hAnsi="Arial" w:cs="Arial"/>
          <w:lang w:val="es-CO"/>
        </w:rPr>
        <w:t>. Como ha sostenido la jurisprudencia, las hipótesis registradas en los informes de tránsito</w:t>
      </w:r>
      <w:r w:rsidR="005F4CBB">
        <w:rPr>
          <w:rFonts w:ascii="Arial" w:hAnsi="Arial" w:cs="Arial"/>
          <w:lang w:val="es-CO"/>
        </w:rPr>
        <w:t xml:space="preserve">, </w:t>
      </w:r>
      <w:r w:rsidRPr="00277BF8">
        <w:rPr>
          <w:rFonts w:ascii="Arial" w:hAnsi="Arial" w:cs="Arial"/>
          <w:lang w:val="es-CO"/>
        </w:rPr>
        <w:t>en especial cuando no son acompañadas de elementos técnicos, fotográficos o testimoniales directos</w:t>
      </w:r>
      <w:r w:rsidR="005F4CBB">
        <w:rPr>
          <w:rFonts w:ascii="Arial" w:hAnsi="Arial" w:cs="Arial"/>
          <w:lang w:val="es-CO"/>
        </w:rPr>
        <w:t>,</w:t>
      </w:r>
      <w:r w:rsidRPr="00277BF8">
        <w:rPr>
          <w:rFonts w:ascii="Arial" w:hAnsi="Arial" w:cs="Arial"/>
          <w:lang w:val="es-CO"/>
        </w:rPr>
        <w:t xml:space="preserve"> </w:t>
      </w:r>
      <w:r w:rsidRPr="00277BF8">
        <w:rPr>
          <w:rFonts w:ascii="Arial" w:hAnsi="Arial" w:cs="Arial"/>
          <w:b/>
          <w:bCs/>
          <w:lang w:val="es-CO"/>
        </w:rPr>
        <w:t>no tienen valor probatorio pleno</w:t>
      </w:r>
      <w:r w:rsidRPr="00277BF8">
        <w:rPr>
          <w:rFonts w:ascii="Arial" w:hAnsi="Arial" w:cs="Arial"/>
          <w:lang w:val="es-CO"/>
        </w:rPr>
        <w:t>, sino que deben ser valoradas como indicios o conjeturas. Así lo precisó la Sección Tercera del Consejo de Estado en la Sentencia del 14 de julio de 2016 (Rad. 76001-23-31-000-2008-00179-01(41631)), al sostener que el contenido del IPAT no puede ser entendido como prueba suficiente de una falla del servicio si no va acompañado de otros medios de convicción que acrediten de forma inequívoca el defecto en la vía y su nexo con el daño alegado.</w:t>
      </w:r>
    </w:p>
    <w:p w14:paraId="0A6FBA05" w14:textId="613ACCE5" w:rsidR="00277BF8" w:rsidRPr="005F4CBB" w:rsidRDefault="00277BF8">
      <w:pPr>
        <w:numPr>
          <w:ilvl w:val="0"/>
          <w:numId w:val="7"/>
        </w:numPr>
        <w:spacing w:line="360" w:lineRule="auto"/>
        <w:jc w:val="both"/>
        <w:rPr>
          <w:rFonts w:ascii="Arial" w:hAnsi="Arial" w:cs="Arial"/>
          <w:lang w:val="es-CO"/>
        </w:rPr>
      </w:pPr>
      <w:r w:rsidRPr="00277BF8">
        <w:rPr>
          <w:rFonts w:ascii="Arial" w:hAnsi="Arial" w:cs="Arial"/>
          <w:b/>
          <w:bCs/>
          <w:lang w:val="es-CO"/>
        </w:rPr>
        <w:t>El propio Consejo de Estado ha sido enfático en este punto</w:t>
      </w:r>
      <w:r w:rsidRPr="00277BF8">
        <w:rPr>
          <w:rFonts w:ascii="Arial" w:hAnsi="Arial" w:cs="Arial"/>
          <w:lang w:val="es-CO"/>
        </w:rPr>
        <w:t xml:space="preserve">, al indicar que los informes policiales de tránsito, por su naturaleza, no constituyen prueba directa sobre la causa del accidente, sino que se limitan a registrar observaciones del agente interviniente. En la sentencia del expediente </w:t>
      </w:r>
      <w:r w:rsidRPr="00277BF8">
        <w:rPr>
          <w:rFonts w:ascii="Arial" w:hAnsi="Arial" w:cs="Arial"/>
          <w:b/>
          <w:bCs/>
          <w:lang w:val="es-CO"/>
        </w:rPr>
        <w:t>No. 45661 de 2018</w:t>
      </w:r>
      <w:r w:rsidRPr="00277BF8">
        <w:rPr>
          <w:rFonts w:ascii="Arial" w:hAnsi="Arial" w:cs="Arial"/>
          <w:lang w:val="es-CO"/>
        </w:rPr>
        <w:t>, se afirmó expresamente que:</w:t>
      </w:r>
      <w:r w:rsidR="00600F1F">
        <w:rPr>
          <w:rFonts w:ascii="Arial" w:hAnsi="Arial" w:cs="Arial"/>
          <w:lang w:val="es-CO"/>
        </w:rPr>
        <w:t xml:space="preserve"> </w:t>
      </w:r>
      <w:r w:rsidRPr="00277BF8">
        <w:rPr>
          <w:rFonts w:ascii="Arial" w:hAnsi="Arial" w:cs="Arial"/>
          <w:i/>
          <w:iCs/>
          <w:lang w:val="es-CO"/>
        </w:rPr>
        <w:t>“Lo registrado por los agentes de tránsito en los IPAT no puede entenderse como prueba plena sobre las causas del accidente. Se trata de hipótesis preliminares que deben ser confirmadas mediante otros medios probatorios de carácter técnico o testimonial idóneo.”</w:t>
      </w:r>
    </w:p>
    <w:p w14:paraId="1097C686" w14:textId="77777777" w:rsidR="005F4CBB" w:rsidRPr="00277BF8" w:rsidRDefault="005F4CBB" w:rsidP="005F4CBB">
      <w:pPr>
        <w:spacing w:line="360" w:lineRule="auto"/>
        <w:ind w:left="720"/>
        <w:jc w:val="both"/>
        <w:rPr>
          <w:rFonts w:ascii="Arial" w:hAnsi="Arial" w:cs="Arial"/>
          <w:lang w:val="es-CO"/>
        </w:rPr>
      </w:pPr>
    </w:p>
    <w:p w14:paraId="470F2FD9" w14:textId="17F49D1B" w:rsidR="00277BF8" w:rsidRDefault="00277BF8" w:rsidP="00277BF8">
      <w:pPr>
        <w:spacing w:line="360" w:lineRule="auto"/>
        <w:jc w:val="both"/>
        <w:rPr>
          <w:rFonts w:ascii="Arial" w:hAnsi="Arial" w:cs="Arial"/>
          <w:lang w:val="es-CO"/>
        </w:rPr>
      </w:pPr>
      <w:r w:rsidRPr="00277BF8">
        <w:rPr>
          <w:rFonts w:ascii="Arial" w:hAnsi="Arial" w:cs="Arial"/>
          <w:lang w:val="es-CO"/>
        </w:rPr>
        <w:t xml:space="preserve">Más allá del carácter meramente conjetural del IPAT, el expediente contiene prueba documental </w:t>
      </w:r>
      <w:r w:rsidRPr="00277BF8">
        <w:rPr>
          <w:rFonts w:ascii="Arial" w:hAnsi="Arial" w:cs="Arial"/>
          <w:b/>
          <w:bCs/>
          <w:lang w:val="es-CO"/>
        </w:rPr>
        <w:t>técnica, directa y objetiva</w:t>
      </w:r>
      <w:r w:rsidRPr="00277BF8">
        <w:rPr>
          <w:rFonts w:ascii="Arial" w:hAnsi="Arial" w:cs="Arial"/>
          <w:lang w:val="es-CO"/>
        </w:rPr>
        <w:t xml:space="preserve"> que permite desvirtuar por completo la existencia de fallas en el estado de la vía. Nos referimos </w:t>
      </w:r>
      <w:r w:rsidR="005F4CBB">
        <w:rPr>
          <w:rFonts w:ascii="Arial" w:hAnsi="Arial" w:cs="Arial"/>
          <w:lang w:val="es-CO"/>
        </w:rPr>
        <w:t xml:space="preserve">expediente </w:t>
      </w:r>
      <w:bookmarkStart w:id="4" w:name="_Hlk201778278"/>
      <w:r w:rsidR="005F4CBB">
        <w:rPr>
          <w:rFonts w:ascii="Arial" w:hAnsi="Arial" w:cs="Arial"/>
          <w:lang w:val="es-CO"/>
        </w:rPr>
        <w:t xml:space="preserve">de </w:t>
      </w:r>
      <w:r w:rsidRPr="00277BF8">
        <w:rPr>
          <w:rFonts w:ascii="Arial" w:hAnsi="Arial" w:cs="Arial"/>
          <w:lang w:val="es-CO"/>
        </w:rPr>
        <w:t xml:space="preserve">la Policía de Carreteras en el marco de la investigación penal tramitada bajo el número </w:t>
      </w:r>
      <w:r w:rsidRPr="00277BF8">
        <w:rPr>
          <w:rFonts w:ascii="Arial" w:hAnsi="Arial" w:cs="Arial"/>
          <w:b/>
          <w:bCs/>
          <w:lang w:val="es-CO"/>
        </w:rPr>
        <w:t>761116000165201601401</w:t>
      </w:r>
      <w:bookmarkEnd w:id="4"/>
      <w:r w:rsidRPr="00277BF8">
        <w:rPr>
          <w:rFonts w:ascii="Arial" w:hAnsi="Arial" w:cs="Arial"/>
          <w:lang w:val="es-CO"/>
        </w:rPr>
        <w:t xml:space="preserve">, </w:t>
      </w:r>
      <w:r w:rsidR="005F4CBB">
        <w:rPr>
          <w:rFonts w:ascii="Arial" w:hAnsi="Arial" w:cs="Arial"/>
          <w:lang w:val="es-CO"/>
        </w:rPr>
        <w:t xml:space="preserve">en el que obra el </w:t>
      </w:r>
      <w:r w:rsidRPr="00277BF8">
        <w:rPr>
          <w:rFonts w:ascii="Arial" w:hAnsi="Arial" w:cs="Arial"/>
          <w:lang w:val="es-CO"/>
        </w:rPr>
        <w:t>documento que fue remitido y debidamente incorporado al expediente judicial.</w:t>
      </w:r>
      <w:r w:rsidR="005F4CBB">
        <w:rPr>
          <w:rFonts w:ascii="Arial" w:hAnsi="Arial" w:cs="Arial"/>
          <w:lang w:val="es-CO"/>
        </w:rPr>
        <w:t xml:space="preserve"> </w:t>
      </w:r>
      <w:r w:rsidRPr="00277BF8">
        <w:rPr>
          <w:rFonts w:ascii="Arial" w:hAnsi="Arial" w:cs="Arial"/>
          <w:lang w:val="es-CO"/>
        </w:rPr>
        <w:t xml:space="preserve">En particular, </w:t>
      </w:r>
      <w:bookmarkStart w:id="5" w:name="_Hlk201778310"/>
      <w:r w:rsidRPr="00277BF8">
        <w:rPr>
          <w:rFonts w:ascii="Arial" w:hAnsi="Arial" w:cs="Arial"/>
          <w:lang w:val="es-CO"/>
        </w:rPr>
        <w:t>en</w:t>
      </w:r>
      <w:r w:rsidR="005F4CBB">
        <w:rPr>
          <w:rFonts w:ascii="Arial" w:hAnsi="Arial" w:cs="Arial"/>
          <w:lang w:val="es-CO"/>
        </w:rPr>
        <w:t xml:space="preserve"> el documento </w:t>
      </w:r>
      <w:r w:rsidR="005F4CBB" w:rsidRPr="00277BF8">
        <w:rPr>
          <w:rFonts w:ascii="Arial" w:hAnsi="Arial" w:cs="Arial"/>
          <w:b/>
          <w:bCs/>
          <w:lang w:val="es-CO"/>
        </w:rPr>
        <w:t>“Fijación fotográfica en inspección judicial”</w:t>
      </w:r>
      <w:bookmarkEnd w:id="5"/>
      <w:r w:rsidR="005F4CBB" w:rsidRPr="00277BF8">
        <w:rPr>
          <w:rFonts w:ascii="Arial" w:hAnsi="Arial" w:cs="Arial"/>
          <w:lang w:val="es-CO"/>
        </w:rPr>
        <w:t>,</w:t>
      </w:r>
      <w:r w:rsidRPr="00277BF8">
        <w:rPr>
          <w:rFonts w:ascii="Arial" w:hAnsi="Arial" w:cs="Arial"/>
          <w:lang w:val="es-CO"/>
        </w:rPr>
        <w:t xml:space="preserve"> </w:t>
      </w:r>
      <w:r w:rsidRPr="00277BF8">
        <w:rPr>
          <w:rFonts w:ascii="Arial" w:hAnsi="Arial" w:cs="Arial"/>
          <w:b/>
          <w:bCs/>
          <w:lang w:val="es-CO"/>
        </w:rPr>
        <w:t>folios 187 y siguientes</w:t>
      </w:r>
      <w:r w:rsidRPr="00277BF8">
        <w:rPr>
          <w:rFonts w:ascii="Arial" w:hAnsi="Arial" w:cs="Arial"/>
          <w:lang w:val="es-CO"/>
        </w:rPr>
        <w:t>, se encuentran las fotografías 01, 02, 03 y 04 del lugar de los hechos, acompañadas de una descripción técnica del tramo de la vía donde ocurrió el accidente. En lo que respecta a las fotografías 03 y 04, el informe señala expresamente:</w:t>
      </w:r>
    </w:p>
    <w:p w14:paraId="32B1BD7A" w14:textId="77777777" w:rsidR="00D42AAC" w:rsidRPr="00277BF8" w:rsidRDefault="00D42AAC" w:rsidP="00277BF8">
      <w:pPr>
        <w:spacing w:line="360" w:lineRule="auto"/>
        <w:jc w:val="both"/>
        <w:rPr>
          <w:rFonts w:ascii="Arial" w:hAnsi="Arial" w:cs="Arial"/>
          <w:lang w:val="es-CO"/>
        </w:rPr>
      </w:pPr>
    </w:p>
    <w:p w14:paraId="2CAB6682" w14:textId="77777777" w:rsidR="00277BF8" w:rsidRDefault="00277BF8" w:rsidP="005F4CBB">
      <w:pPr>
        <w:spacing w:line="276" w:lineRule="auto"/>
        <w:ind w:left="708"/>
        <w:jc w:val="both"/>
        <w:rPr>
          <w:rFonts w:ascii="Arial" w:hAnsi="Arial" w:cs="Arial"/>
          <w:i/>
          <w:iCs/>
          <w:sz w:val="20"/>
          <w:szCs w:val="20"/>
          <w:lang w:val="es-CO"/>
        </w:rPr>
      </w:pPr>
      <w:r w:rsidRPr="00277BF8">
        <w:rPr>
          <w:rFonts w:ascii="Arial" w:hAnsi="Arial" w:cs="Arial"/>
          <w:i/>
          <w:iCs/>
          <w:sz w:val="20"/>
          <w:szCs w:val="20"/>
          <w:lang w:val="es-CO"/>
        </w:rPr>
        <w:t xml:space="preserve">“En estas imágenes se observa el lugar de los hechos materia de investigación, ubicado en el kilómetro 90+650 de la vía Buenaventura – Buga, en sentido sur – norte, el cual se trata de un tramo de vía, doble calzada, un sentido de circulación, construida en material asfalto flexible </w:t>
      </w:r>
      <w:r w:rsidRPr="00277BF8">
        <w:rPr>
          <w:rFonts w:ascii="Arial" w:hAnsi="Arial" w:cs="Arial"/>
          <w:b/>
          <w:bCs/>
          <w:i/>
          <w:iCs/>
          <w:sz w:val="20"/>
          <w:szCs w:val="20"/>
          <w:u w:val="single"/>
          <w:lang w:val="es-CO"/>
        </w:rPr>
        <w:t>en buen estado</w:t>
      </w:r>
      <w:r w:rsidRPr="00277BF8">
        <w:rPr>
          <w:rFonts w:ascii="Arial" w:hAnsi="Arial" w:cs="Arial"/>
          <w:i/>
          <w:iCs/>
          <w:sz w:val="20"/>
          <w:szCs w:val="20"/>
          <w:lang w:val="es-CO"/>
        </w:rPr>
        <w:t>, sin iluminación artificial, curva, con señales de tránsito, demarcación vial: línea separadora de carril continua color blanco, línea separadora de berma color blanco lado derecho y amarilla al lado izquierdo.”</w:t>
      </w:r>
    </w:p>
    <w:p w14:paraId="30942E1C" w14:textId="77777777" w:rsidR="005F4CBB" w:rsidRPr="00277BF8" w:rsidRDefault="005F4CBB" w:rsidP="005F4CBB">
      <w:pPr>
        <w:spacing w:line="276" w:lineRule="auto"/>
        <w:jc w:val="both"/>
        <w:rPr>
          <w:rFonts w:ascii="Arial" w:hAnsi="Arial" w:cs="Arial"/>
          <w:sz w:val="20"/>
          <w:szCs w:val="20"/>
          <w:lang w:val="es-CO"/>
        </w:rPr>
      </w:pPr>
    </w:p>
    <w:p w14:paraId="2CA2ED7B" w14:textId="5AF055A5" w:rsidR="00600F1F" w:rsidRDefault="005F4CBB" w:rsidP="00277BF8">
      <w:pPr>
        <w:spacing w:line="360" w:lineRule="auto"/>
        <w:jc w:val="both"/>
        <w:rPr>
          <w:rFonts w:ascii="Arial" w:hAnsi="Arial" w:cs="Arial"/>
          <w:lang w:val="es-CO"/>
        </w:rPr>
      </w:pPr>
      <w:r>
        <w:rPr>
          <w:rFonts w:ascii="Arial" w:hAnsi="Arial" w:cs="Arial"/>
          <w:lang w:val="es-CO"/>
        </w:rPr>
        <w:t xml:space="preserve">Como se observa: </w:t>
      </w:r>
    </w:p>
    <w:p w14:paraId="40279977" w14:textId="59951185" w:rsidR="00600F1F" w:rsidRDefault="00600F1F" w:rsidP="00600F1F">
      <w:pPr>
        <w:spacing w:line="360" w:lineRule="auto"/>
        <w:jc w:val="center"/>
        <w:rPr>
          <w:rFonts w:ascii="Arial" w:hAnsi="Arial" w:cs="Arial"/>
          <w:lang w:val="es-CO"/>
        </w:rPr>
      </w:pPr>
      <w:r>
        <w:rPr>
          <w:rFonts w:ascii="Arial" w:hAnsi="Arial" w:cs="Arial"/>
          <w:noProof/>
          <w:lang w:val="es-CO"/>
        </w:rPr>
        <mc:AlternateContent>
          <mc:Choice Requires="wps">
            <w:drawing>
              <wp:anchor distT="0" distB="0" distL="114300" distR="114300" simplePos="0" relativeHeight="251664384" behindDoc="0" locked="0" layoutInCell="1" allowOverlap="1" wp14:anchorId="57E207CF" wp14:editId="03A58417">
                <wp:simplePos x="0" y="0"/>
                <wp:positionH relativeFrom="column">
                  <wp:posOffset>743585</wp:posOffset>
                </wp:positionH>
                <wp:positionV relativeFrom="paragraph">
                  <wp:posOffset>4249738</wp:posOffset>
                </wp:positionV>
                <wp:extent cx="1057275" cy="138112"/>
                <wp:effectExtent l="0" t="0" r="28575" b="14605"/>
                <wp:wrapNone/>
                <wp:docPr id="931982945" name="Rectángulo 6"/>
                <wp:cNvGraphicFramePr/>
                <a:graphic xmlns:a="http://schemas.openxmlformats.org/drawingml/2006/main">
                  <a:graphicData uri="http://schemas.microsoft.com/office/word/2010/wordprocessingShape">
                    <wps:wsp>
                      <wps:cNvSpPr/>
                      <wps:spPr>
                        <a:xfrm>
                          <a:off x="0" y="0"/>
                          <a:ext cx="1057275" cy="138112"/>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BE403" id="Rectángulo 6" o:spid="_x0000_s1026" style="position:absolute;margin-left:58.55pt;margin-top:334.65pt;width:83.25pt;height:1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" filled="f" strokecolor="#e00" strokeweight="1pt"/>
            </w:pict>
          </mc:Fallback>
        </mc:AlternateContent>
      </w:r>
      <w:r>
        <w:rPr>
          <w:rFonts w:ascii="Arial" w:hAnsi="Arial" w:cs="Arial"/>
          <w:noProof/>
          <w:lang w:val="es-CO"/>
        </w:rPr>
        <mc:AlternateContent>
          <mc:Choice Requires="wps">
            <w:drawing>
              <wp:anchor distT="0" distB="0" distL="114300" distR="114300" simplePos="0" relativeHeight="251662336" behindDoc="0" locked="0" layoutInCell="1" allowOverlap="1" wp14:anchorId="29015A6C" wp14:editId="0ABBE828">
                <wp:simplePos x="0" y="0"/>
                <wp:positionH relativeFrom="column">
                  <wp:posOffset>3838892</wp:posOffset>
                </wp:positionH>
                <wp:positionV relativeFrom="paragraph">
                  <wp:posOffset>4125913</wp:posOffset>
                </wp:positionV>
                <wp:extent cx="1290637" cy="142875"/>
                <wp:effectExtent l="0" t="0" r="24130" b="28575"/>
                <wp:wrapNone/>
                <wp:docPr id="468742293" name="Rectángulo 6"/>
                <wp:cNvGraphicFramePr/>
                <a:graphic xmlns:a="http://schemas.openxmlformats.org/drawingml/2006/main">
                  <a:graphicData uri="http://schemas.microsoft.com/office/word/2010/wordprocessingShape">
                    <wps:wsp>
                      <wps:cNvSpPr/>
                      <wps:spPr>
                        <a:xfrm>
                          <a:off x="0" y="0"/>
                          <a:ext cx="1290637" cy="14287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94FF7" id="Rectángulo 6" o:spid="_x0000_s1026" style="position:absolute;margin-left:302.25pt;margin-top:324.9pt;width:101.6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" filled="f" strokecolor="#e00" strokeweight="1pt"/>
            </w:pict>
          </mc:Fallback>
        </mc:AlternateContent>
      </w:r>
      <w:r w:rsidRPr="00600F1F">
        <w:rPr>
          <w:rFonts w:ascii="Arial" w:hAnsi="Arial" w:cs="Arial"/>
          <w:noProof/>
          <w:lang w:val="es-CO"/>
        </w:rPr>
        <w:drawing>
          <wp:inline distT="0" distB="0" distL="0" distR="0" wp14:anchorId="4B280D4F" wp14:editId="39518AE9">
            <wp:extent cx="4571500" cy="4472305"/>
            <wp:effectExtent l="152400" t="152400" r="362585" b="366395"/>
            <wp:docPr id="5869899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89914" name=""/>
                    <pic:cNvPicPr/>
                  </pic:nvPicPr>
                  <pic:blipFill>
                    <a:blip r:embed="rId9"/>
                    <a:stretch>
                      <a:fillRect/>
                    </a:stretch>
                  </pic:blipFill>
                  <pic:spPr>
                    <a:xfrm>
                      <a:off x="0" y="0"/>
                      <a:ext cx="4577556" cy="4478230"/>
                    </a:xfrm>
                    <a:prstGeom prst="rect">
                      <a:avLst/>
                    </a:prstGeom>
                    <a:ln>
                      <a:noFill/>
                    </a:ln>
                    <a:effectLst>
                      <a:outerShdw blurRad="292100" dist="139700" dir="2700000" algn="tl" rotWithShape="0">
                        <a:srgbClr val="333333">
                          <a:alpha val="65000"/>
                        </a:srgbClr>
                      </a:outerShdw>
                    </a:effectLst>
                  </pic:spPr>
                </pic:pic>
              </a:graphicData>
            </a:graphic>
          </wp:inline>
        </w:drawing>
      </w:r>
    </w:p>
    <w:p w14:paraId="4688586D" w14:textId="3FB9B1E7" w:rsidR="00277BF8" w:rsidRDefault="00277BF8" w:rsidP="00277BF8">
      <w:pPr>
        <w:spacing w:line="360" w:lineRule="auto"/>
        <w:jc w:val="both"/>
        <w:rPr>
          <w:rFonts w:ascii="Arial" w:hAnsi="Arial" w:cs="Arial"/>
          <w:lang w:val="es-CO"/>
        </w:rPr>
      </w:pPr>
      <w:r w:rsidRPr="00277BF8">
        <w:rPr>
          <w:rFonts w:ascii="Arial" w:hAnsi="Arial" w:cs="Arial"/>
          <w:lang w:val="es-CO"/>
        </w:rPr>
        <w:t xml:space="preserve">Esta descripción, elaborada por una autoridad técnica e imparcial, contradice de forma directa y categórica cualquier afirmación sobre la supuesta existencia de huecos o irregularidades peligrosas en la vía. Por el contrario, </w:t>
      </w:r>
      <w:r w:rsidRPr="00277BF8">
        <w:rPr>
          <w:rFonts w:ascii="Arial" w:hAnsi="Arial" w:cs="Arial"/>
          <w:b/>
          <w:bCs/>
          <w:lang w:val="es-CO"/>
        </w:rPr>
        <w:t xml:space="preserve">acredita que el tramo en cuestión estaba en condiciones óptimas de </w:t>
      </w:r>
      <w:proofErr w:type="spellStart"/>
      <w:r w:rsidRPr="00277BF8">
        <w:rPr>
          <w:rFonts w:ascii="Arial" w:hAnsi="Arial" w:cs="Arial"/>
          <w:b/>
          <w:bCs/>
          <w:lang w:val="es-CO"/>
        </w:rPr>
        <w:lastRenderedPageBreak/>
        <w:t>transitabilidad</w:t>
      </w:r>
      <w:proofErr w:type="spellEnd"/>
      <w:r w:rsidRPr="00277BF8">
        <w:rPr>
          <w:rFonts w:ascii="Arial" w:hAnsi="Arial" w:cs="Arial"/>
          <w:lang w:val="es-CO"/>
        </w:rPr>
        <w:t xml:space="preserve"> al momento de los hechos, contaba con demarcación vial visible y no presentaba anomalías estructurales que pudieran constituir una amenaza para los usuarios.</w:t>
      </w:r>
    </w:p>
    <w:p w14:paraId="6388D42D" w14:textId="77777777" w:rsidR="00600F1F" w:rsidRPr="00277BF8" w:rsidRDefault="00600F1F" w:rsidP="00277BF8">
      <w:pPr>
        <w:spacing w:line="360" w:lineRule="auto"/>
        <w:jc w:val="both"/>
        <w:rPr>
          <w:rFonts w:ascii="Arial" w:hAnsi="Arial" w:cs="Arial"/>
          <w:lang w:val="es-CO"/>
        </w:rPr>
      </w:pPr>
    </w:p>
    <w:p w14:paraId="7BAE25BE" w14:textId="4103044E" w:rsidR="00277BF8" w:rsidRDefault="00600F1F" w:rsidP="00277BF8">
      <w:pPr>
        <w:spacing w:line="360" w:lineRule="auto"/>
        <w:jc w:val="both"/>
        <w:rPr>
          <w:rFonts w:ascii="Arial" w:hAnsi="Arial" w:cs="Arial"/>
          <w:lang w:val="es-CO"/>
        </w:rPr>
      </w:pPr>
      <w:r w:rsidRPr="00600F1F">
        <w:rPr>
          <w:rFonts w:ascii="Arial" w:hAnsi="Arial" w:cs="Arial"/>
          <w:lang w:val="es-CO"/>
        </w:rPr>
        <w:t>En este punto es dable reiterar que, l</w:t>
      </w:r>
      <w:r w:rsidR="00277BF8" w:rsidRPr="00277BF8">
        <w:rPr>
          <w:rFonts w:ascii="Arial" w:hAnsi="Arial" w:cs="Arial"/>
          <w:lang w:val="es-CO"/>
        </w:rPr>
        <w:t>a responsabilidad patrimonial del Estado en materia de infraestructura vial no se presume. Así lo ha reiterado de forma constante el Consejo de Estado, al indicar que la simple ocurrencia de un accidente no permite deducir automáticamente la existencia de una falla del servicio. Incluso cuando existan defectos en la vía</w:t>
      </w:r>
      <w:r>
        <w:rPr>
          <w:rFonts w:ascii="Arial" w:hAnsi="Arial" w:cs="Arial"/>
          <w:lang w:val="es-CO"/>
        </w:rPr>
        <w:t xml:space="preserve">, </w:t>
      </w:r>
      <w:r w:rsidR="00277BF8" w:rsidRPr="00277BF8">
        <w:rPr>
          <w:rFonts w:ascii="Arial" w:hAnsi="Arial" w:cs="Arial"/>
          <w:lang w:val="es-CO"/>
        </w:rPr>
        <w:t>lo que en este caso no ha sido probado, es indispensable que se demuestre que esos defectos fueron conocidos o debieron ser conocidos por la entidad, y que esta incurrió en una omisión injustificada en su deber de prevención, señalización o reparación.</w:t>
      </w:r>
    </w:p>
    <w:p w14:paraId="579B23BA" w14:textId="77777777" w:rsidR="00600F1F" w:rsidRPr="00277BF8" w:rsidRDefault="00600F1F" w:rsidP="00277BF8">
      <w:pPr>
        <w:spacing w:line="360" w:lineRule="auto"/>
        <w:jc w:val="both"/>
        <w:rPr>
          <w:rFonts w:ascii="Arial" w:hAnsi="Arial" w:cs="Arial"/>
          <w:lang w:val="es-CO"/>
        </w:rPr>
      </w:pPr>
    </w:p>
    <w:p w14:paraId="62EAF636" w14:textId="77777777" w:rsidR="00277BF8" w:rsidRDefault="00277BF8" w:rsidP="00277BF8">
      <w:pPr>
        <w:spacing w:line="360" w:lineRule="auto"/>
        <w:jc w:val="both"/>
        <w:rPr>
          <w:rFonts w:ascii="Arial" w:hAnsi="Arial" w:cs="Arial"/>
          <w:lang w:val="es-CO"/>
        </w:rPr>
      </w:pPr>
      <w:r w:rsidRPr="00277BF8">
        <w:rPr>
          <w:rFonts w:ascii="Arial" w:hAnsi="Arial" w:cs="Arial"/>
          <w:lang w:val="es-CO"/>
        </w:rPr>
        <w:t>En ese sentido, la ya citada sentencia del 14 de julio de 2016 (Rad. 76001-23-31-000-2008-00179-01(41631)) resumió las hipótesis en las que puede configurarse la responsabilidad del Estado:</w:t>
      </w:r>
    </w:p>
    <w:p w14:paraId="752B24FC" w14:textId="77777777" w:rsidR="00600F1F" w:rsidRPr="00277BF8" w:rsidRDefault="00600F1F" w:rsidP="00277BF8">
      <w:pPr>
        <w:spacing w:line="360" w:lineRule="auto"/>
        <w:jc w:val="both"/>
        <w:rPr>
          <w:rFonts w:ascii="Arial" w:hAnsi="Arial" w:cs="Arial"/>
          <w:lang w:val="es-CO"/>
        </w:rPr>
      </w:pPr>
    </w:p>
    <w:p w14:paraId="6AF4701F" w14:textId="77777777" w:rsidR="00277BF8" w:rsidRPr="00277BF8" w:rsidRDefault="00277BF8">
      <w:pPr>
        <w:numPr>
          <w:ilvl w:val="0"/>
          <w:numId w:val="8"/>
        </w:numPr>
        <w:spacing w:line="360" w:lineRule="auto"/>
        <w:jc w:val="both"/>
        <w:rPr>
          <w:rFonts w:ascii="Arial" w:hAnsi="Arial" w:cs="Arial"/>
          <w:lang w:val="es-CO"/>
        </w:rPr>
      </w:pPr>
      <w:r w:rsidRPr="00277BF8">
        <w:rPr>
          <w:rFonts w:ascii="Arial" w:hAnsi="Arial" w:cs="Arial"/>
          <w:lang w:val="es-CO"/>
        </w:rPr>
        <w:t>Cuando la entidad tiene conocimiento de la existencia de un riesgo en el terreno (por ejemplo, un derrumbe previsible o un daño estructural visible) y no adopta medidas preventivas o correctivas;</w:t>
      </w:r>
    </w:p>
    <w:p w14:paraId="3E7E54CA" w14:textId="1336BF7A" w:rsidR="00277BF8" w:rsidRDefault="00277BF8">
      <w:pPr>
        <w:numPr>
          <w:ilvl w:val="0"/>
          <w:numId w:val="8"/>
        </w:numPr>
        <w:spacing w:line="360" w:lineRule="auto"/>
        <w:jc w:val="both"/>
        <w:rPr>
          <w:rFonts w:ascii="Arial" w:hAnsi="Arial" w:cs="Arial"/>
          <w:lang w:val="es-CO"/>
        </w:rPr>
      </w:pPr>
      <w:r w:rsidRPr="00277BF8">
        <w:rPr>
          <w:rFonts w:ascii="Arial" w:hAnsi="Arial" w:cs="Arial"/>
          <w:lang w:val="es-CO"/>
        </w:rPr>
        <w:t>Cuando incumple sus deberes de mantenimiento regular, señalización o reparación, permitiendo que el daño o peligro permanezca durante un período que justifique una actuación diligente</w:t>
      </w:r>
    </w:p>
    <w:p w14:paraId="10518DEC" w14:textId="77777777" w:rsidR="00600F1F" w:rsidRPr="00277BF8" w:rsidRDefault="00600F1F" w:rsidP="00600F1F">
      <w:pPr>
        <w:spacing w:line="360" w:lineRule="auto"/>
        <w:ind w:left="720"/>
        <w:jc w:val="both"/>
        <w:rPr>
          <w:rFonts w:ascii="Arial" w:hAnsi="Arial" w:cs="Arial"/>
          <w:lang w:val="es-CO"/>
        </w:rPr>
      </w:pPr>
    </w:p>
    <w:p w14:paraId="35DC5750" w14:textId="77777777" w:rsidR="00600F1F" w:rsidRDefault="00277BF8" w:rsidP="00277BF8">
      <w:pPr>
        <w:spacing w:line="360" w:lineRule="auto"/>
        <w:jc w:val="both"/>
        <w:rPr>
          <w:rFonts w:ascii="Arial" w:hAnsi="Arial" w:cs="Arial"/>
          <w:lang w:val="es-CO"/>
        </w:rPr>
      </w:pPr>
      <w:r w:rsidRPr="00277BF8">
        <w:rPr>
          <w:rFonts w:ascii="Arial" w:hAnsi="Arial" w:cs="Arial"/>
          <w:lang w:val="es-CO"/>
        </w:rPr>
        <w:t xml:space="preserve">Adicionalmente, el mismo fallo aclara que, </w:t>
      </w:r>
      <w:r w:rsidRPr="00277BF8">
        <w:rPr>
          <w:rFonts w:ascii="Arial" w:hAnsi="Arial" w:cs="Arial"/>
          <w:b/>
          <w:bCs/>
          <w:lang w:val="es-CO"/>
        </w:rPr>
        <w:t>incluso en ausencia de notificación previa del defecto vial, la administración puede ser declarada responsable si se acredita que debió conocer la situación por su carácter ostensible y no actuó de manera oportuna</w:t>
      </w:r>
      <w:r w:rsidRPr="00277BF8">
        <w:rPr>
          <w:rFonts w:ascii="Arial" w:hAnsi="Arial" w:cs="Arial"/>
          <w:lang w:val="es-CO"/>
        </w:rPr>
        <w:t>.</w:t>
      </w:r>
      <w:r w:rsidR="00600F1F">
        <w:rPr>
          <w:rFonts w:ascii="Arial" w:hAnsi="Arial" w:cs="Arial"/>
          <w:lang w:val="es-CO"/>
        </w:rPr>
        <w:t xml:space="preserve"> No obstante, e</w:t>
      </w:r>
      <w:r w:rsidRPr="00277BF8">
        <w:rPr>
          <w:rFonts w:ascii="Arial" w:hAnsi="Arial" w:cs="Arial"/>
          <w:lang w:val="es-CO"/>
        </w:rPr>
        <w:t>n el caso concreto, no se ha demostrado la existencia de una anomalía objetiva, visible y persistente en la vía. No existe tampoco evidencia de que la administración hubiese sido notificada sobre una posible falla estructural, ni que el supuesto hueco</w:t>
      </w:r>
      <w:r w:rsidR="00600F1F">
        <w:rPr>
          <w:rFonts w:ascii="Arial" w:hAnsi="Arial" w:cs="Arial"/>
          <w:lang w:val="es-CO"/>
        </w:rPr>
        <w:t xml:space="preserve">, </w:t>
      </w:r>
      <w:r w:rsidRPr="00277BF8">
        <w:rPr>
          <w:rFonts w:ascii="Arial" w:hAnsi="Arial" w:cs="Arial"/>
          <w:lang w:val="es-CO"/>
        </w:rPr>
        <w:t>que ni siquiera ha sido fotografiado, documentado técnicamente o corroborado por los testigos</w:t>
      </w:r>
      <w:r w:rsidR="00600F1F">
        <w:rPr>
          <w:rFonts w:ascii="Arial" w:hAnsi="Arial" w:cs="Arial"/>
          <w:lang w:val="es-CO"/>
        </w:rPr>
        <w:t xml:space="preserve">, </w:t>
      </w:r>
      <w:r w:rsidRPr="00277BF8">
        <w:rPr>
          <w:rFonts w:ascii="Arial" w:hAnsi="Arial" w:cs="Arial"/>
          <w:lang w:val="es-CO"/>
        </w:rPr>
        <w:t>haya sido la causa eficiente del accidente</w:t>
      </w:r>
      <w:r w:rsidR="00600F1F">
        <w:rPr>
          <w:rFonts w:ascii="Arial" w:hAnsi="Arial" w:cs="Arial"/>
          <w:lang w:val="es-CO"/>
        </w:rPr>
        <w:t>, por lo que resulta imposible determinar un nexo causal</w:t>
      </w:r>
    </w:p>
    <w:p w14:paraId="7F34FF1E" w14:textId="77777777" w:rsidR="00600F1F" w:rsidRDefault="00600F1F" w:rsidP="00277BF8">
      <w:pPr>
        <w:spacing w:line="360" w:lineRule="auto"/>
        <w:jc w:val="both"/>
        <w:rPr>
          <w:rFonts w:ascii="Arial" w:hAnsi="Arial" w:cs="Arial"/>
          <w:lang w:val="es-CO"/>
        </w:rPr>
      </w:pPr>
    </w:p>
    <w:p w14:paraId="62738908" w14:textId="2822FC6E" w:rsidR="00277BF8" w:rsidRPr="00277BF8" w:rsidRDefault="00600F1F" w:rsidP="00277BF8">
      <w:pPr>
        <w:spacing w:line="360" w:lineRule="auto"/>
        <w:jc w:val="both"/>
        <w:rPr>
          <w:rFonts w:ascii="Arial" w:hAnsi="Arial" w:cs="Arial"/>
          <w:lang w:val="es-CO"/>
        </w:rPr>
      </w:pPr>
      <w:r>
        <w:rPr>
          <w:rFonts w:ascii="Arial" w:hAnsi="Arial" w:cs="Arial"/>
          <w:lang w:val="es-CO"/>
        </w:rPr>
        <w:t xml:space="preserve">Así las cosas, el despacho, al momento de proferir sentencia de primera instancia, deberá negar las pretensiones de los demandantes y exonerar a mi representada y al </w:t>
      </w:r>
      <w:r w:rsidRPr="00277BF8">
        <w:rPr>
          <w:rFonts w:ascii="Arial" w:hAnsi="Arial" w:cs="Arial"/>
          <w:lang w:val="es-CO"/>
        </w:rPr>
        <w:t>INSTITUTO NACIONAL DE VÍAS – INVÍAS</w:t>
      </w:r>
      <w:r w:rsidR="00277BF8" w:rsidRPr="00277BF8">
        <w:rPr>
          <w:rFonts w:ascii="Arial" w:hAnsi="Arial" w:cs="Arial"/>
          <w:lang w:val="es-CO"/>
        </w:rPr>
        <w:t>.</w:t>
      </w:r>
    </w:p>
    <w:p w14:paraId="413F95D1" w14:textId="77777777" w:rsidR="002721E8" w:rsidRDefault="002721E8" w:rsidP="00D6721B">
      <w:pPr>
        <w:spacing w:line="360" w:lineRule="auto"/>
        <w:jc w:val="both"/>
        <w:rPr>
          <w:rFonts w:ascii="Arial" w:hAnsi="Arial" w:cs="Arial"/>
          <w:lang w:val="es-CO"/>
        </w:rPr>
      </w:pPr>
    </w:p>
    <w:p w14:paraId="47B32AFC" w14:textId="29347391" w:rsidR="00A157A9" w:rsidRPr="00A157A9" w:rsidRDefault="00A157A9">
      <w:pPr>
        <w:pStyle w:val="Prrafodelista"/>
        <w:numPr>
          <w:ilvl w:val="0"/>
          <w:numId w:val="3"/>
        </w:numPr>
        <w:spacing w:line="360" w:lineRule="auto"/>
        <w:jc w:val="both"/>
        <w:rPr>
          <w:rFonts w:ascii="Arial" w:hAnsi="Arial" w:cs="Arial"/>
          <w:b/>
          <w:bCs/>
          <w:lang w:val="es-CO"/>
        </w:rPr>
      </w:pPr>
      <w:r w:rsidRPr="00A157A9">
        <w:rPr>
          <w:rFonts w:ascii="Arial" w:hAnsi="Arial" w:cs="Arial"/>
          <w:b/>
          <w:bCs/>
          <w:lang w:val="es-CO"/>
        </w:rPr>
        <w:t xml:space="preserve">EXISTE CULPA EXCLUSIVA DE LA VÍCTIMA: EL ACCIDENTE FUE CONSECUENCIA DEL ACTUAR IMPRUDENTE DEL SEÑOR DANIEL ARAQUE RUIZ Y NO DE UNA FALLA DEL SERVICIO ATRIBUIBLE AL ESTADO. </w:t>
      </w:r>
    </w:p>
    <w:p w14:paraId="712C6E4F" w14:textId="77777777" w:rsidR="00A157A9" w:rsidRPr="00A157A9" w:rsidRDefault="00A157A9" w:rsidP="00A157A9">
      <w:pPr>
        <w:spacing w:line="360" w:lineRule="auto"/>
        <w:jc w:val="both"/>
        <w:rPr>
          <w:rFonts w:ascii="Arial" w:hAnsi="Arial" w:cs="Arial"/>
          <w:lang w:val="es-CO"/>
        </w:rPr>
      </w:pPr>
    </w:p>
    <w:p w14:paraId="3F84D472" w14:textId="0E7B7456" w:rsidR="00A157A9" w:rsidRDefault="00A157A9" w:rsidP="00A157A9">
      <w:pPr>
        <w:spacing w:line="360" w:lineRule="auto"/>
        <w:jc w:val="both"/>
        <w:rPr>
          <w:rFonts w:ascii="Arial" w:hAnsi="Arial" w:cs="Arial"/>
          <w:lang w:val="es-CO"/>
        </w:rPr>
      </w:pPr>
      <w:r w:rsidRPr="00A157A9">
        <w:rPr>
          <w:rFonts w:ascii="Arial" w:hAnsi="Arial" w:cs="Arial"/>
          <w:lang w:val="es-CO"/>
        </w:rPr>
        <w:t xml:space="preserve">En el presente caso, se encuentra plenamente demostrado que el accidente de tránsito en el que resultó lesionado el señor DANIEL ARAQUE RUIZ no obedeció a una falla del servicio por parte del </w:t>
      </w:r>
      <w:r w:rsidRPr="00A157A9">
        <w:rPr>
          <w:rFonts w:ascii="Arial" w:hAnsi="Arial" w:cs="Arial"/>
          <w:lang w:val="es-CO"/>
        </w:rPr>
        <w:lastRenderedPageBreak/>
        <w:t>INSTITUTO NACIONAL DE VÍAS – INVÍAS, sino que fue consecuencia directa y exclusiva de su conducta imprudente, en su calidad de conductor de un vehículo automotor de alta gama. Así, se estructura en este proceso la excepción de culpa exclusiva de la víctima, la cual constituye, según reiterada jurisprudencia del Consejo de Estado, una causal eximente de responsabilidad del Estado.</w:t>
      </w:r>
    </w:p>
    <w:p w14:paraId="4F04F99E" w14:textId="77777777" w:rsidR="00A157A9" w:rsidRPr="00A157A9" w:rsidRDefault="00A157A9" w:rsidP="00A157A9">
      <w:pPr>
        <w:spacing w:line="360" w:lineRule="auto"/>
        <w:jc w:val="both"/>
        <w:rPr>
          <w:rFonts w:ascii="Arial" w:hAnsi="Arial" w:cs="Arial"/>
          <w:lang w:val="es-CO"/>
        </w:rPr>
      </w:pPr>
    </w:p>
    <w:p w14:paraId="65D6FD84" w14:textId="56719D62" w:rsidR="00A157A9" w:rsidRDefault="00A157A9" w:rsidP="00A157A9">
      <w:pPr>
        <w:spacing w:line="360" w:lineRule="auto"/>
        <w:jc w:val="both"/>
        <w:rPr>
          <w:rFonts w:ascii="Arial" w:hAnsi="Arial" w:cs="Arial"/>
          <w:lang w:val="es-CO"/>
        </w:rPr>
      </w:pPr>
      <w:r>
        <w:rPr>
          <w:rFonts w:ascii="Arial" w:hAnsi="Arial" w:cs="Arial"/>
          <w:lang w:val="es-CO"/>
        </w:rPr>
        <w:t xml:space="preserve">Lo anterior quedó plenamente evidenciado dentro del proceso debido a, en primer lugar, </w:t>
      </w:r>
      <w:r w:rsidRPr="00A157A9">
        <w:rPr>
          <w:rFonts w:ascii="Arial" w:hAnsi="Arial" w:cs="Arial"/>
          <w:lang w:val="es-CO"/>
        </w:rPr>
        <w:t xml:space="preserve">la ausencia de prueba sobre la existencia de la supuesta irregularidad en la vía que se alega como causa del siniestro, </w:t>
      </w:r>
      <w:proofErr w:type="gramStart"/>
      <w:r>
        <w:rPr>
          <w:rFonts w:ascii="Arial" w:hAnsi="Arial" w:cs="Arial"/>
          <w:lang w:val="es-CO"/>
        </w:rPr>
        <w:t>y</w:t>
      </w:r>
      <w:proofErr w:type="gramEnd"/>
      <w:r>
        <w:rPr>
          <w:rFonts w:ascii="Arial" w:hAnsi="Arial" w:cs="Arial"/>
          <w:lang w:val="es-CO"/>
        </w:rPr>
        <w:t xml:space="preserve"> en segundo lugar, del análisis </w:t>
      </w:r>
      <w:r w:rsidRPr="00A157A9">
        <w:rPr>
          <w:rFonts w:ascii="Arial" w:hAnsi="Arial" w:cs="Arial"/>
          <w:lang w:val="es-CO"/>
        </w:rPr>
        <w:t>integral del comportamiento desplegado por el conductor el día de los hechos, el tipo de vehículo que conducía, y las condiciones objetivas de la vía. Todo lo anterior, evaluado a la luz de los estándares jurisprudenciales sobre imputación de responsabilidad y ruptura del nexo causal.</w:t>
      </w:r>
    </w:p>
    <w:p w14:paraId="6C89569E" w14:textId="77777777" w:rsidR="00A157A9" w:rsidRPr="00A157A9" w:rsidRDefault="00A157A9" w:rsidP="00A157A9">
      <w:pPr>
        <w:spacing w:line="360" w:lineRule="auto"/>
        <w:jc w:val="both"/>
        <w:rPr>
          <w:rFonts w:ascii="Arial" w:hAnsi="Arial" w:cs="Arial"/>
          <w:lang w:val="es-CO"/>
        </w:rPr>
      </w:pPr>
    </w:p>
    <w:p w14:paraId="435E32EE" w14:textId="77777777" w:rsidR="00A157A9" w:rsidRDefault="00A157A9" w:rsidP="00A157A9">
      <w:pPr>
        <w:spacing w:line="360" w:lineRule="auto"/>
        <w:jc w:val="both"/>
        <w:rPr>
          <w:rFonts w:ascii="Arial" w:hAnsi="Arial" w:cs="Arial"/>
          <w:lang w:val="es-CO"/>
        </w:rPr>
      </w:pPr>
      <w:r w:rsidRPr="00A157A9">
        <w:rPr>
          <w:rFonts w:ascii="Arial" w:hAnsi="Arial" w:cs="Arial"/>
          <w:lang w:val="es-CO"/>
        </w:rPr>
        <w:t xml:space="preserve">El Consejo de Estado ha sido constante en afirmar que la culpa exclusiva de la víctima rompe el nexo de causalidad entre la conducta estatal y el daño, lo que impide atribuir responsabilidad patrimonial al Estado. En la sentencia del 25 de julio de 2002 (Sección Tercera, </w:t>
      </w:r>
      <w:proofErr w:type="spellStart"/>
      <w:r w:rsidRPr="00A157A9">
        <w:rPr>
          <w:rFonts w:ascii="Arial" w:hAnsi="Arial" w:cs="Arial"/>
          <w:lang w:val="es-CO"/>
        </w:rPr>
        <w:t>Exp</w:t>
      </w:r>
      <w:proofErr w:type="spellEnd"/>
      <w:r w:rsidRPr="00A157A9">
        <w:rPr>
          <w:rFonts w:ascii="Arial" w:hAnsi="Arial" w:cs="Arial"/>
          <w:lang w:val="es-CO"/>
        </w:rPr>
        <w:t>. 13.744), este tribunal señaló:</w:t>
      </w:r>
    </w:p>
    <w:p w14:paraId="26A9E0F1" w14:textId="77777777" w:rsidR="00A157A9" w:rsidRPr="00A157A9" w:rsidRDefault="00A157A9" w:rsidP="00A157A9">
      <w:pPr>
        <w:spacing w:line="360" w:lineRule="auto"/>
        <w:jc w:val="both"/>
        <w:rPr>
          <w:rFonts w:ascii="Arial" w:hAnsi="Arial" w:cs="Arial"/>
          <w:lang w:val="es-CO"/>
        </w:rPr>
      </w:pPr>
    </w:p>
    <w:p w14:paraId="2EB98D3B" w14:textId="43531252" w:rsidR="00A157A9" w:rsidRPr="00A157A9" w:rsidRDefault="00A157A9" w:rsidP="00A157A9">
      <w:pPr>
        <w:spacing w:line="276" w:lineRule="auto"/>
        <w:ind w:left="708"/>
        <w:jc w:val="both"/>
        <w:rPr>
          <w:rFonts w:ascii="Arial" w:hAnsi="Arial" w:cs="Arial"/>
          <w:i/>
          <w:iCs/>
          <w:sz w:val="20"/>
          <w:szCs w:val="20"/>
          <w:lang w:val="es-CO"/>
        </w:rPr>
      </w:pPr>
      <w:r w:rsidRPr="00A157A9">
        <w:rPr>
          <w:rFonts w:ascii="Arial" w:hAnsi="Arial" w:cs="Arial"/>
          <w:i/>
          <w:iCs/>
          <w:sz w:val="20"/>
          <w:szCs w:val="20"/>
          <w:lang w:val="es-CO"/>
        </w:rPr>
        <w:t>“(...) puede suceder en un caso determinado, que una sea la causa física o material del daño y otra, distinta, la causa jurídica, la cual puede encontrarse presente en hechos anteriores al suceso, pero que fueron determinantes o eficientes en su producción. (…) aunque la conducta anómala de la Administración fue causa material o física del daño sufrido por los demandantes, la única causa eficiente del mismo fue el actuar exclusivo y reprochable del señor, quien con su conducta culposa de desacato a las obligaciones a él conferidas, se expuso total e imprudentemente a sufrir el daño.”</w:t>
      </w:r>
      <w:r w:rsidRPr="00A157A9">
        <w:rPr>
          <w:rStyle w:val="Refdenotaalpie"/>
          <w:rFonts w:ascii="Arial" w:hAnsi="Arial" w:cs="Arial"/>
          <w:i/>
          <w:iCs/>
          <w:sz w:val="20"/>
          <w:szCs w:val="20"/>
          <w:lang w:val="es-CO"/>
        </w:rPr>
        <w:footnoteReference w:id="3"/>
      </w:r>
    </w:p>
    <w:p w14:paraId="0FD4AFA7" w14:textId="5E275763" w:rsidR="00A157A9" w:rsidRPr="00A157A9" w:rsidRDefault="00A157A9" w:rsidP="00A157A9">
      <w:pPr>
        <w:spacing w:line="360" w:lineRule="auto"/>
        <w:ind w:left="708"/>
        <w:jc w:val="both"/>
        <w:rPr>
          <w:rFonts w:ascii="Arial" w:hAnsi="Arial" w:cs="Arial"/>
          <w:i/>
          <w:iCs/>
          <w:lang w:val="es-CO"/>
        </w:rPr>
      </w:pPr>
    </w:p>
    <w:p w14:paraId="15E6B25E" w14:textId="6D22349B" w:rsidR="00A157A9" w:rsidRPr="00A157A9" w:rsidRDefault="00A157A9" w:rsidP="00A157A9">
      <w:pPr>
        <w:spacing w:line="360" w:lineRule="auto"/>
        <w:jc w:val="both"/>
        <w:rPr>
          <w:rFonts w:ascii="Arial" w:hAnsi="Arial" w:cs="Arial"/>
          <w:lang w:val="es-CO"/>
        </w:rPr>
      </w:pPr>
      <w:r w:rsidRPr="00A157A9">
        <w:rPr>
          <w:rFonts w:ascii="Arial" w:hAnsi="Arial" w:cs="Arial"/>
          <w:lang w:val="es-CO"/>
        </w:rPr>
        <w:t>Es decir, aun en los casos donde exista una participación fáctica de la Administración, si se prueba que el daño se derivó exclusivamente del comportamiento negligente de la víctima, el Estado no puede ser considerado responsable. Esta doctrina ha sido reiterada por la misma Corporación en sentencia del 13 de abril de 2011</w:t>
      </w:r>
      <w:r>
        <w:rPr>
          <w:rFonts w:ascii="Arial" w:hAnsi="Arial" w:cs="Arial"/>
          <w:lang w:val="es-CO"/>
        </w:rPr>
        <w:t xml:space="preserve">, </w:t>
      </w:r>
      <w:r w:rsidRPr="00A157A9">
        <w:rPr>
          <w:rFonts w:ascii="Arial" w:hAnsi="Arial" w:cs="Arial"/>
          <w:lang w:val="es-CO"/>
        </w:rPr>
        <w:t xml:space="preserve">Sección Tercera, Subsección B, </w:t>
      </w:r>
      <w:proofErr w:type="spellStart"/>
      <w:r w:rsidRPr="00A157A9">
        <w:rPr>
          <w:rFonts w:ascii="Arial" w:hAnsi="Arial" w:cs="Arial"/>
          <w:lang w:val="es-CO"/>
        </w:rPr>
        <w:t>Exp</w:t>
      </w:r>
      <w:proofErr w:type="spellEnd"/>
      <w:r w:rsidRPr="00A157A9">
        <w:rPr>
          <w:rFonts w:ascii="Arial" w:hAnsi="Arial" w:cs="Arial"/>
          <w:lang w:val="es-CO"/>
        </w:rPr>
        <w:t>. 20441:</w:t>
      </w:r>
      <w:r>
        <w:rPr>
          <w:rFonts w:ascii="Arial" w:hAnsi="Arial" w:cs="Arial"/>
          <w:lang w:val="es-CO"/>
        </w:rPr>
        <w:t xml:space="preserve"> </w:t>
      </w:r>
      <w:r w:rsidRPr="00A157A9">
        <w:rPr>
          <w:rFonts w:ascii="Arial" w:hAnsi="Arial" w:cs="Arial"/>
          <w:i/>
          <w:iCs/>
          <w:lang w:val="es-CO"/>
        </w:rPr>
        <w:t>“…si se considera que la culpa es de la víctima, así no sea irresistible e imprevisible para el demandado, lo exonera de responsabilidad; se está concluyendo que basta probar que obró adecuadamente (sin culpa) y que el daño se ocasionó porque la víctima obró inadecuadamente (con culpa).”</w:t>
      </w:r>
    </w:p>
    <w:p w14:paraId="13836095" w14:textId="77777777" w:rsidR="00A157A9" w:rsidRDefault="00A157A9" w:rsidP="00A157A9">
      <w:pPr>
        <w:spacing w:line="360" w:lineRule="auto"/>
        <w:jc w:val="both"/>
        <w:rPr>
          <w:rFonts w:ascii="Arial" w:hAnsi="Arial" w:cs="Arial"/>
          <w:lang w:val="es-CO"/>
        </w:rPr>
      </w:pPr>
    </w:p>
    <w:p w14:paraId="47C19CE4" w14:textId="110DE50F" w:rsidR="00A157A9" w:rsidRDefault="00A157A9" w:rsidP="00A157A9">
      <w:pPr>
        <w:spacing w:line="360" w:lineRule="auto"/>
        <w:jc w:val="both"/>
        <w:rPr>
          <w:rFonts w:ascii="Arial" w:hAnsi="Arial" w:cs="Arial"/>
          <w:lang w:val="es-CO"/>
        </w:rPr>
      </w:pPr>
      <w:r w:rsidRPr="00A157A9">
        <w:rPr>
          <w:rFonts w:ascii="Arial" w:hAnsi="Arial" w:cs="Arial"/>
          <w:lang w:val="es-CO"/>
        </w:rPr>
        <w:t>La actividad de conducir un vehículo automotor, y en particular una motocicleta de alto cilindraje, impone a quien la ejerce un deber especial de diligencia y cuidado. Según ha explicado la Corte Constitucional, se trata de una actividad peligrosa, que genera riesgos relevantes para la comunidad. Así lo ha señalado en diversos pronunciamientos:</w:t>
      </w:r>
      <w:r>
        <w:rPr>
          <w:rFonts w:ascii="Arial" w:hAnsi="Arial" w:cs="Arial"/>
          <w:lang w:val="es-CO"/>
        </w:rPr>
        <w:t xml:space="preserve"> </w:t>
      </w:r>
      <w:r w:rsidRPr="00A157A9">
        <w:rPr>
          <w:rFonts w:ascii="Arial" w:hAnsi="Arial" w:cs="Arial"/>
          <w:i/>
          <w:iCs/>
          <w:lang w:val="es-CO"/>
        </w:rPr>
        <w:t>“La actividad de conducir vehículos automotores ha sido calificada por la jurisprudencia constitucional y por la doctrina extranjera como una actividad peligrosa, que coloca per se a la comunidad ‘ante inminente peligro de recibir lesión’.”</w:t>
      </w:r>
    </w:p>
    <w:p w14:paraId="400EFC7F" w14:textId="29FF7BB3" w:rsidR="00A157A9" w:rsidRPr="00A157A9" w:rsidRDefault="00A157A9" w:rsidP="00A157A9">
      <w:pPr>
        <w:spacing w:line="360" w:lineRule="auto"/>
        <w:jc w:val="both"/>
        <w:rPr>
          <w:rFonts w:ascii="Arial" w:hAnsi="Arial" w:cs="Arial"/>
          <w:lang w:val="es-CO"/>
        </w:rPr>
      </w:pPr>
    </w:p>
    <w:p w14:paraId="19F970C0" w14:textId="45CBBEAE" w:rsidR="00A157A9" w:rsidRDefault="00A157A9" w:rsidP="00A157A9">
      <w:pPr>
        <w:spacing w:line="360" w:lineRule="auto"/>
        <w:jc w:val="both"/>
        <w:rPr>
          <w:rFonts w:ascii="Arial" w:hAnsi="Arial" w:cs="Arial"/>
          <w:lang w:val="es-CO"/>
        </w:rPr>
      </w:pPr>
      <w:r w:rsidRPr="00A157A9">
        <w:rPr>
          <w:rFonts w:ascii="Arial" w:hAnsi="Arial" w:cs="Arial"/>
          <w:lang w:val="es-CO"/>
        </w:rPr>
        <w:t xml:space="preserve">Bajo esta lógica, quien se encuentra al mando de un vehículo de estas características debe observar </w:t>
      </w:r>
      <w:r w:rsidRPr="00A157A9">
        <w:rPr>
          <w:rFonts w:ascii="Arial" w:hAnsi="Arial" w:cs="Arial"/>
          <w:lang w:val="es-CO"/>
        </w:rPr>
        <w:lastRenderedPageBreak/>
        <w:t>de forma rigurosa todas las disposiciones del Código Nacional de Tránsito y actuar con un nivel superior de precaución, de manera que minimice los riesgos inherentes a la actividad. Este estándar se eleva aún más cuando el vehículo en cuestión</w:t>
      </w:r>
      <w:r w:rsidR="003A6992">
        <w:rPr>
          <w:rFonts w:ascii="Arial" w:hAnsi="Arial" w:cs="Arial"/>
          <w:lang w:val="es-CO"/>
        </w:rPr>
        <w:t xml:space="preserve">, </w:t>
      </w:r>
      <w:r w:rsidRPr="00A157A9">
        <w:rPr>
          <w:rFonts w:ascii="Arial" w:hAnsi="Arial" w:cs="Arial"/>
          <w:lang w:val="es-CO"/>
        </w:rPr>
        <w:t>como en este caso</w:t>
      </w:r>
      <w:r w:rsidR="003A6992">
        <w:rPr>
          <w:rFonts w:ascii="Arial" w:hAnsi="Arial" w:cs="Arial"/>
          <w:lang w:val="es-CO"/>
        </w:rPr>
        <w:t xml:space="preserve">, </w:t>
      </w:r>
      <w:r w:rsidRPr="00A157A9">
        <w:rPr>
          <w:rFonts w:ascii="Arial" w:hAnsi="Arial" w:cs="Arial"/>
          <w:lang w:val="es-CO"/>
        </w:rPr>
        <w:t xml:space="preserve">es una motocicleta de alto desempeño, como lo es una Ducati 1199 </w:t>
      </w:r>
      <w:proofErr w:type="spellStart"/>
      <w:r w:rsidRPr="00A157A9">
        <w:rPr>
          <w:rFonts w:ascii="Arial" w:hAnsi="Arial" w:cs="Arial"/>
          <w:lang w:val="es-CO"/>
        </w:rPr>
        <w:t>Panigale</w:t>
      </w:r>
      <w:proofErr w:type="spellEnd"/>
      <w:r w:rsidRPr="00A157A9">
        <w:rPr>
          <w:rFonts w:ascii="Arial" w:hAnsi="Arial" w:cs="Arial"/>
          <w:lang w:val="es-CO"/>
        </w:rPr>
        <w:t>, diseñada para alcanzar velocidades cercanas a los 310 km/h.</w:t>
      </w:r>
    </w:p>
    <w:p w14:paraId="37E45F50" w14:textId="77777777" w:rsidR="003A6992" w:rsidRPr="00A157A9" w:rsidRDefault="003A6992" w:rsidP="00A157A9">
      <w:pPr>
        <w:spacing w:line="360" w:lineRule="auto"/>
        <w:jc w:val="both"/>
        <w:rPr>
          <w:rFonts w:ascii="Arial" w:hAnsi="Arial" w:cs="Arial"/>
          <w:lang w:val="es-CO"/>
        </w:rPr>
      </w:pPr>
    </w:p>
    <w:p w14:paraId="0D0D48FD" w14:textId="6EFDFBDD" w:rsidR="00A157A9" w:rsidRDefault="00A157A9" w:rsidP="00A157A9">
      <w:pPr>
        <w:spacing w:line="360" w:lineRule="auto"/>
        <w:jc w:val="both"/>
        <w:rPr>
          <w:rFonts w:ascii="Arial" w:hAnsi="Arial" w:cs="Arial"/>
          <w:lang w:val="es-CO"/>
        </w:rPr>
      </w:pPr>
      <w:r w:rsidRPr="00A157A9">
        <w:rPr>
          <w:rFonts w:ascii="Arial" w:hAnsi="Arial" w:cs="Arial"/>
          <w:lang w:val="es-CO"/>
        </w:rPr>
        <w:t xml:space="preserve">La conducta del señor </w:t>
      </w:r>
      <w:r w:rsidR="003A6992" w:rsidRPr="00A157A9">
        <w:rPr>
          <w:rFonts w:ascii="Arial" w:hAnsi="Arial" w:cs="Arial"/>
          <w:lang w:val="es-CO"/>
        </w:rPr>
        <w:t xml:space="preserve">DANIEL ARAQUE RUIZ </w:t>
      </w:r>
      <w:r w:rsidRPr="00A157A9">
        <w:rPr>
          <w:rFonts w:ascii="Arial" w:hAnsi="Arial" w:cs="Arial"/>
          <w:lang w:val="es-CO"/>
        </w:rPr>
        <w:t xml:space="preserve">el día de los hechos se apartó de los estándares de prudencia exigibles para la conducción de una motocicleta de tal potencia. Aun cuando </w:t>
      </w:r>
      <w:r w:rsidR="003A6992">
        <w:rPr>
          <w:rFonts w:ascii="Arial" w:hAnsi="Arial" w:cs="Arial"/>
          <w:lang w:val="es-CO"/>
        </w:rPr>
        <w:t>en el relato de la demanda</w:t>
      </w:r>
      <w:r w:rsidRPr="00A157A9">
        <w:rPr>
          <w:rFonts w:ascii="Arial" w:hAnsi="Arial" w:cs="Arial"/>
          <w:lang w:val="es-CO"/>
        </w:rPr>
        <w:t xml:space="preserve"> se alude a la presencia de un supuesto hueco en la vía, ninguna prueba en el expediente permite afirmar, con certeza, la existencia de dicha anomalía ni su conexión causal con el accidente.</w:t>
      </w:r>
      <w:r w:rsidR="003A6992">
        <w:rPr>
          <w:rFonts w:ascii="Arial" w:hAnsi="Arial" w:cs="Arial"/>
          <w:lang w:val="es-CO"/>
        </w:rPr>
        <w:t xml:space="preserve"> </w:t>
      </w:r>
      <w:r w:rsidRPr="00A157A9">
        <w:rPr>
          <w:rFonts w:ascii="Arial" w:hAnsi="Arial" w:cs="Arial"/>
          <w:lang w:val="es-CO"/>
        </w:rPr>
        <w:t xml:space="preserve">Por el contrario, del croquis contenido en el Informe Policial de Accidente de Tránsito (IPAT) se desprende que el señor </w:t>
      </w:r>
      <w:r w:rsidR="003A6992" w:rsidRPr="00A157A9">
        <w:rPr>
          <w:rFonts w:ascii="Arial" w:hAnsi="Arial" w:cs="Arial"/>
          <w:lang w:val="es-CO"/>
        </w:rPr>
        <w:t xml:space="preserve">ARAQUE RUIZ </w:t>
      </w:r>
      <w:r w:rsidRPr="00A157A9">
        <w:rPr>
          <w:rFonts w:ascii="Arial" w:hAnsi="Arial" w:cs="Arial"/>
          <w:lang w:val="es-CO"/>
        </w:rPr>
        <w:t>transitaba por el carril derecho, mientras que el presunto hueco se encontraba</w:t>
      </w:r>
      <w:r w:rsidR="003A6992">
        <w:rPr>
          <w:rFonts w:ascii="Arial" w:hAnsi="Arial" w:cs="Arial"/>
          <w:lang w:val="es-CO"/>
        </w:rPr>
        <w:t xml:space="preserve">, </w:t>
      </w:r>
      <w:r w:rsidRPr="00A157A9">
        <w:rPr>
          <w:rFonts w:ascii="Arial" w:hAnsi="Arial" w:cs="Arial"/>
          <w:lang w:val="es-CO"/>
        </w:rPr>
        <w:t>según se aduce</w:t>
      </w:r>
      <w:r w:rsidR="003A6992">
        <w:rPr>
          <w:rFonts w:ascii="Arial" w:hAnsi="Arial" w:cs="Arial"/>
          <w:lang w:val="es-CO"/>
        </w:rPr>
        <w:t>,</w:t>
      </w:r>
      <w:r w:rsidRPr="00A157A9">
        <w:rPr>
          <w:rFonts w:ascii="Arial" w:hAnsi="Arial" w:cs="Arial"/>
          <w:lang w:val="es-CO"/>
        </w:rPr>
        <w:t xml:space="preserve"> en el carril izquierdo. Esta incongruencia entre el lugar del supuesto defecto y la posición del conductor al momento del accidente desvirtúa por completo la hipótesis de falla vial como causa del siniestro.</w:t>
      </w:r>
    </w:p>
    <w:p w14:paraId="3E8697BF" w14:textId="77777777" w:rsidR="003A6992" w:rsidRPr="00A157A9" w:rsidRDefault="003A6992" w:rsidP="00A157A9">
      <w:pPr>
        <w:spacing w:line="360" w:lineRule="auto"/>
        <w:jc w:val="both"/>
        <w:rPr>
          <w:rFonts w:ascii="Arial" w:hAnsi="Arial" w:cs="Arial"/>
          <w:lang w:val="es-CO"/>
        </w:rPr>
      </w:pPr>
    </w:p>
    <w:p w14:paraId="1ADEED51" w14:textId="77777777" w:rsidR="003A6992" w:rsidRDefault="00A157A9" w:rsidP="00A157A9">
      <w:pPr>
        <w:spacing w:line="360" w:lineRule="auto"/>
        <w:jc w:val="both"/>
        <w:rPr>
          <w:rFonts w:ascii="Arial" w:hAnsi="Arial" w:cs="Arial"/>
          <w:lang w:val="es-CO"/>
        </w:rPr>
      </w:pPr>
      <w:r w:rsidRPr="00A157A9">
        <w:rPr>
          <w:rFonts w:ascii="Arial" w:hAnsi="Arial" w:cs="Arial"/>
          <w:lang w:val="es-CO"/>
        </w:rPr>
        <w:t xml:space="preserve">A ello se suma que, durante su testimonio rendido en audiencia, el agente de tránsito que elaboró el IPAT manifestó no recordar con claridad el estado de la vía ni haber graficado el supuesto hueco en el croquis. </w:t>
      </w:r>
    </w:p>
    <w:p w14:paraId="2616AA47" w14:textId="77777777" w:rsidR="003A6992" w:rsidRDefault="003A6992" w:rsidP="00A157A9">
      <w:pPr>
        <w:spacing w:line="360" w:lineRule="auto"/>
        <w:jc w:val="both"/>
        <w:rPr>
          <w:rFonts w:ascii="Arial" w:hAnsi="Arial" w:cs="Arial"/>
          <w:lang w:val="es-CO"/>
        </w:rPr>
      </w:pPr>
    </w:p>
    <w:p w14:paraId="675E08F9" w14:textId="7605D6A3" w:rsidR="003A6992" w:rsidRDefault="003A6992" w:rsidP="00A157A9">
      <w:pPr>
        <w:spacing w:line="360" w:lineRule="auto"/>
        <w:jc w:val="both"/>
        <w:rPr>
          <w:rFonts w:ascii="Arial" w:hAnsi="Arial" w:cs="Arial"/>
          <w:lang w:val="es-CO"/>
        </w:rPr>
      </w:pPr>
      <w:r>
        <w:rPr>
          <w:rFonts w:ascii="Arial" w:hAnsi="Arial" w:cs="Arial"/>
          <w:noProof/>
          <w:lang w:val="es-CO"/>
        </w:rPr>
        <mc:AlternateContent>
          <mc:Choice Requires="wps">
            <w:drawing>
              <wp:anchor distT="0" distB="0" distL="114300" distR="114300" simplePos="0" relativeHeight="251667456" behindDoc="0" locked="0" layoutInCell="1" allowOverlap="1" wp14:anchorId="18C83C4E" wp14:editId="0F4B6081">
                <wp:simplePos x="0" y="0"/>
                <wp:positionH relativeFrom="column">
                  <wp:posOffset>1870710</wp:posOffset>
                </wp:positionH>
                <wp:positionV relativeFrom="paragraph">
                  <wp:posOffset>1299210</wp:posOffset>
                </wp:positionV>
                <wp:extent cx="660400" cy="501650"/>
                <wp:effectExtent l="19050" t="19050" r="25400" b="12700"/>
                <wp:wrapNone/>
                <wp:docPr id="1754133353" name="Elipse 7"/>
                <wp:cNvGraphicFramePr/>
                <a:graphic xmlns:a="http://schemas.openxmlformats.org/drawingml/2006/main">
                  <a:graphicData uri="http://schemas.microsoft.com/office/word/2010/wordprocessingShape">
                    <wps:wsp>
                      <wps:cNvSpPr/>
                      <wps:spPr>
                        <a:xfrm>
                          <a:off x="0" y="0"/>
                          <a:ext cx="660400" cy="501650"/>
                        </a:xfrm>
                        <a:prstGeom prst="ellipse">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0E0CB5" id="Elipse 7" o:spid="_x0000_s1026" style="position:absolute;margin-left:147.3pt;margin-top:102.3pt;width:52pt;height: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" filled="f" strokecolor="#e00" strokeweight="2.25pt">
                <v:stroke joinstyle="miter"/>
              </v:oval>
            </w:pict>
          </mc:Fallback>
        </mc:AlternateContent>
      </w:r>
      <w:r>
        <w:rPr>
          <w:rFonts w:ascii="Arial" w:hAnsi="Arial" w:cs="Arial"/>
          <w:noProof/>
          <w:lang w:val="es-CO"/>
        </w:rPr>
        <mc:AlternateContent>
          <mc:Choice Requires="wps">
            <w:drawing>
              <wp:anchor distT="0" distB="0" distL="114300" distR="114300" simplePos="0" relativeHeight="251665408" behindDoc="0" locked="0" layoutInCell="1" allowOverlap="1" wp14:anchorId="23AE993C" wp14:editId="31726A63">
                <wp:simplePos x="0" y="0"/>
                <wp:positionH relativeFrom="column">
                  <wp:posOffset>194310</wp:posOffset>
                </wp:positionH>
                <wp:positionV relativeFrom="paragraph">
                  <wp:posOffset>1858010</wp:posOffset>
                </wp:positionV>
                <wp:extent cx="508000" cy="438150"/>
                <wp:effectExtent l="19050" t="19050" r="25400" b="19050"/>
                <wp:wrapNone/>
                <wp:docPr id="1867869252" name="Elipse 7"/>
                <wp:cNvGraphicFramePr/>
                <a:graphic xmlns:a="http://schemas.openxmlformats.org/drawingml/2006/main">
                  <a:graphicData uri="http://schemas.microsoft.com/office/word/2010/wordprocessingShape">
                    <wps:wsp>
                      <wps:cNvSpPr/>
                      <wps:spPr>
                        <a:xfrm>
                          <a:off x="0" y="0"/>
                          <a:ext cx="508000" cy="438150"/>
                        </a:xfrm>
                        <a:prstGeom prst="ellipse">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B677BE" id="Elipse 7" o:spid="_x0000_s1026" style="position:absolute;margin-left:15.3pt;margin-top:146.3pt;width:40pt;height:3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" filled="f" strokecolor="#e00" strokeweight="2.25pt">
                <v:stroke joinstyle="miter"/>
              </v:oval>
            </w:pict>
          </mc:Fallback>
        </mc:AlternateContent>
      </w:r>
      <w:r w:rsidRPr="003A6992">
        <w:rPr>
          <w:rFonts w:ascii="Arial" w:hAnsi="Arial" w:cs="Arial"/>
          <w:noProof/>
          <w:lang w:val="es-CO"/>
        </w:rPr>
        <w:drawing>
          <wp:inline distT="0" distB="0" distL="0" distR="0" wp14:anchorId="14A45CB5" wp14:editId="0EC2A237">
            <wp:extent cx="6116320" cy="4311015"/>
            <wp:effectExtent l="0" t="0" r="0" b="0"/>
            <wp:docPr id="20208691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69137" name=""/>
                    <pic:cNvPicPr/>
                  </pic:nvPicPr>
                  <pic:blipFill>
                    <a:blip r:embed="rId10"/>
                    <a:stretch>
                      <a:fillRect/>
                    </a:stretch>
                  </pic:blipFill>
                  <pic:spPr>
                    <a:xfrm>
                      <a:off x="0" y="0"/>
                      <a:ext cx="6116320" cy="4311015"/>
                    </a:xfrm>
                    <a:prstGeom prst="rect">
                      <a:avLst/>
                    </a:prstGeom>
                  </pic:spPr>
                </pic:pic>
              </a:graphicData>
            </a:graphic>
          </wp:inline>
        </w:drawing>
      </w:r>
    </w:p>
    <w:p w14:paraId="0298B9A3" w14:textId="77777777" w:rsidR="003A6992" w:rsidRDefault="003A6992" w:rsidP="00A157A9">
      <w:pPr>
        <w:spacing w:line="360" w:lineRule="auto"/>
        <w:jc w:val="both"/>
        <w:rPr>
          <w:rFonts w:ascii="Arial" w:hAnsi="Arial" w:cs="Arial"/>
          <w:lang w:val="es-CO"/>
        </w:rPr>
      </w:pPr>
    </w:p>
    <w:p w14:paraId="46BE08FD" w14:textId="59C20077" w:rsidR="00A157A9" w:rsidRDefault="00A157A9" w:rsidP="00A157A9">
      <w:pPr>
        <w:spacing w:line="360" w:lineRule="auto"/>
        <w:jc w:val="both"/>
        <w:rPr>
          <w:rFonts w:ascii="Arial" w:hAnsi="Arial" w:cs="Arial"/>
          <w:lang w:val="es-CO"/>
        </w:rPr>
      </w:pPr>
      <w:r w:rsidRPr="00A157A9">
        <w:rPr>
          <w:rFonts w:ascii="Arial" w:hAnsi="Arial" w:cs="Arial"/>
          <w:lang w:val="es-CO"/>
        </w:rPr>
        <w:t xml:space="preserve">Además, las fotografías aportadas en el expediente penal (visible a folio 187) muestran una vía en </w:t>
      </w:r>
      <w:r w:rsidRPr="00A157A9">
        <w:rPr>
          <w:rFonts w:ascii="Arial" w:hAnsi="Arial" w:cs="Arial"/>
          <w:lang w:val="es-CO"/>
        </w:rPr>
        <w:lastRenderedPageBreak/>
        <w:t>buen estado, con pavimento asfáltico continuo, señales de tránsito visibles y demarcación adecuada, sin evidencia alguna de baches, grietas o daños que pudieran representar un riesgo objetivo para el tránsito vehicular.</w:t>
      </w:r>
      <w:r w:rsidR="003A6992">
        <w:rPr>
          <w:rFonts w:ascii="Arial" w:hAnsi="Arial" w:cs="Arial"/>
          <w:lang w:val="es-CO"/>
        </w:rPr>
        <w:t xml:space="preserve"> </w:t>
      </w:r>
      <w:r w:rsidRPr="00A157A9">
        <w:rPr>
          <w:rFonts w:ascii="Arial" w:hAnsi="Arial" w:cs="Arial"/>
          <w:lang w:val="es-CO"/>
        </w:rPr>
        <w:t>En este contexto, y considerando el tipo de motocicleta conducida por el señor Araque Ruiz, es razonable concluir que el accidente fue producto de una pérdida de control del vehículo asociada, probablemente, a un exceso de velocidad o a una maniobra imprudente del conductor, más que a cualquier omisión atribuible a la administración.</w:t>
      </w:r>
    </w:p>
    <w:p w14:paraId="0572C9D3" w14:textId="77777777" w:rsidR="003A6992" w:rsidRPr="00A157A9" w:rsidRDefault="003A6992" w:rsidP="00A157A9">
      <w:pPr>
        <w:spacing w:line="360" w:lineRule="auto"/>
        <w:jc w:val="both"/>
        <w:rPr>
          <w:rFonts w:ascii="Arial" w:hAnsi="Arial" w:cs="Arial"/>
          <w:lang w:val="es-CO"/>
        </w:rPr>
      </w:pPr>
    </w:p>
    <w:p w14:paraId="549A5711" w14:textId="271EB9D5" w:rsidR="00A157A9" w:rsidRDefault="00A157A9" w:rsidP="00A157A9">
      <w:pPr>
        <w:spacing w:line="360" w:lineRule="auto"/>
        <w:jc w:val="both"/>
        <w:rPr>
          <w:rFonts w:ascii="Arial" w:hAnsi="Arial" w:cs="Arial"/>
          <w:lang w:val="es-CO"/>
        </w:rPr>
      </w:pPr>
      <w:r w:rsidRPr="00A157A9">
        <w:rPr>
          <w:rFonts w:ascii="Arial" w:hAnsi="Arial" w:cs="Arial"/>
          <w:lang w:val="es-CO"/>
        </w:rPr>
        <w:t>La prueba documental y fotográfica practicada en el proceso evidencia que el tramo de vía en el kilómetro 90+650 de la carretera Buenaventura–Buga se encontraba en condiciones técnicas y de seguridad adecuadas. La calzada era de doble sentido, con asfalto flexible, con demarcación vial continua y visible, y con señalización pertinente.</w:t>
      </w:r>
    </w:p>
    <w:p w14:paraId="0B50F345" w14:textId="77777777" w:rsidR="003A6992" w:rsidRPr="00A157A9" w:rsidRDefault="003A6992" w:rsidP="00A157A9">
      <w:pPr>
        <w:spacing w:line="360" w:lineRule="auto"/>
        <w:jc w:val="both"/>
        <w:rPr>
          <w:rFonts w:ascii="Arial" w:hAnsi="Arial" w:cs="Arial"/>
          <w:lang w:val="es-CO"/>
        </w:rPr>
      </w:pPr>
    </w:p>
    <w:p w14:paraId="400B152C" w14:textId="77777777" w:rsidR="00A157A9" w:rsidRPr="00A157A9" w:rsidRDefault="00A157A9" w:rsidP="00A157A9">
      <w:pPr>
        <w:spacing w:line="360" w:lineRule="auto"/>
        <w:jc w:val="both"/>
        <w:rPr>
          <w:rFonts w:ascii="Arial" w:hAnsi="Arial" w:cs="Arial"/>
          <w:lang w:val="es-CO"/>
        </w:rPr>
      </w:pPr>
      <w:r w:rsidRPr="00A157A9">
        <w:rPr>
          <w:rFonts w:ascii="Arial" w:hAnsi="Arial" w:cs="Arial"/>
          <w:lang w:val="es-CO"/>
        </w:rPr>
        <w:t>No obra en el expediente ninguna denuncia previa, informe técnico o requerimiento ciudadano que hubiera puesto en conocimiento del INVIAS la supuesta irregularidad. Tampoco se acreditó que la administración hubiera incumplido con sus obligaciones legales de mantenimiento o prevención de riesgos. En consecuencia, no puede hablarse de omisión o negligencia estatal, ni de conocimiento previo del daño, elementos indispensables para estructurar una falla del servicio.</w:t>
      </w:r>
    </w:p>
    <w:p w14:paraId="4E2C9E98" w14:textId="77777777" w:rsidR="003A6992" w:rsidRDefault="003A6992" w:rsidP="00A157A9">
      <w:pPr>
        <w:spacing w:line="360" w:lineRule="auto"/>
        <w:jc w:val="both"/>
        <w:rPr>
          <w:rFonts w:ascii="Arial" w:hAnsi="Arial" w:cs="Arial"/>
          <w:lang w:val="es-CO"/>
        </w:rPr>
      </w:pPr>
    </w:p>
    <w:p w14:paraId="503B0D4C" w14:textId="54774337" w:rsidR="00A157A9" w:rsidRPr="00A157A9" w:rsidRDefault="00A157A9" w:rsidP="00A157A9">
      <w:pPr>
        <w:spacing w:line="360" w:lineRule="auto"/>
        <w:jc w:val="both"/>
        <w:rPr>
          <w:rFonts w:ascii="Arial" w:hAnsi="Arial" w:cs="Arial"/>
          <w:lang w:val="es-CO"/>
        </w:rPr>
      </w:pPr>
      <w:r w:rsidRPr="00A157A9">
        <w:rPr>
          <w:rFonts w:ascii="Arial" w:hAnsi="Arial" w:cs="Arial"/>
          <w:lang w:val="es-CO"/>
        </w:rPr>
        <w:t>A partir del examen detallado del material probatorio, se concluye de forma inequívoca que no existió falla en el servicio por parte del INSTITUTO NACIONAL DE VÍAS – INVÍAS. La vía donde ocurrieron los hechos se encontraba en buen estado, no se acreditó la existencia de huecos o fallas estructurales en la calzada, y las condiciones del entorno vial eran técnicamente aceptables.</w:t>
      </w:r>
      <w:r w:rsidR="003A6992">
        <w:rPr>
          <w:rFonts w:ascii="Arial" w:hAnsi="Arial" w:cs="Arial"/>
          <w:lang w:val="es-CO"/>
        </w:rPr>
        <w:t xml:space="preserve"> </w:t>
      </w:r>
      <w:r w:rsidRPr="00A157A9">
        <w:rPr>
          <w:rFonts w:ascii="Arial" w:hAnsi="Arial" w:cs="Arial"/>
          <w:lang w:val="es-CO"/>
        </w:rPr>
        <w:t xml:space="preserve">En contraste, el señor </w:t>
      </w:r>
      <w:r w:rsidR="003A6992" w:rsidRPr="00A157A9">
        <w:rPr>
          <w:rFonts w:ascii="Arial" w:hAnsi="Arial" w:cs="Arial"/>
          <w:lang w:val="es-CO"/>
        </w:rPr>
        <w:t xml:space="preserve">DANIEL ARAQUE RUIZ </w:t>
      </w:r>
      <w:r w:rsidRPr="00A157A9">
        <w:rPr>
          <w:rFonts w:ascii="Arial" w:hAnsi="Arial" w:cs="Arial"/>
          <w:lang w:val="es-CO"/>
        </w:rPr>
        <w:t>incurrió en un comportamiento imprudente al conducir una motocicleta de alto cilindraje y gran potencia sin observar los deberes de precaución y cuidado que le eran exigibles. Su conducta, además de ser la única causa eficiente y jurídicamente relevante del daño, fue ejecutada en desarrollo de una actividad riesgosa, lo que refuerza aún más su deber especial de diligencia.</w:t>
      </w:r>
      <w:r w:rsidR="003A6992">
        <w:rPr>
          <w:rFonts w:ascii="Arial" w:hAnsi="Arial" w:cs="Arial"/>
          <w:lang w:val="es-CO"/>
        </w:rPr>
        <w:t xml:space="preserve"> </w:t>
      </w:r>
      <w:r w:rsidRPr="00A157A9">
        <w:rPr>
          <w:rFonts w:ascii="Arial" w:hAnsi="Arial" w:cs="Arial"/>
          <w:lang w:val="es-CO"/>
        </w:rPr>
        <w:t>Por tanto, al haberse configurado la culpa exclusiva de la víctima, se rompe el nexo de causalidad entre la conducta estatal y el daño, lo cual impide imputar responsabilidad al Estado. En consecuencia, debe declararse probada la excepción de mérito formulada en tal sentido y, con base en ello, negarse todas las pretensiones de la demanda por falta de configuración de los elementos esenciales de la responsabilidad extracontractual del Estado.</w:t>
      </w:r>
    </w:p>
    <w:p w14:paraId="2877FA1C" w14:textId="77777777" w:rsidR="00851B07" w:rsidRDefault="00851B07" w:rsidP="00851B07">
      <w:pPr>
        <w:spacing w:line="360" w:lineRule="auto"/>
        <w:jc w:val="both"/>
        <w:rPr>
          <w:rFonts w:ascii="Arial" w:hAnsi="Arial" w:cs="Arial"/>
          <w:b/>
          <w:bCs/>
          <w:lang w:val="es-CO"/>
        </w:rPr>
      </w:pPr>
    </w:p>
    <w:p w14:paraId="54427B6E" w14:textId="77777777" w:rsidR="009E5F57" w:rsidRPr="009E5F57" w:rsidRDefault="009E5F57" w:rsidP="00851B07">
      <w:pPr>
        <w:spacing w:line="360" w:lineRule="auto"/>
        <w:jc w:val="both"/>
        <w:rPr>
          <w:rFonts w:ascii="Arial" w:hAnsi="Arial" w:cs="Arial"/>
          <w:lang w:val="es-CO"/>
        </w:rPr>
      </w:pPr>
    </w:p>
    <w:p w14:paraId="41B8AEE2" w14:textId="2D72E165" w:rsidR="004C129F" w:rsidRDefault="004C129F">
      <w:pPr>
        <w:pStyle w:val="Prrafodelista"/>
        <w:numPr>
          <w:ilvl w:val="0"/>
          <w:numId w:val="3"/>
        </w:numPr>
        <w:spacing w:line="360" w:lineRule="auto"/>
        <w:jc w:val="both"/>
        <w:rPr>
          <w:rFonts w:ascii="Arial" w:hAnsi="Arial" w:cs="Arial"/>
          <w:b/>
          <w:bCs/>
          <w:lang w:val="es-CO"/>
        </w:rPr>
      </w:pPr>
      <w:r w:rsidRPr="004C129F">
        <w:rPr>
          <w:rFonts w:ascii="Arial" w:hAnsi="Arial" w:cs="Arial"/>
          <w:b/>
          <w:bCs/>
          <w:lang w:val="es-CO"/>
        </w:rPr>
        <w:t>EN SUBSIDIO, DEBE RECONOCERSE LA CONCURRENCIA DE CULPAS: EL COMPORTAMIENTO DEL SEÑOR DANIEL ARAQUE RUIZ CONTRIBUYÓ DE MANERA SUSTANCIAL A LA PRODUCCIÓN DEL DAÑO</w:t>
      </w:r>
      <w:r>
        <w:rPr>
          <w:rFonts w:ascii="Arial" w:hAnsi="Arial" w:cs="Arial"/>
          <w:b/>
          <w:bCs/>
          <w:lang w:val="es-CO"/>
        </w:rPr>
        <w:t xml:space="preserve">. </w:t>
      </w:r>
    </w:p>
    <w:p w14:paraId="12E2DEA6" w14:textId="77777777" w:rsidR="004C129F" w:rsidRPr="004C129F" w:rsidRDefault="004C129F" w:rsidP="004C129F">
      <w:pPr>
        <w:pStyle w:val="Prrafodelista"/>
        <w:spacing w:line="360" w:lineRule="auto"/>
        <w:jc w:val="both"/>
        <w:rPr>
          <w:rFonts w:ascii="Arial" w:hAnsi="Arial" w:cs="Arial"/>
          <w:lang w:val="es-CO"/>
        </w:rPr>
      </w:pPr>
    </w:p>
    <w:p w14:paraId="6519DD14" w14:textId="08849F2E" w:rsidR="004C129F" w:rsidRDefault="004C129F" w:rsidP="004C129F">
      <w:pPr>
        <w:spacing w:line="360" w:lineRule="auto"/>
        <w:jc w:val="both"/>
        <w:rPr>
          <w:rFonts w:ascii="Arial" w:hAnsi="Arial" w:cs="Arial"/>
          <w:lang w:val="es-CO"/>
        </w:rPr>
      </w:pPr>
      <w:r w:rsidRPr="004C129F">
        <w:rPr>
          <w:rFonts w:ascii="Arial" w:hAnsi="Arial" w:cs="Arial"/>
          <w:lang w:val="es-CO"/>
        </w:rPr>
        <w:t xml:space="preserve">Ahora bien, en gracia de discusión, y solo en caso de que no se acoja la tesis principal de la culpa exclusiva de la víctima, el despacho deberá valorar, subsidiariamente, la existencia de una concurrencia de culpas entre la conducta del señor DANIEL ARAQUE RUIZ y la supuesta omisión </w:t>
      </w:r>
      <w:r w:rsidRPr="004C129F">
        <w:rPr>
          <w:rFonts w:ascii="Arial" w:hAnsi="Arial" w:cs="Arial"/>
          <w:lang w:val="es-CO"/>
        </w:rPr>
        <w:lastRenderedPageBreak/>
        <w:t>administrativa, lo cual implica una distribución proporcional de la responsabilidad en los términos definidos por la jurisprudencia contencioso administrativa.</w:t>
      </w:r>
    </w:p>
    <w:p w14:paraId="1590A33D" w14:textId="77777777" w:rsidR="004C129F" w:rsidRPr="004C129F" w:rsidRDefault="004C129F" w:rsidP="004C129F">
      <w:pPr>
        <w:spacing w:line="360" w:lineRule="auto"/>
        <w:jc w:val="both"/>
        <w:rPr>
          <w:rFonts w:ascii="Arial" w:hAnsi="Arial" w:cs="Arial"/>
          <w:lang w:val="es-CO"/>
        </w:rPr>
      </w:pPr>
    </w:p>
    <w:p w14:paraId="2BC73AB3" w14:textId="7CFDEFC7" w:rsidR="004C129F" w:rsidRPr="004C129F" w:rsidRDefault="004C129F" w:rsidP="004C129F">
      <w:pPr>
        <w:spacing w:line="360" w:lineRule="auto"/>
        <w:jc w:val="both"/>
        <w:rPr>
          <w:rFonts w:ascii="Arial" w:hAnsi="Arial" w:cs="Arial"/>
          <w:i/>
          <w:iCs/>
          <w:lang w:val="es-CO"/>
        </w:rPr>
      </w:pPr>
      <w:r w:rsidRPr="004C129F">
        <w:rPr>
          <w:rFonts w:ascii="Arial" w:hAnsi="Arial" w:cs="Arial"/>
          <w:lang w:val="es-CO"/>
        </w:rPr>
        <w:t>Sobre este punto, el Consejo de Estado ha sido claro al sostener que cuando existe una contribución directa de la víctima a la producción del daño, debe reconocerse una responsabilidad compartida, lo cual impide trasladar la totalidad del reproche a la entidad demandada. En sentencia del 3 de marzo de 2010, la Sección Tercera (</w:t>
      </w:r>
      <w:proofErr w:type="spellStart"/>
      <w:r w:rsidRPr="004C129F">
        <w:rPr>
          <w:rFonts w:ascii="Arial" w:hAnsi="Arial" w:cs="Arial"/>
          <w:lang w:val="es-CO"/>
        </w:rPr>
        <w:t>Exp</w:t>
      </w:r>
      <w:proofErr w:type="spellEnd"/>
      <w:r w:rsidRPr="004C129F">
        <w:rPr>
          <w:rFonts w:ascii="Arial" w:hAnsi="Arial" w:cs="Arial"/>
          <w:lang w:val="es-CO"/>
        </w:rPr>
        <w:t>. 18.100) afirmó que</w:t>
      </w:r>
      <w:r>
        <w:rPr>
          <w:rFonts w:ascii="Arial" w:hAnsi="Arial" w:cs="Arial"/>
          <w:lang w:val="es-CO"/>
        </w:rPr>
        <w:t xml:space="preserve"> </w:t>
      </w:r>
      <w:r w:rsidRPr="004C129F">
        <w:rPr>
          <w:rFonts w:ascii="Arial" w:hAnsi="Arial" w:cs="Arial"/>
          <w:i/>
          <w:iCs/>
          <w:sz w:val="20"/>
          <w:szCs w:val="20"/>
          <w:lang w:val="es-CO"/>
        </w:rPr>
        <w:t>“</w:t>
      </w:r>
      <w:r w:rsidRPr="004C129F">
        <w:rPr>
          <w:rFonts w:ascii="Arial" w:hAnsi="Arial" w:cs="Arial"/>
          <w:i/>
          <w:iCs/>
          <w:lang w:val="es-CO"/>
        </w:rPr>
        <w:t>Si bien puede encontrarse demostrada una falla del servicio o un riesgo atribuible a la Administración, cuando el daño también ha sido causado, en proporción significativa, por una conducta negligente o imprudente de la víctima, ello impide la atribución total del daño al Estado y conduce a una repartición proporcional de la responsabilidad”.</w:t>
      </w:r>
    </w:p>
    <w:p w14:paraId="380C8532" w14:textId="77777777" w:rsidR="00743F8D" w:rsidRDefault="00743F8D" w:rsidP="004C129F">
      <w:pPr>
        <w:spacing w:line="360" w:lineRule="auto"/>
        <w:jc w:val="both"/>
        <w:rPr>
          <w:rFonts w:ascii="Arial" w:hAnsi="Arial" w:cs="Arial"/>
          <w:lang w:val="es-CO"/>
        </w:rPr>
      </w:pPr>
    </w:p>
    <w:p w14:paraId="0B186B4E" w14:textId="5EE9755E" w:rsidR="004C129F" w:rsidRDefault="00743F8D" w:rsidP="004C129F">
      <w:pPr>
        <w:spacing w:line="360" w:lineRule="auto"/>
        <w:jc w:val="both"/>
        <w:rPr>
          <w:rFonts w:ascii="Arial" w:hAnsi="Arial" w:cs="Arial"/>
          <w:lang w:val="es-CO"/>
        </w:rPr>
      </w:pPr>
      <w:r>
        <w:rPr>
          <w:rFonts w:ascii="Arial" w:hAnsi="Arial" w:cs="Arial"/>
          <w:lang w:val="es-CO"/>
        </w:rPr>
        <w:t>E</w:t>
      </w:r>
      <w:r w:rsidR="004C129F" w:rsidRPr="004C129F">
        <w:rPr>
          <w:rFonts w:ascii="Arial" w:hAnsi="Arial" w:cs="Arial"/>
          <w:lang w:val="es-CO"/>
        </w:rPr>
        <w:t xml:space="preserve">l croquis del IPAT indica que el señor Araque Ruiz circulaba por el carril derecho, mientras que el presunto defecto en la vía se habría ubicado en el carril izquierdo, lo cual rompe la coincidencia espacio-temporal entre el lugar del accidente y la supuesta falla vial. Esta circunstancia refuerza la idea de que, incluso si existiera algún deterioro en la calzada, ello no fue causa única ni </w:t>
      </w:r>
      <w:r>
        <w:rPr>
          <w:rFonts w:ascii="Arial" w:hAnsi="Arial" w:cs="Arial"/>
          <w:lang w:val="es-CO"/>
        </w:rPr>
        <w:t xml:space="preserve">adecuada </w:t>
      </w:r>
      <w:r w:rsidR="004C129F" w:rsidRPr="004C129F">
        <w:rPr>
          <w:rFonts w:ascii="Arial" w:hAnsi="Arial" w:cs="Arial"/>
          <w:lang w:val="es-CO"/>
        </w:rPr>
        <w:t>determinante del accidente.</w:t>
      </w:r>
      <w:r>
        <w:rPr>
          <w:rFonts w:ascii="Arial" w:hAnsi="Arial" w:cs="Arial"/>
          <w:lang w:val="es-CO"/>
        </w:rPr>
        <w:t xml:space="preserve"> </w:t>
      </w:r>
      <w:r w:rsidR="004C129F" w:rsidRPr="004C129F">
        <w:rPr>
          <w:rFonts w:ascii="Arial" w:hAnsi="Arial" w:cs="Arial"/>
          <w:lang w:val="es-CO"/>
        </w:rPr>
        <w:t>En consecuencia, si el despacho llegare a considerar que existió alguna falla del servicio atribuible al INVIAS</w:t>
      </w:r>
      <w:r w:rsidRPr="00743F8D">
        <w:rPr>
          <w:rFonts w:ascii="Arial" w:hAnsi="Arial" w:cs="Arial"/>
          <w:b/>
          <w:bCs/>
          <w:lang w:val="es-CO"/>
        </w:rPr>
        <w:t xml:space="preserve">, </w:t>
      </w:r>
      <w:r w:rsidR="004C129F" w:rsidRPr="004C129F">
        <w:rPr>
          <w:rFonts w:ascii="Arial" w:hAnsi="Arial" w:cs="Arial"/>
          <w:lang w:val="es-CO"/>
        </w:rPr>
        <w:t>no podría imputar la totalidad del daño a la entidad pública, puesto que se encuentra acreditado que el demandante actuó de manera imprudente, contribuyendo de forma sustancial a la producción del resultado lesivo.</w:t>
      </w:r>
    </w:p>
    <w:p w14:paraId="20EC7705" w14:textId="77777777" w:rsidR="00743F8D" w:rsidRPr="004C129F" w:rsidRDefault="00743F8D" w:rsidP="004C129F">
      <w:pPr>
        <w:spacing w:line="360" w:lineRule="auto"/>
        <w:jc w:val="both"/>
        <w:rPr>
          <w:rFonts w:ascii="Arial" w:hAnsi="Arial" w:cs="Arial"/>
          <w:lang w:val="es-CO"/>
        </w:rPr>
      </w:pPr>
    </w:p>
    <w:p w14:paraId="48F04C52" w14:textId="5DFBEBEF" w:rsidR="004C129F" w:rsidRDefault="004C129F" w:rsidP="004C129F">
      <w:pPr>
        <w:spacing w:line="360" w:lineRule="auto"/>
        <w:jc w:val="both"/>
        <w:rPr>
          <w:rFonts w:ascii="Arial" w:hAnsi="Arial" w:cs="Arial"/>
          <w:i/>
          <w:iCs/>
          <w:lang w:val="es-CO"/>
        </w:rPr>
      </w:pPr>
      <w:r w:rsidRPr="004C129F">
        <w:rPr>
          <w:rFonts w:ascii="Arial" w:hAnsi="Arial" w:cs="Arial"/>
          <w:lang w:val="es-CO"/>
        </w:rPr>
        <w:t>Esta concurrencia de culpas debe reflejarse en una reducción proporcional de cualquier eventual condena, en los términos establecidos por el Consejo de Estado, la doctrina de la pérdida de oportunidad, y el principio de equidad que rige la reparación integral.</w:t>
      </w:r>
      <w:r w:rsidR="00743F8D" w:rsidRPr="00743F8D">
        <w:rPr>
          <w:rFonts w:ascii="Arial" w:hAnsi="Arial" w:cs="Arial"/>
          <w:lang w:val="es-CO"/>
        </w:rPr>
        <w:t xml:space="preserve"> </w:t>
      </w:r>
      <w:r w:rsidRPr="004C129F">
        <w:rPr>
          <w:rFonts w:ascii="Arial" w:hAnsi="Arial" w:cs="Arial"/>
          <w:lang w:val="es-CO"/>
        </w:rPr>
        <w:t>Tal como lo estableció la Sección Tercera del Consejo de Estado en sentencia del 6 de mayo de 2010 (</w:t>
      </w:r>
      <w:proofErr w:type="spellStart"/>
      <w:r w:rsidRPr="004C129F">
        <w:rPr>
          <w:rFonts w:ascii="Arial" w:hAnsi="Arial" w:cs="Arial"/>
          <w:lang w:val="es-CO"/>
        </w:rPr>
        <w:t>Exp</w:t>
      </w:r>
      <w:proofErr w:type="spellEnd"/>
      <w:r w:rsidRPr="004C129F">
        <w:rPr>
          <w:rFonts w:ascii="Arial" w:hAnsi="Arial" w:cs="Arial"/>
          <w:lang w:val="es-CO"/>
        </w:rPr>
        <w:t>. 19.370):</w:t>
      </w:r>
      <w:r w:rsidR="00743F8D" w:rsidRPr="00743F8D">
        <w:rPr>
          <w:rFonts w:ascii="Arial" w:hAnsi="Arial" w:cs="Arial"/>
          <w:lang w:val="es-CO"/>
        </w:rPr>
        <w:t xml:space="preserve"> </w:t>
      </w:r>
      <w:r w:rsidRPr="004C129F">
        <w:rPr>
          <w:rFonts w:ascii="Arial" w:hAnsi="Arial" w:cs="Arial"/>
          <w:i/>
          <w:iCs/>
          <w:lang w:val="es-CO"/>
        </w:rPr>
        <w:t>“La existencia de una conducta concurrente atribuible a la víctima obliga al juzgador a reducir proporcionalmente el monto de la indemnización, en función del grado de incidencia causal de dicha conducta en la producción del daño”.</w:t>
      </w:r>
    </w:p>
    <w:p w14:paraId="50B6B7CD" w14:textId="77777777" w:rsidR="00743F8D" w:rsidRPr="004C129F" w:rsidRDefault="00743F8D" w:rsidP="004C129F">
      <w:pPr>
        <w:spacing w:line="360" w:lineRule="auto"/>
        <w:jc w:val="both"/>
        <w:rPr>
          <w:rFonts w:ascii="Arial" w:hAnsi="Arial" w:cs="Arial"/>
          <w:lang w:val="es-CO"/>
        </w:rPr>
      </w:pPr>
    </w:p>
    <w:p w14:paraId="45ACB237" w14:textId="77777777" w:rsidR="004C129F" w:rsidRPr="004C129F" w:rsidRDefault="004C129F" w:rsidP="004C129F">
      <w:pPr>
        <w:spacing w:line="360" w:lineRule="auto"/>
        <w:jc w:val="both"/>
        <w:rPr>
          <w:rFonts w:ascii="Arial" w:hAnsi="Arial" w:cs="Arial"/>
          <w:lang w:val="es-CO"/>
        </w:rPr>
      </w:pPr>
      <w:r w:rsidRPr="004C129F">
        <w:rPr>
          <w:rFonts w:ascii="Arial" w:hAnsi="Arial" w:cs="Arial"/>
          <w:lang w:val="es-CO"/>
        </w:rPr>
        <w:t>La aplicación de este criterio no solo resulta jurídicamente obligatoria, sino que además evita una imputación excesiva o desproporcionada al Estado, en abierta contradicción con los principios de justicia material y responsabilidad objetiva.</w:t>
      </w:r>
    </w:p>
    <w:p w14:paraId="29C9E8C8" w14:textId="77777777" w:rsidR="00743F8D" w:rsidRDefault="00743F8D" w:rsidP="004C129F">
      <w:pPr>
        <w:spacing w:line="360" w:lineRule="auto"/>
        <w:jc w:val="both"/>
        <w:rPr>
          <w:rFonts w:ascii="Arial" w:hAnsi="Arial" w:cs="Arial"/>
          <w:b/>
          <w:bCs/>
          <w:lang w:val="es-CO"/>
        </w:rPr>
      </w:pPr>
    </w:p>
    <w:p w14:paraId="66E0856D" w14:textId="77777777" w:rsidR="00743F8D" w:rsidRDefault="00743F8D" w:rsidP="00743F8D">
      <w:pPr>
        <w:spacing w:line="360" w:lineRule="auto"/>
        <w:jc w:val="both"/>
        <w:rPr>
          <w:rFonts w:ascii="Arial" w:hAnsi="Arial" w:cs="Arial"/>
          <w:lang w:val="es-CO"/>
        </w:rPr>
      </w:pPr>
      <w:r>
        <w:rPr>
          <w:rFonts w:ascii="Arial" w:hAnsi="Arial" w:cs="Arial"/>
          <w:lang w:val="es-CO"/>
        </w:rPr>
        <w:t>Así las cosas</w:t>
      </w:r>
      <w:r w:rsidR="004C129F" w:rsidRPr="004C129F">
        <w:rPr>
          <w:rFonts w:ascii="Arial" w:hAnsi="Arial" w:cs="Arial"/>
          <w:lang w:val="es-CO"/>
        </w:rPr>
        <w:t xml:space="preserve">, si el despacho llegare a considerar hipotéticamente que existió alguna omisión o falla del servicio por parte del INVIAS, ello no exonera de responsabilidad al señor </w:t>
      </w:r>
      <w:r w:rsidRPr="004C129F">
        <w:rPr>
          <w:rFonts w:ascii="Arial" w:hAnsi="Arial" w:cs="Arial"/>
          <w:lang w:val="es-CO"/>
        </w:rPr>
        <w:t>DANIEL ARAQUE RUIZ</w:t>
      </w:r>
      <w:r w:rsidR="004C129F" w:rsidRPr="004C129F">
        <w:rPr>
          <w:rFonts w:ascii="Arial" w:hAnsi="Arial" w:cs="Arial"/>
          <w:lang w:val="es-CO"/>
        </w:rPr>
        <w:t>, quien incurrió en una conducta imprudente y riesgosa que contribuyó de manera directa y significativa al accidente, al margen de cualquier imperfección en la vía.</w:t>
      </w:r>
      <w:r>
        <w:rPr>
          <w:rFonts w:ascii="Arial" w:hAnsi="Arial" w:cs="Arial"/>
          <w:lang w:val="es-CO"/>
        </w:rPr>
        <w:t xml:space="preserve"> </w:t>
      </w:r>
      <w:r w:rsidR="004C129F" w:rsidRPr="004C129F">
        <w:rPr>
          <w:rFonts w:ascii="Arial" w:hAnsi="Arial" w:cs="Arial"/>
          <w:lang w:val="es-CO"/>
        </w:rPr>
        <w:t xml:space="preserve">La existencia de esta culpa concurrente debe ser valorada como un factor de imputación compartida, que rompa la cadena de responsabilidad exclusiva y dé lugar a la reducción proporcional de cualquier condena que pudiera imponerse a la entidad pública. </w:t>
      </w:r>
    </w:p>
    <w:p w14:paraId="49E6547E" w14:textId="616242C3" w:rsidR="004421D1" w:rsidRPr="00743F8D" w:rsidRDefault="00337093">
      <w:pPr>
        <w:pStyle w:val="Prrafodelista"/>
        <w:numPr>
          <w:ilvl w:val="0"/>
          <w:numId w:val="3"/>
        </w:numPr>
        <w:spacing w:line="360" w:lineRule="auto"/>
        <w:jc w:val="both"/>
        <w:rPr>
          <w:rFonts w:ascii="Arial" w:hAnsi="Arial" w:cs="Arial"/>
          <w:b/>
          <w:bCs/>
          <w:lang w:val="es-CO"/>
        </w:rPr>
      </w:pPr>
      <w:r w:rsidRPr="00743F8D">
        <w:rPr>
          <w:rFonts w:ascii="Arial" w:hAnsi="Arial" w:cs="Arial"/>
          <w:b/>
          <w:bCs/>
          <w:lang w:val="es-CO"/>
        </w:rPr>
        <w:lastRenderedPageBreak/>
        <w:t xml:space="preserve">SE ACREDITÓ LA IMPROCEDENCIA Y EXCESIVA TASACIÓN DE LOS PERJUICIOS RECLAMADOS. </w:t>
      </w:r>
    </w:p>
    <w:p w14:paraId="5B466E18" w14:textId="77777777" w:rsidR="00D80CDD" w:rsidRDefault="00D80CDD" w:rsidP="00D058C5">
      <w:pPr>
        <w:spacing w:line="312" w:lineRule="auto"/>
        <w:jc w:val="both"/>
        <w:rPr>
          <w:rFonts w:ascii="Arial" w:hAnsi="Arial" w:cs="Arial"/>
          <w:lang w:val="es-CO"/>
        </w:rPr>
      </w:pPr>
    </w:p>
    <w:p w14:paraId="3C26ACFD" w14:textId="75419498" w:rsidR="00337093" w:rsidRDefault="00337093" w:rsidP="00337093">
      <w:pPr>
        <w:spacing w:line="360" w:lineRule="auto"/>
        <w:jc w:val="both"/>
        <w:rPr>
          <w:rFonts w:ascii="Arial" w:hAnsi="Arial" w:cs="Arial"/>
          <w:lang w:val="es-CO"/>
        </w:rPr>
      </w:pPr>
      <w:r w:rsidRPr="00337093">
        <w:rPr>
          <w:rFonts w:ascii="Arial" w:hAnsi="Arial" w:cs="Arial"/>
          <w:lang w:val="es-CO"/>
        </w:rPr>
        <w:t>Tal como ha quedado expuesto a lo largo del proceso, la pretensión indemnizatoria formulada por la parte actora carece de sustento probatorio sólido y concluyente que permita acreditar, de manera clara, cierta y objetiva, la existencia, magnitud y cuantía del daño alegado. En efecto, conforme a lo dispuesto en el artículo 167 del Código General del Proceso</w:t>
      </w:r>
      <w:r>
        <w:rPr>
          <w:rFonts w:ascii="Arial" w:hAnsi="Arial" w:cs="Arial"/>
          <w:lang w:val="es-CO"/>
        </w:rPr>
        <w:t xml:space="preserve">, </w:t>
      </w:r>
      <w:r w:rsidRPr="00337093">
        <w:rPr>
          <w:rFonts w:ascii="Arial" w:hAnsi="Arial" w:cs="Arial"/>
          <w:lang w:val="es-CO"/>
        </w:rPr>
        <w:t xml:space="preserve">que recoge el principio de </w:t>
      </w:r>
      <w:proofErr w:type="spellStart"/>
      <w:r w:rsidRPr="00337093">
        <w:rPr>
          <w:rFonts w:ascii="Arial" w:hAnsi="Arial" w:cs="Arial"/>
          <w:i/>
          <w:iCs/>
          <w:lang w:val="es-CO"/>
        </w:rPr>
        <w:t>onus</w:t>
      </w:r>
      <w:proofErr w:type="spellEnd"/>
      <w:r w:rsidRPr="00337093">
        <w:rPr>
          <w:rFonts w:ascii="Arial" w:hAnsi="Arial" w:cs="Arial"/>
          <w:i/>
          <w:iCs/>
          <w:lang w:val="es-CO"/>
        </w:rPr>
        <w:t xml:space="preserve"> probandi</w:t>
      </w:r>
      <w:r w:rsidRPr="00337093">
        <w:rPr>
          <w:rFonts w:ascii="Arial" w:hAnsi="Arial" w:cs="Arial"/>
          <w:lang w:val="es-CO"/>
        </w:rPr>
        <w:t>, corresponde a quien afirma un hecho en su favor demostrarlo mediante pruebas idóneas, pertinentes y conducentes. Lo anterior implica que no basta con la simple enunciación de perjuicios para que proceda su reconocimiento: es indispensable demostrar con rigor que el daño efectivamente ocurrió, en qué consistió y cuál es su valor real.</w:t>
      </w:r>
    </w:p>
    <w:p w14:paraId="44A3EC75" w14:textId="77777777" w:rsidR="00E44AC3" w:rsidRDefault="00E44AC3" w:rsidP="00337093">
      <w:pPr>
        <w:spacing w:line="360" w:lineRule="auto"/>
        <w:jc w:val="both"/>
        <w:rPr>
          <w:rFonts w:ascii="Arial" w:hAnsi="Arial" w:cs="Arial"/>
          <w:lang w:val="es-CO"/>
        </w:rPr>
      </w:pPr>
    </w:p>
    <w:p w14:paraId="7B24C779" w14:textId="77777777" w:rsidR="00E44AC3" w:rsidRDefault="00E44AC3" w:rsidP="00E44AC3">
      <w:pPr>
        <w:spacing w:line="360" w:lineRule="auto"/>
        <w:jc w:val="both"/>
        <w:rPr>
          <w:rFonts w:ascii="Arial" w:hAnsi="Arial" w:cs="Arial"/>
          <w:lang w:val="es-CO"/>
        </w:rPr>
      </w:pPr>
      <w:r w:rsidRPr="00E44AC3">
        <w:rPr>
          <w:rFonts w:ascii="Arial" w:hAnsi="Arial" w:cs="Arial"/>
          <w:lang w:val="es-CO"/>
        </w:rPr>
        <w:t>La jurisprudencia contencios</w:t>
      </w:r>
      <w:r>
        <w:rPr>
          <w:rFonts w:ascii="Arial" w:hAnsi="Arial" w:cs="Arial"/>
          <w:lang w:val="es-CO"/>
        </w:rPr>
        <w:t xml:space="preserve">a </w:t>
      </w:r>
      <w:r w:rsidRPr="00E44AC3">
        <w:rPr>
          <w:rFonts w:ascii="Arial" w:hAnsi="Arial" w:cs="Arial"/>
          <w:lang w:val="es-CO"/>
        </w:rPr>
        <w:t xml:space="preserve">administrativa ha sido reiterativa y clara al señalar que </w:t>
      </w:r>
      <w:r w:rsidRPr="00E44AC3">
        <w:rPr>
          <w:rFonts w:ascii="Arial" w:hAnsi="Arial" w:cs="Arial"/>
          <w:b/>
          <w:bCs/>
          <w:lang w:val="es-CO"/>
        </w:rPr>
        <w:t>el daño antijurídico no se presume</w:t>
      </w:r>
      <w:r w:rsidRPr="00E44AC3">
        <w:rPr>
          <w:rFonts w:ascii="Arial" w:hAnsi="Arial" w:cs="Arial"/>
          <w:lang w:val="es-CO"/>
        </w:rPr>
        <w:t xml:space="preserve">, sino que debe estar </w:t>
      </w:r>
      <w:r w:rsidRPr="00E44AC3">
        <w:rPr>
          <w:rFonts w:ascii="Arial" w:hAnsi="Arial" w:cs="Arial"/>
          <w:b/>
          <w:bCs/>
          <w:lang w:val="es-CO"/>
        </w:rPr>
        <w:t>debidamente probado</w:t>
      </w:r>
      <w:r w:rsidRPr="00E44AC3">
        <w:rPr>
          <w:rFonts w:ascii="Arial" w:hAnsi="Arial" w:cs="Arial"/>
          <w:lang w:val="es-CO"/>
        </w:rPr>
        <w:t xml:space="preserve"> dentro del proceso. En tal sentido, el Consejo de Estado, en sentencia del </w:t>
      </w:r>
      <w:r w:rsidRPr="00E44AC3">
        <w:rPr>
          <w:rFonts w:ascii="Arial" w:hAnsi="Arial" w:cs="Arial"/>
          <w:b/>
          <w:bCs/>
          <w:lang w:val="es-CO"/>
        </w:rPr>
        <w:t>21 de marzo de 2012</w:t>
      </w:r>
      <w:r w:rsidRPr="00E44AC3">
        <w:rPr>
          <w:rFonts w:ascii="Arial" w:hAnsi="Arial" w:cs="Arial"/>
          <w:lang w:val="es-CO"/>
        </w:rPr>
        <w:t>, proferida por la Sección Tercera, Subsección A (C.P. Mauricio Fajardo Gómez), reiteró lo siguiente:</w:t>
      </w:r>
      <w:r>
        <w:rPr>
          <w:rFonts w:ascii="Arial" w:hAnsi="Arial" w:cs="Arial"/>
          <w:lang w:val="es-CO"/>
        </w:rPr>
        <w:t xml:space="preserve"> </w:t>
      </w:r>
    </w:p>
    <w:p w14:paraId="64592E4B" w14:textId="77777777" w:rsidR="00E44AC3" w:rsidRDefault="00E44AC3" w:rsidP="00E44AC3">
      <w:pPr>
        <w:spacing w:line="360" w:lineRule="auto"/>
        <w:jc w:val="both"/>
        <w:rPr>
          <w:rFonts w:ascii="Arial" w:hAnsi="Arial" w:cs="Arial"/>
          <w:lang w:val="es-CO"/>
        </w:rPr>
      </w:pPr>
    </w:p>
    <w:p w14:paraId="652CA3A1" w14:textId="4D056DFC" w:rsidR="00E44AC3" w:rsidRPr="00E44AC3" w:rsidRDefault="00E44AC3" w:rsidP="00E44AC3">
      <w:pPr>
        <w:spacing w:line="276" w:lineRule="auto"/>
        <w:ind w:left="708"/>
        <w:jc w:val="both"/>
        <w:rPr>
          <w:rFonts w:ascii="Arial" w:hAnsi="Arial" w:cs="Arial"/>
          <w:i/>
          <w:iCs/>
          <w:sz w:val="20"/>
          <w:szCs w:val="20"/>
          <w:lang w:val="es-CO"/>
        </w:rPr>
      </w:pPr>
      <w:r w:rsidRPr="00E44AC3">
        <w:rPr>
          <w:rFonts w:ascii="Arial" w:hAnsi="Arial" w:cs="Arial"/>
          <w:i/>
          <w:iCs/>
          <w:sz w:val="20"/>
          <w:szCs w:val="20"/>
          <w:lang w:val="es-CO"/>
        </w:rPr>
        <w:t xml:space="preserve">“La sola inferencia o afirmación en la demanda acerca de la ocurrencia de un daño, no resulta suficiente para tenerlo como acreditado, en la medida en que es necesario e indispensable que el demandante respalde tales afirmaciones con el material probatorio suficiente para su comprobación en el proceso. Se recuerda que, de conformidad con el régimen de responsabilidad vigente, </w:t>
      </w:r>
      <w:r w:rsidRPr="00E44AC3">
        <w:rPr>
          <w:rFonts w:ascii="Arial" w:hAnsi="Arial" w:cs="Arial"/>
          <w:b/>
          <w:bCs/>
          <w:i/>
          <w:iCs/>
          <w:sz w:val="20"/>
          <w:szCs w:val="20"/>
          <w:lang w:val="es-CO"/>
        </w:rPr>
        <w:t>el daño no se presume</w:t>
      </w:r>
      <w:r w:rsidRPr="00E44AC3">
        <w:rPr>
          <w:rFonts w:ascii="Arial" w:hAnsi="Arial" w:cs="Arial"/>
          <w:i/>
          <w:iCs/>
          <w:sz w:val="20"/>
          <w:szCs w:val="20"/>
          <w:lang w:val="es-CO"/>
        </w:rPr>
        <w:t>, de manera que quien alega su ocurrencia debe probarlo.”</w:t>
      </w:r>
      <w:r w:rsidRPr="00E44AC3">
        <w:rPr>
          <w:rFonts w:ascii="Arial" w:hAnsi="Arial" w:cs="Arial"/>
          <w:sz w:val="20"/>
          <w:szCs w:val="20"/>
          <w:lang w:val="es-CO"/>
        </w:rPr>
        <w:t xml:space="preserve"> </w:t>
      </w:r>
      <w:r w:rsidRPr="00E44AC3">
        <w:rPr>
          <w:rFonts w:ascii="Arial" w:hAnsi="Arial" w:cs="Arial"/>
          <w:i/>
          <w:iCs/>
          <w:sz w:val="20"/>
          <w:szCs w:val="20"/>
          <w:lang w:val="es-CO"/>
        </w:rPr>
        <w:t>(Subrayas y negrillas fuera del texto original).</w:t>
      </w:r>
    </w:p>
    <w:p w14:paraId="1DE8394A" w14:textId="77777777" w:rsidR="00E44AC3" w:rsidRPr="00E44AC3" w:rsidRDefault="00E44AC3" w:rsidP="00E44AC3">
      <w:pPr>
        <w:spacing w:line="360" w:lineRule="auto"/>
        <w:jc w:val="both"/>
        <w:rPr>
          <w:rFonts w:ascii="Arial" w:hAnsi="Arial" w:cs="Arial"/>
          <w:lang w:val="es-CO"/>
        </w:rPr>
      </w:pPr>
    </w:p>
    <w:p w14:paraId="4FAFF36E" w14:textId="2B65D157" w:rsidR="00E44AC3" w:rsidRPr="00E44AC3" w:rsidRDefault="00E44AC3" w:rsidP="00E44AC3">
      <w:pPr>
        <w:spacing w:line="360" w:lineRule="auto"/>
        <w:jc w:val="both"/>
        <w:rPr>
          <w:rFonts w:ascii="Arial" w:hAnsi="Arial" w:cs="Arial"/>
          <w:lang w:val="es-CO"/>
        </w:rPr>
      </w:pPr>
      <w:r w:rsidRPr="00E44AC3">
        <w:rPr>
          <w:rFonts w:ascii="Arial" w:hAnsi="Arial" w:cs="Arial"/>
          <w:lang w:val="es-CO"/>
        </w:rPr>
        <w:t xml:space="preserve">En el presente proceso, los demandantes no cumplieron con esa carga procesal, ya que se limitaron a enunciar de manera genérica e infundada la existencia de perjuicios, sin allegar elemento probatorio alguno que los sustente. Particularmente, en lo que se refiere a los </w:t>
      </w:r>
      <w:r w:rsidRPr="00E44AC3">
        <w:rPr>
          <w:rFonts w:ascii="Arial" w:hAnsi="Arial" w:cs="Arial"/>
          <w:b/>
          <w:bCs/>
          <w:u w:val="single"/>
          <w:lang w:val="es-CO"/>
        </w:rPr>
        <w:t>perjuicios morales</w:t>
      </w:r>
      <w:r w:rsidRPr="00E44AC3">
        <w:rPr>
          <w:rFonts w:ascii="Arial" w:hAnsi="Arial" w:cs="Arial"/>
          <w:lang w:val="es-CO"/>
        </w:rPr>
        <w:t xml:space="preserve">, estos fueron tasados en la suma de 100 salarios mínimos mensuales legales vigentes (SMLMV) para cada uno de los demandantes, sin que tal estimación obedezca a ningún parámetro objetivo, técnico o jurisprudencial aceptado. Dicha cuantificación desproporcionada no fue acompañada de prueba alguna sobre la intensidad del dolor o aflicción emocional sufrida, ni se acreditó una relación cercana o constante con la víctima que justificara la gravedad del daño moral alegado, especialmente en relación con los hermanos, respecto de los cuales no opera la presunción jurisprudencial de afectación. </w:t>
      </w:r>
    </w:p>
    <w:p w14:paraId="1CB4449B" w14:textId="77777777" w:rsidR="00E44AC3" w:rsidRPr="00E44AC3" w:rsidRDefault="00E44AC3" w:rsidP="00E44AC3">
      <w:pPr>
        <w:spacing w:line="360" w:lineRule="auto"/>
        <w:jc w:val="both"/>
        <w:rPr>
          <w:rFonts w:ascii="Arial" w:hAnsi="Arial" w:cs="Arial"/>
          <w:lang w:val="es-CO"/>
        </w:rPr>
      </w:pPr>
    </w:p>
    <w:p w14:paraId="5E362732" w14:textId="77777777" w:rsidR="00E44AC3" w:rsidRPr="00337093" w:rsidRDefault="00E44AC3" w:rsidP="00E44AC3">
      <w:pPr>
        <w:spacing w:line="360" w:lineRule="auto"/>
        <w:jc w:val="both"/>
        <w:rPr>
          <w:rFonts w:ascii="Arial" w:hAnsi="Arial" w:cs="Arial"/>
          <w:lang w:val="es-CO"/>
        </w:rPr>
      </w:pPr>
      <w:r w:rsidRPr="00E44AC3">
        <w:rPr>
          <w:rFonts w:ascii="Arial" w:hAnsi="Arial" w:cs="Arial"/>
          <w:lang w:val="es-CO"/>
        </w:rPr>
        <w:t>En relación con los perjuicios inmateriales, específicamente los daños morales reclamados</w:t>
      </w:r>
      <w:r w:rsidRPr="00337093">
        <w:rPr>
          <w:rFonts w:ascii="Arial" w:hAnsi="Arial" w:cs="Arial"/>
          <w:lang w:val="es-CO"/>
        </w:rPr>
        <w:t xml:space="preserve"> por la parte demandante, debe advertirse que la cuantificación propuesta carece de criterios objetivos, proporcionales y razonables, y se aparta notoriamente de los parámetros fijados por la jurisprudencia contencios</w:t>
      </w:r>
      <w:r>
        <w:rPr>
          <w:rFonts w:ascii="Arial" w:hAnsi="Arial" w:cs="Arial"/>
          <w:lang w:val="es-CO"/>
        </w:rPr>
        <w:t>a a</w:t>
      </w:r>
      <w:r w:rsidRPr="00337093">
        <w:rPr>
          <w:rFonts w:ascii="Arial" w:hAnsi="Arial" w:cs="Arial"/>
          <w:lang w:val="es-CO"/>
        </w:rPr>
        <w:t xml:space="preserve">dministrativa. Si bien es cierto que el daño moral es de naturaleza extrapatrimonial y que su valoración conlleva un componente subjetivo, ello no habilita a presentar reclamaciones desproporcionadas o infundadas, sin apoyo probatorio ni contexto razonable, máxime cuando la suma solicitada excede considerablemente los límites fijados por el Consejo de </w:t>
      </w:r>
      <w:r w:rsidRPr="00337093">
        <w:rPr>
          <w:rFonts w:ascii="Arial" w:hAnsi="Arial" w:cs="Arial"/>
          <w:lang w:val="es-CO"/>
        </w:rPr>
        <w:lastRenderedPageBreak/>
        <w:t>Estado para casos similares.</w:t>
      </w:r>
    </w:p>
    <w:p w14:paraId="5E8A8CF8" w14:textId="77777777" w:rsidR="00E44AC3" w:rsidRPr="00337093" w:rsidRDefault="00E44AC3" w:rsidP="00E44AC3">
      <w:pPr>
        <w:spacing w:line="360" w:lineRule="auto"/>
        <w:jc w:val="both"/>
        <w:rPr>
          <w:rFonts w:ascii="Arial" w:hAnsi="Arial" w:cs="Arial"/>
          <w:lang w:val="es-CO"/>
        </w:rPr>
      </w:pPr>
    </w:p>
    <w:p w14:paraId="044EDDD7" w14:textId="77777777" w:rsidR="00E44AC3" w:rsidRPr="00337093" w:rsidRDefault="00E44AC3" w:rsidP="00E44AC3">
      <w:pPr>
        <w:spacing w:line="360" w:lineRule="auto"/>
        <w:jc w:val="both"/>
        <w:rPr>
          <w:rFonts w:ascii="Arial" w:hAnsi="Arial" w:cs="Arial"/>
          <w:lang w:val="es-CO"/>
        </w:rPr>
      </w:pPr>
      <w:r w:rsidRPr="00337093">
        <w:rPr>
          <w:rFonts w:ascii="Arial" w:hAnsi="Arial" w:cs="Arial"/>
          <w:lang w:val="es-CO"/>
        </w:rPr>
        <w:t xml:space="preserve">La jurisprudencia ha sido categórica al indicar que la indemnización por daño moral no puede convertirse en una fuente de enriquecimiento injustificado, sino que debe atender a criterios de proporcionalidad, objetividad y seguridad jurídica, tal como lo estableció la Sección Tercera del Consejo de Estado, en sentencia de unificación del 28 de agosto de 2014 (radicado 50001-23-15-000-1999-00326-01 (31172), consejera ponente: Olga </w:t>
      </w:r>
      <w:proofErr w:type="spellStart"/>
      <w:r w:rsidRPr="00337093">
        <w:rPr>
          <w:rFonts w:ascii="Arial" w:hAnsi="Arial" w:cs="Arial"/>
          <w:lang w:val="es-CO"/>
        </w:rPr>
        <w:t>Melida</w:t>
      </w:r>
      <w:proofErr w:type="spellEnd"/>
      <w:r w:rsidRPr="00337093">
        <w:rPr>
          <w:rFonts w:ascii="Arial" w:hAnsi="Arial" w:cs="Arial"/>
          <w:lang w:val="es-CO"/>
        </w:rPr>
        <w:t xml:space="preserve"> Valle de </w:t>
      </w:r>
      <w:proofErr w:type="spellStart"/>
      <w:r w:rsidRPr="00337093">
        <w:rPr>
          <w:rFonts w:ascii="Arial" w:hAnsi="Arial" w:cs="Arial"/>
          <w:lang w:val="es-CO"/>
        </w:rPr>
        <w:t>De</w:t>
      </w:r>
      <w:proofErr w:type="spellEnd"/>
      <w:r w:rsidRPr="00337093">
        <w:rPr>
          <w:rFonts w:ascii="Arial" w:hAnsi="Arial" w:cs="Arial"/>
          <w:lang w:val="es-CO"/>
        </w:rPr>
        <w:t xml:space="preserve"> la Hoz), en la que se fijaron criterios para la tasación de perjuicios morales, según el grado de cercanía con la víctima, la intensidad del vínculo afectivo y la gravedad del hecho.</w:t>
      </w:r>
    </w:p>
    <w:p w14:paraId="29EF5900" w14:textId="77777777" w:rsidR="00E44AC3" w:rsidRPr="00E44AC3" w:rsidRDefault="00E44AC3" w:rsidP="00E44AC3">
      <w:pPr>
        <w:spacing w:line="360" w:lineRule="auto"/>
        <w:jc w:val="both"/>
        <w:rPr>
          <w:rFonts w:ascii="Arial" w:hAnsi="Arial" w:cs="Arial"/>
          <w:lang w:val="es-CO"/>
        </w:rPr>
      </w:pPr>
    </w:p>
    <w:p w14:paraId="2C1AAC16" w14:textId="77777777" w:rsidR="00E44AC3" w:rsidRPr="00E44AC3" w:rsidRDefault="00E44AC3" w:rsidP="00E44AC3">
      <w:pPr>
        <w:spacing w:line="360" w:lineRule="auto"/>
        <w:jc w:val="both"/>
        <w:rPr>
          <w:rFonts w:ascii="Arial" w:hAnsi="Arial" w:cs="Arial"/>
          <w:lang w:val="es-CO"/>
        </w:rPr>
      </w:pPr>
      <w:r w:rsidRPr="00E44AC3">
        <w:rPr>
          <w:rFonts w:ascii="Arial" w:hAnsi="Arial" w:cs="Arial"/>
          <w:lang w:val="es-CO"/>
        </w:rPr>
        <w:t>En consecuencia, no puede concederse indemnización alguna por concepto de perjuicios morales si no se aporta prueba concreta de la existencia y magnitud del dolor experimentado, más aún cuando las sumas reclamadas desbordan los límites jurisprudenciales y carecen de respaldo fáctico y probatorio.</w:t>
      </w:r>
    </w:p>
    <w:p w14:paraId="77A68065" w14:textId="77777777" w:rsidR="00E44AC3" w:rsidRDefault="00E44AC3" w:rsidP="00E44AC3">
      <w:pPr>
        <w:spacing w:line="360" w:lineRule="auto"/>
        <w:jc w:val="both"/>
        <w:rPr>
          <w:rFonts w:ascii="Arial" w:hAnsi="Arial" w:cs="Arial"/>
          <w:lang w:val="es-CO"/>
        </w:rPr>
      </w:pPr>
    </w:p>
    <w:p w14:paraId="45FD7AC7" w14:textId="34DDEE22" w:rsidR="007C4EA9" w:rsidRDefault="007C4EA9" w:rsidP="007C4EA9">
      <w:pPr>
        <w:pStyle w:val="Encabezado"/>
        <w:tabs>
          <w:tab w:val="left" w:pos="2268"/>
        </w:tabs>
        <w:spacing w:line="360" w:lineRule="auto"/>
        <w:jc w:val="both"/>
        <w:rPr>
          <w:rFonts w:ascii="Arial" w:hAnsi="Arial" w:cs="Arial"/>
          <w:bCs/>
        </w:rPr>
      </w:pPr>
      <w:r>
        <w:rPr>
          <w:rFonts w:ascii="Arial" w:hAnsi="Arial" w:cs="Arial"/>
          <w:bCs/>
        </w:rPr>
        <w:t xml:space="preserve">Respecto a los perjuicios reclamados por concepto de </w:t>
      </w:r>
      <w:r w:rsidRPr="007C4EA9">
        <w:rPr>
          <w:rFonts w:ascii="Arial" w:hAnsi="Arial" w:cs="Arial"/>
          <w:b/>
          <w:u w:val="single"/>
        </w:rPr>
        <w:t>vida en relación</w:t>
      </w:r>
      <w:r>
        <w:rPr>
          <w:rFonts w:ascii="Arial" w:hAnsi="Arial" w:cs="Arial"/>
          <w:bCs/>
        </w:rPr>
        <w:t>, me permito señalar que tal reconocimiento resultaría improcedente, em virtud a</w:t>
      </w:r>
      <w:r w:rsidRPr="00B02342">
        <w:rPr>
          <w:rFonts w:ascii="Arial" w:hAnsi="Arial" w:cs="Arial"/>
          <w:bCs/>
        </w:rPr>
        <w:t xml:space="preserve">l Acta del 28 de agosto de 2014 expedida por la Sección Tercera del Consejo de Estado, </w:t>
      </w:r>
      <w:r>
        <w:rPr>
          <w:rFonts w:ascii="Arial" w:hAnsi="Arial" w:cs="Arial"/>
          <w:bCs/>
        </w:rPr>
        <w:t xml:space="preserve">en la que se señala que </w:t>
      </w:r>
      <w:r w:rsidRPr="00B02342">
        <w:rPr>
          <w:rFonts w:ascii="Arial" w:hAnsi="Arial" w:cs="Arial"/>
          <w:bCs/>
        </w:rPr>
        <w:t xml:space="preserve">la tipología del perjuicio inmaterial está integrada por los siguientes perjuicios: daño moral, daño a la salud y la afectación a bienes o derechos constitucional y convencionalmente amparados. En ese orden, </w:t>
      </w:r>
      <w:r>
        <w:rPr>
          <w:rFonts w:ascii="Arial" w:hAnsi="Arial" w:cs="Arial"/>
          <w:bCs/>
        </w:rPr>
        <w:t xml:space="preserve">el despacho no tiene más remedio negar el reconocimiento del referido perjuicio, dado a que </w:t>
      </w:r>
      <w:r w:rsidRPr="00B02342">
        <w:rPr>
          <w:rFonts w:ascii="Arial" w:hAnsi="Arial" w:cs="Arial"/>
          <w:bCs/>
        </w:rPr>
        <w:t>no es procedente reconocer el daño a la vida en relación como perjuicios autónomo, toda vez que de conformidad con la unificación jurisprudencial dictada por dicha Corporación éste adquirió unidad con el daño a la salud y por lo tanto es el único perjuicio indemnizable cuando se pretenda resarcir afectaciones psico físicas</w:t>
      </w:r>
      <w:r>
        <w:rPr>
          <w:rFonts w:ascii="Arial" w:hAnsi="Arial" w:cs="Arial"/>
          <w:bCs/>
        </w:rPr>
        <w:t xml:space="preserve">, el cual tiene una carga probatoria distinta y que en todo caso no ha sido acredita en el </w:t>
      </w:r>
      <w:r w:rsidRPr="007C4EA9">
        <w:rPr>
          <w:rFonts w:ascii="Arial" w:hAnsi="Arial" w:cs="Arial"/>
          <w:bCs/>
          <w:i/>
          <w:iCs/>
        </w:rPr>
        <w:t>sub examine</w:t>
      </w:r>
      <w:r>
        <w:rPr>
          <w:rFonts w:ascii="Arial" w:hAnsi="Arial" w:cs="Arial"/>
          <w:bCs/>
          <w:i/>
          <w:iCs/>
        </w:rPr>
        <w:t xml:space="preserve">. </w:t>
      </w:r>
    </w:p>
    <w:p w14:paraId="285C0B3F" w14:textId="77777777" w:rsidR="007C4EA9" w:rsidRPr="00B02342" w:rsidRDefault="007C4EA9" w:rsidP="007C4EA9">
      <w:pPr>
        <w:pStyle w:val="Encabezado"/>
        <w:tabs>
          <w:tab w:val="left" w:pos="2268"/>
        </w:tabs>
        <w:spacing w:line="360" w:lineRule="auto"/>
        <w:jc w:val="both"/>
        <w:rPr>
          <w:rFonts w:ascii="Arial" w:hAnsi="Arial" w:cs="Arial"/>
          <w:bCs/>
        </w:rPr>
      </w:pPr>
      <w:r>
        <w:rPr>
          <w:rFonts w:ascii="Arial" w:hAnsi="Arial" w:cs="Arial"/>
          <w:bCs/>
        </w:rPr>
        <w:t xml:space="preserve"> </w:t>
      </w:r>
    </w:p>
    <w:p w14:paraId="6E283964" w14:textId="77777777" w:rsidR="007C4EA9" w:rsidRPr="00B02342" w:rsidRDefault="007C4EA9" w:rsidP="007C4EA9">
      <w:pPr>
        <w:pStyle w:val="Encabezado"/>
        <w:tabs>
          <w:tab w:val="left" w:pos="2268"/>
        </w:tabs>
        <w:spacing w:line="360" w:lineRule="auto"/>
        <w:jc w:val="both"/>
        <w:rPr>
          <w:rFonts w:ascii="Arial" w:hAnsi="Arial" w:cs="Arial"/>
          <w:bCs/>
        </w:rPr>
      </w:pPr>
      <w:r w:rsidRPr="00B02342">
        <w:rPr>
          <w:rFonts w:ascii="Arial" w:hAnsi="Arial" w:cs="Arial"/>
          <w:bCs/>
        </w:rPr>
        <w:t>Así las cosas, tenemos que el perjuicio solicitado ya no tiene cabida en nuestro ordenamiento jurídico, como una categoría independiente de daño, por el contrario, se encuentra subsumido en el concepto de daño a la salud. Por tanto, ningún juez administrativo en virtud de la unificación jurisprudencial podrá reconocer esta categoría de perjuicio.</w:t>
      </w:r>
    </w:p>
    <w:p w14:paraId="007FF02C" w14:textId="77777777" w:rsidR="007C4EA9" w:rsidRPr="00E44AC3" w:rsidRDefault="007C4EA9" w:rsidP="00E44AC3">
      <w:pPr>
        <w:spacing w:line="360" w:lineRule="auto"/>
        <w:jc w:val="both"/>
        <w:rPr>
          <w:rFonts w:ascii="Arial" w:hAnsi="Arial" w:cs="Arial"/>
        </w:rPr>
      </w:pPr>
    </w:p>
    <w:p w14:paraId="7A8C6486" w14:textId="40B60C25" w:rsidR="00E44AC3" w:rsidRPr="00E44AC3" w:rsidRDefault="00E44AC3" w:rsidP="00E44AC3">
      <w:pPr>
        <w:spacing w:line="360" w:lineRule="auto"/>
        <w:jc w:val="both"/>
        <w:rPr>
          <w:rFonts w:ascii="Arial" w:hAnsi="Arial" w:cs="Arial"/>
          <w:lang w:val="es-CO"/>
        </w:rPr>
      </w:pPr>
      <w:r w:rsidRPr="00E44AC3">
        <w:rPr>
          <w:rFonts w:ascii="Arial" w:hAnsi="Arial" w:cs="Arial"/>
          <w:lang w:val="es-CO"/>
        </w:rPr>
        <w:t xml:space="preserve">Por otra parte, en cuanto a los </w:t>
      </w:r>
      <w:r w:rsidRPr="00E44AC3">
        <w:rPr>
          <w:rFonts w:ascii="Arial" w:hAnsi="Arial" w:cs="Arial"/>
          <w:b/>
          <w:bCs/>
          <w:u w:val="single"/>
          <w:lang w:val="es-CO"/>
        </w:rPr>
        <w:t>perjuicios materiales</w:t>
      </w:r>
      <w:r w:rsidRPr="00E44AC3">
        <w:rPr>
          <w:rFonts w:ascii="Arial" w:hAnsi="Arial" w:cs="Arial"/>
          <w:lang w:val="es-CO"/>
        </w:rPr>
        <w:t xml:space="preserve">, tampoco obra en el expediente ningún medio probatorio que permita inferir, siquiera de forma indiciaria, la existencia de un daño patrimonial derivado del fallecimiento del señor </w:t>
      </w:r>
      <w:r w:rsidR="00813CBF" w:rsidRPr="00E44AC3">
        <w:rPr>
          <w:rFonts w:ascii="Arial" w:hAnsi="Arial" w:cs="Arial"/>
          <w:lang w:val="es-CO"/>
        </w:rPr>
        <w:t>DANIEL ARAQUE RUIZ</w:t>
      </w:r>
      <w:r w:rsidRPr="00E44AC3">
        <w:rPr>
          <w:rFonts w:ascii="Arial" w:hAnsi="Arial" w:cs="Arial"/>
          <w:lang w:val="es-CO"/>
        </w:rPr>
        <w:t>. No se acreditó que sus padres dependieran económicamente de él, ni se aportaron pruebas de ingresos regulares o gastos concretos en los que hayan incurrido como consecuencia directa del accidente.</w:t>
      </w:r>
      <w:r w:rsidR="00813CBF">
        <w:rPr>
          <w:rFonts w:ascii="Arial" w:hAnsi="Arial" w:cs="Arial"/>
          <w:lang w:val="es-CO"/>
        </w:rPr>
        <w:t xml:space="preserve"> </w:t>
      </w:r>
      <w:r w:rsidRPr="00E44AC3">
        <w:rPr>
          <w:rFonts w:ascii="Arial" w:hAnsi="Arial" w:cs="Arial"/>
          <w:lang w:val="es-CO"/>
        </w:rPr>
        <w:t xml:space="preserve">Mucho menos se ha demostrado que tal supuesto perjuicio patrimonial tenga origen en una conducta atribuible a mi representada, como lo sería una omisión en el deber de señalización de la vía. Al no existir prueba del nexo causal entre una supuesta falla del servicio y los pretendidos perjuicios económicos, resulta </w:t>
      </w:r>
      <w:r w:rsidRPr="00E44AC3">
        <w:rPr>
          <w:rFonts w:ascii="Arial" w:hAnsi="Arial" w:cs="Arial"/>
          <w:lang w:val="es-CO"/>
        </w:rPr>
        <w:lastRenderedPageBreak/>
        <w:t>inviable cualquier reconocimiento indemnizatorio.</w:t>
      </w:r>
    </w:p>
    <w:p w14:paraId="570847E3" w14:textId="77777777" w:rsidR="00813CBF" w:rsidRDefault="00813CBF" w:rsidP="00E44AC3">
      <w:pPr>
        <w:spacing w:line="360" w:lineRule="auto"/>
        <w:jc w:val="both"/>
        <w:rPr>
          <w:rFonts w:ascii="Arial" w:hAnsi="Arial" w:cs="Arial"/>
          <w:b/>
          <w:bCs/>
          <w:lang w:val="es-CO"/>
        </w:rPr>
      </w:pPr>
    </w:p>
    <w:p w14:paraId="0EF8FBC8" w14:textId="69E6D028" w:rsidR="00E44AC3" w:rsidRPr="00E44AC3" w:rsidRDefault="00813CBF" w:rsidP="00E44AC3">
      <w:pPr>
        <w:spacing w:line="360" w:lineRule="auto"/>
        <w:jc w:val="both"/>
        <w:rPr>
          <w:rFonts w:ascii="Arial" w:hAnsi="Arial" w:cs="Arial"/>
          <w:lang w:val="es-CO"/>
        </w:rPr>
      </w:pPr>
      <w:r w:rsidRPr="00813CBF">
        <w:rPr>
          <w:rFonts w:ascii="Arial" w:hAnsi="Arial" w:cs="Arial"/>
          <w:lang w:val="es-CO"/>
        </w:rPr>
        <w:t>En ese orden,</w:t>
      </w:r>
      <w:r>
        <w:rPr>
          <w:rFonts w:ascii="Arial" w:hAnsi="Arial" w:cs="Arial"/>
          <w:b/>
          <w:bCs/>
          <w:lang w:val="es-CO"/>
        </w:rPr>
        <w:t xml:space="preserve"> </w:t>
      </w:r>
      <w:r w:rsidR="00E44AC3" w:rsidRPr="00E44AC3">
        <w:rPr>
          <w:rFonts w:ascii="Arial" w:hAnsi="Arial" w:cs="Arial"/>
          <w:lang w:val="es-CO"/>
        </w:rPr>
        <w:t>además de no haberse probado responsabilidad administrativa alguna a cargo de mi representada, los demandantes tampoco lograron acreditar la existencia real, cierta y jurídicamente relevante de los perjuicios que alegan haber sufrido. Su pretensión indemnizatoria se basa en afirmaciones genéricas, en valoraciones subjetivas carentes de sustento probatorio y en montos arbitrarios que desconocen abiertamente los criterios establecidos por la jurisprudencia del Consejo de Estado.</w:t>
      </w:r>
      <w:r>
        <w:rPr>
          <w:rFonts w:ascii="Arial" w:hAnsi="Arial" w:cs="Arial"/>
          <w:lang w:val="es-CO"/>
        </w:rPr>
        <w:t xml:space="preserve"> </w:t>
      </w:r>
      <w:r w:rsidR="00E44AC3" w:rsidRPr="00E44AC3">
        <w:rPr>
          <w:rFonts w:ascii="Arial" w:hAnsi="Arial" w:cs="Arial"/>
          <w:lang w:val="es-CO"/>
        </w:rPr>
        <w:t>En virtud de todo lo anterior, solicito al despacho que declare probada la excepción consistente en la ausencia de prueba de los perjuicios</w:t>
      </w:r>
      <w:r>
        <w:rPr>
          <w:rFonts w:ascii="Arial" w:hAnsi="Arial" w:cs="Arial"/>
          <w:lang w:val="es-CO"/>
        </w:rPr>
        <w:t xml:space="preserve"> presentada desde el escrito de contestación de demanda</w:t>
      </w:r>
      <w:r w:rsidR="00E44AC3" w:rsidRPr="00E44AC3">
        <w:rPr>
          <w:rFonts w:ascii="Arial" w:hAnsi="Arial" w:cs="Arial"/>
          <w:lang w:val="es-CO"/>
        </w:rPr>
        <w:t>, y, en consecuencia, se nieguen las pretensiones de la demanda.</w:t>
      </w:r>
    </w:p>
    <w:p w14:paraId="77860CB4" w14:textId="77777777" w:rsidR="00337093" w:rsidRDefault="00337093" w:rsidP="00337093">
      <w:pPr>
        <w:spacing w:line="360" w:lineRule="auto"/>
        <w:jc w:val="both"/>
        <w:rPr>
          <w:rFonts w:ascii="Arial" w:hAnsi="Arial" w:cs="Arial"/>
          <w:lang w:val="es-CO"/>
        </w:rPr>
      </w:pPr>
    </w:p>
    <w:p w14:paraId="5714FA1B" w14:textId="77777777" w:rsidR="000D306A" w:rsidRPr="000D306A" w:rsidRDefault="000D306A" w:rsidP="000D306A">
      <w:pPr>
        <w:spacing w:line="312" w:lineRule="auto"/>
        <w:jc w:val="right"/>
        <w:rPr>
          <w:rFonts w:ascii="Arial" w:hAnsi="Arial" w:cs="Arial"/>
          <w:lang w:val="es-CO"/>
        </w:rPr>
      </w:pPr>
    </w:p>
    <w:p w14:paraId="44CA7736" w14:textId="3382B61A" w:rsidR="00151067" w:rsidRDefault="00F36A78" w:rsidP="00C5305A">
      <w:pPr>
        <w:spacing w:line="360" w:lineRule="auto"/>
        <w:jc w:val="center"/>
        <w:rPr>
          <w:rFonts w:ascii="Arial" w:eastAsiaTheme="minorHAnsi" w:hAnsi="Arial" w:cs="Arial"/>
          <w:color w:val="000000"/>
          <w:sz w:val="24"/>
          <w:szCs w:val="24"/>
          <w:lang w:val="es-CO"/>
        </w:rPr>
      </w:pPr>
      <w:r w:rsidRPr="00BD7F61">
        <w:rPr>
          <w:rFonts w:ascii="Arial" w:hAnsi="Arial" w:cs="Arial"/>
          <w:b/>
          <w:bCs/>
          <w:u w:val="single"/>
          <w:lang w:val="es-CO"/>
        </w:rPr>
        <w:t>CAPÍTULO III. ANÁLISIS FRENTE AL LLAMAMIENTO EN GARANTÍA REALIZADO POR</w:t>
      </w:r>
      <w:r w:rsidR="00C5305A">
        <w:rPr>
          <w:rFonts w:ascii="Arial" w:hAnsi="Arial" w:cs="Arial"/>
          <w:b/>
          <w:bCs/>
          <w:u w:val="single"/>
          <w:lang w:val="es-CO"/>
        </w:rPr>
        <w:t xml:space="preserve"> </w:t>
      </w:r>
      <w:r w:rsidR="0051599F">
        <w:rPr>
          <w:rFonts w:ascii="Arial" w:hAnsi="Arial" w:cs="Arial"/>
          <w:b/>
          <w:bCs/>
          <w:u w:val="single"/>
          <w:lang w:val="es-CO"/>
        </w:rPr>
        <w:t xml:space="preserve">EL </w:t>
      </w:r>
      <w:r w:rsidR="00813CBF" w:rsidRPr="00813CBF">
        <w:rPr>
          <w:rFonts w:ascii="Arial" w:hAnsi="Arial" w:cs="Arial"/>
          <w:b/>
          <w:bCs/>
          <w:u w:val="single"/>
          <w:lang w:val="es-CO"/>
        </w:rPr>
        <w:t>INSTITUTO NACIONAL DE VÍAS – INVÍAS</w:t>
      </w:r>
      <w:r w:rsidR="00813CBF">
        <w:rPr>
          <w:rFonts w:ascii="Arial" w:hAnsi="Arial" w:cs="Arial"/>
          <w:b/>
          <w:bCs/>
          <w:u w:val="single"/>
          <w:lang w:val="es-CO"/>
        </w:rPr>
        <w:t xml:space="preserve">. </w:t>
      </w:r>
    </w:p>
    <w:p w14:paraId="03D2A711" w14:textId="77777777" w:rsidR="00823018" w:rsidRPr="00BD7F61" w:rsidRDefault="00823018" w:rsidP="00C5305A">
      <w:pPr>
        <w:spacing w:line="360" w:lineRule="auto"/>
        <w:jc w:val="center"/>
        <w:rPr>
          <w:rFonts w:ascii="Arial" w:eastAsiaTheme="minorHAnsi" w:hAnsi="Arial" w:cs="Arial"/>
          <w:color w:val="000000"/>
          <w:sz w:val="24"/>
          <w:szCs w:val="24"/>
          <w:lang w:val="es-CO"/>
        </w:rPr>
      </w:pPr>
    </w:p>
    <w:p w14:paraId="3148EB81" w14:textId="50CBE2E7" w:rsidR="006B444F" w:rsidRPr="00E376F1" w:rsidRDefault="006B444F">
      <w:pPr>
        <w:pStyle w:val="Prrafodelista"/>
        <w:widowControl/>
        <w:numPr>
          <w:ilvl w:val="0"/>
          <w:numId w:val="2"/>
        </w:numPr>
        <w:adjustRightInd w:val="0"/>
        <w:spacing w:line="360" w:lineRule="auto"/>
        <w:jc w:val="both"/>
        <w:rPr>
          <w:rFonts w:ascii="Arial" w:eastAsiaTheme="minorHAnsi" w:hAnsi="Arial" w:cs="Arial"/>
          <w:b/>
          <w:bCs/>
          <w:color w:val="000000"/>
          <w:lang w:val="es-CO"/>
        </w:rPr>
      </w:pPr>
      <w:r w:rsidRPr="00E376F1">
        <w:rPr>
          <w:rFonts w:ascii="Arial" w:eastAsiaTheme="minorHAnsi" w:hAnsi="Arial" w:cs="Arial"/>
          <w:b/>
          <w:bCs/>
          <w:color w:val="000000"/>
          <w:lang w:val="es-CO"/>
        </w:rPr>
        <w:t>NO SE CONFIGURÓ EL SINIESTRO POR AUSENCIA DE RESPONSABILIDAD DEL ASEGURADO: NO OPERA LA OBLIGACIÓN INDEMNIZATORIA</w:t>
      </w:r>
    </w:p>
    <w:p w14:paraId="5A690957" w14:textId="77777777" w:rsidR="006B444F" w:rsidRPr="006E735C" w:rsidRDefault="006B444F" w:rsidP="00BD7F61">
      <w:pPr>
        <w:pStyle w:val="Prrafodelista"/>
        <w:widowControl/>
        <w:adjustRightInd w:val="0"/>
        <w:jc w:val="both"/>
        <w:rPr>
          <w:rFonts w:ascii="Arial" w:eastAsiaTheme="minorHAnsi" w:hAnsi="Arial" w:cs="Arial"/>
          <w:color w:val="000000"/>
          <w:lang w:val="es-CO"/>
        </w:rPr>
      </w:pPr>
    </w:p>
    <w:p w14:paraId="775058CA" w14:textId="77777777" w:rsidR="006E735C" w:rsidRDefault="006E735C" w:rsidP="006E735C">
      <w:pPr>
        <w:widowControl/>
        <w:adjustRightInd w:val="0"/>
        <w:spacing w:line="360" w:lineRule="auto"/>
        <w:jc w:val="both"/>
        <w:rPr>
          <w:rFonts w:ascii="Arial" w:eastAsiaTheme="minorHAnsi" w:hAnsi="Arial" w:cs="Arial"/>
          <w:color w:val="000000"/>
          <w:lang w:val="es-CO"/>
        </w:rPr>
      </w:pPr>
      <w:r w:rsidRPr="006E735C">
        <w:rPr>
          <w:rFonts w:ascii="Arial" w:eastAsiaTheme="minorHAnsi" w:hAnsi="Arial" w:cs="Arial"/>
          <w:color w:val="000000"/>
          <w:lang w:val="es-CO"/>
        </w:rPr>
        <w:t>En el presente proceso, resulta imprescindible destacar que no se configuró el riesgo asegurado contemplado en la póliza invocada, razón por la cual no es posible activar la cobertura ni imponer obligación alguna a mi representada en su calidad de aseguradora. Esta circunstancia es determinante, pues en los seguros de responsabilidad civil, la obligación de la aseguradora de indemnizar no es automática, sino que tiene un carácter condicional, en tanto depende de la realización efectiva del evento cubierto y del cumplimiento íntegro de los términos y condiciones contractualmente pactados.</w:t>
      </w:r>
    </w:p>
    <w:p w14:paraId="5F61ADFC" w14:textId="77777777" w:rsidR="006E735C" w:rsidRPr="006E735C" w:rsidRDefault="006E735C" w:rsidP="006E735C">
      <w:pPr>
        <w:widowControl/>
        <w:adjustRightInd w:val="0"/>
        <w:spacing w:line="360" w:lineRule="auto"/>
        <w:jc w:val="both"/>
        <w:rPr>
          <w:rFonts w:ascii="Arial" w:eastAsiaTheme="minorHAnsi" w:hAnsi="Arial" w:cs="Arial"/>
          <w:color w:val="000000"/>
          <w:lang w:val="es-CO"/>
        </w:rPr>
      </w:pPr>
    </w:p>
    <w:p w14:paraId="5179740D" w14:textId="77777777" w:rsidR="006E735C" w:rsidRDefault="006E735C" w:rsidP="006E735C">
      <w:pPr>
        <w:widowControl/>
        <w:adjustRightInd w:val="0"/>
        <w:spacing w:line="360" w:lineRule="auto"/>
        <w:jc w:val="both"/>
        <w:rPr>
          <w:rFonts w:ascii="Arial" w:eastAsiaTheme="minorHAnsi" w:hAnsi="Arial" w:cs="Arial"/>
          <w:color w:val="000000"/>
          <w:lang w:val="es-CO"/>
        </w:rPr>
      </w:pPr>
      <w:r w:rsidRPr="006E735C">
        <w:rPr>
          <w:rFonts w:ascii="Arial" w:eastAsiaTheme="minorHAnsi" w:hAnsi="Arial" w:cs="Arial"/>
          <w:color w:val="000000"/>
          <w:lang w:val="es-CO"/>
        </w:rPr>
        <w:t xml:space="preserve">Sobre la naturaleza, alcance y objeto del contrato de seguro, el Consejo de Estado ha sido categórico. En múltiples pronunciamientos ha señalado que el seguro constituye un instrumento de transferencia y cobertura del riesgo, definido como un suceso incierto que, una vez acaecido y siempre que se den los requisitos legales y contractuales, genera la obligación de indemnizar por parte del asegurador. </w:t>
      </w:r>
    </w:p>
    <w:p w14:paraId="50071EC7" w14:textId="399E6F2B" w:rsidR="006E735C" w:rsidRDefault="006E735C" w:rsidP="006E735C">
      <w:pPr>
        <w:widowControl/>
        <w:adjustRightInd w:val="0"/>
        <w:spacing w:line="360" w:lineRule="auto"/>
        <w:jc w:val="both"/>
        <w:rPr>
          <w:rFonts w:ascii="Arial" w:eastAsiaTheme="minorHAnsi" w:hAnsi="Arial" w:cs="Arial"/>
          <w:color w:val="000000"/>
          <w:lang w:val="es-CO"/>
        </w:rPr>
      </w:pPr>
      <w:r>
        <w:rPr>
          <w:rFonts w:ascii="Arial" w:eastAsiaTheme="minorHAnsi" w:hAnsi="Arial" w:cs="Arial"/>
          <w:color w:val="000000"/>
          <w:lang w:val="es-CO"/>
        </w:rPr>
        <w:t xml:space="preserve"> </w:t>
      </w:r>
    </w:p>
    <w:p w14:paraId="165F6A73" w14:textId="77777777" w:rsidR="006E735C" w:rsidRDefault="006E735C" w:rsidP="006E735C">
      <w:pPr>
        <w:widowControl/>
        <w:adjustRightInd w:val="0"/>
        <w:spacing w:line="360" w:lineRule="auto"/>
        <w:jc w:val="both"/>
        <w:rPr>
          <w:rFonts w:ascii="Arial" w:eastAsiaTheme="minorHAnsi" w:hAnsi="Arial" w:cs="Arial"/>
          <w:color w:val="000000"/>
          <w:lang w:val="es-CO"/>
        </w:rPr>
      </w:pPr>
      <w:r w:rsidRPr="00AA76AB">
        <w:rPr>
          <w:rFonts w:ascii="Arial" w:eastAsiaTheme="minorHAnsi" w:hAnsi="Arial" w:cs="Arial"/>
          <w:color w:val="000000"/>
          <w:lang w:val="es-CO"/>
        </w:rPr>
        <w:t xml:space="preserve">El </w:t>
      </w:r>
      <w:r w:rsidRPr="005A2E88">
        <w:rPr>
          <w:rFonts w:ascii="Arial" w:eastAsiaTheme="minorHAnsi" w:hAnsi="Arial" w:cs="Arial"/>
          <w:color w:val="000000"/>
          <w:lang w:val="es-CO"/>
        </w:rPr>
        <w:t>Consejo de Estado</w:t>
      </w:r>
      <w:r w:rsidRPr="00AA76AB">
        <w:rPr>
          <w:rFonts w:ascii="Arial" w:eastAsiaTheme="minorHAnsi" w:hAnsi="Arial" w:cs="Arial"/>
          <w:color w:val="000000"/>
          <w:lang w:val="es-CO"/>
        </w:rPr>
        <w:t xml:space="preserve"> ha sido enfático en definir la naturaleza, alcance y objeto del contrato de seguro, señalando:</w:t>
      </w:r>
    </w:p>
    <w:p w14:paraId="658384BC" w14:textId="77777777" w:rsidR="006E735C" w:rsidRPr="00AA76AB" w:rsidRDefault="006E735C" w:rsidP="006E735C">
      <w:pPr>
        <w:widowControl/>
        <w:adjustRightInd w:val="0"/>
        <w:spacing w:line="360" w:lineRule="auto"/>
        <w:jc w:val="both"/>
        <w:rPr>
          <w:rFonts w:ascii="Arial" w:eastAsiaTheme="minorHAnsi" w:hAnsi="Arial" w:cs="Arial"/>
          <w:color w:val="000000"/>
          <w:lang w:val="es-CO"/>
        </w:rPr>
      </w:pPr>
    </w:p>
    <w:p w14:paraId="0187FAAA" w14:textId="77777777" w:rsidR="006E735C" w:rsidRPr="006E735C" w:rsidRDefault="006E735C" w:rsidP="006E735C">
      <w:pPr>
        <w:widowControl/>
        <w:adjustRightInd w:val="0"/>
        <w:spacing w:line="276" w:lineRule="auto"/>
        <w:ind w:left="708"/>
        <w:jc w:val="both"/>
        <w:rPr>
          <w:rFonts w:ascii="Arial" w:eastAsiaTheme="minorHAnsi" w:hAnsi="Arial" w:cs="Arial"/>
          <w:color w:val="000000"/>
          <w:sz w:val="20"/>
          <w:szCs w:val="20"/>
          <w:lang w:val="es-CO"/>
        </w:rPr>
      </w:pPr>
      <w:r w:rsidRPr="006E735C">
        <w:rPr>
          <w:rFonts w:ascii="Arial" w:eastAsiaTheme="minorHAnsi" w:hAnsi="Arial" w:cs="Arial"/>
          <w:i/>
          <w:iCs/>
          <w:color w:val="000000"/>
          <w:sz w:val="20"/>
          <w:szCs w:val="20"/>
          <w:lang w:val="es-CO"/>
        </w:rPr>
        <w:t xml:space="preserve">“El Código de Comercio no define el contrato de seguro, pero puede decirse que es aquel por medio del cual una persona legalmente autorizada para ejercer esta actividad, ‘asume los riesgos ajenos mediante una prima fijada anticipadamente’; </w:t>
      </w:r>
      <w:proofErr w:type="gramStart"/>
      <w:r w:rsidRPr="006E735C">
        <w:rPr>
          <w:rFonts w:ascii="Arial" w:eastAsiaTheme="minorHAnsi" w:hAnsi="Arial" w:cs="Arial"/>
          <w:i/>
          <w:iCs/>
          <w:color w:val="000000"/>
          <w:sz w:val="20"/>
          <w:szCs w:val="20"/>
          <w:lang w:val="es-CO"/>
        </w:rPr>
        <w:t>o</w:t>
      </w:r>
      <w:proofErr w:type="gramEnd"/>
      <w:r w:rsidRPr="006E735C">
        <w:rPr>
          <w:rFonts w:ascii="Arial" w:eastAsiaTheme="minorHAnsi" w:hAnsi="Arial" w:cs="Arial"/>
          <w:i/>
          <w:iCs/>
          <w:color w:val="000000"/>
          <w:sz w:val="20"/>
          <w:szCs w:val="20"/>
          <w:lang w:val="es-CO"/>
        </w:rPr>
        <w:t xml:space="preserve"> dicho en otras palabras, es aquel contrato por el cual ‘una parte, el asegurado, se hace prometer mediante una remuneración, la prima, para él o para un tercero, en caso de realización de un riesgo, una prestación por la otra parte, el asegurador’ (...). Se trata de un mecanismo de protección frente a múltiples riesgos que pueden afectar el patrimonio de las personas y que pueden ser asumidos por el asegurador, quien se compromete a pagar una </w:t>
      </w:r>
      <w:r w:rsidRPr="006E735C">
        <w:rPr>
          <w:rFonts w:ascii="Arial" w:eastAsiaTheme="minorHAnsi" w:hAnsi="Arial" w:cs="Arial"/>
          <w:i/>
          <w:iCs/>
          <w:color w:val="000000"/>
          <w:sz w:val="20"/>
          <w:szCs w:val="20"/>
          <w:lang w:val="es-CO"/>
        </w:rPr>
        <w:lastRenderedPageBreak/>
        <w:t>indemnización en caso de realizarse tal riesgo -lo que se traduce en la producción del siniestro- a cambio del pago de una determinada suma de dinero, denominada prima.”</w:t>
      </w:r>
      <w:r w:rsidRPr="006E735C">
        <w:rPr>
          <w:rStyle w:val="Refdenotaalpie"/>
          <w:rFonts w:ascii="Arial" w:eastAsiaTheme="minorHAnsi" w:hAnsi="Arial" w:cs="Arial"/>
          <w:i/>
          <w:iCs/>
          <w:color w:val="000000"/>
          <w:sz w:val="20"/>
          <w:szCs w:val="20"/>
          <w:lang w:val="es-CO"/>
        </w:rPr>
        <w:footnoteReference w:id="4"/>
      </w:r>
    </w:p>
    <w:p w14:paraId="498620A0" w14:textId="77777777" w:rsidR="006E735C" w:rsidRDefault="006E735C" w:rsidP="006E735C">
      <w:pPr>
        <w:widowControl/>
        <w:adjustRightInd w:val="0"/>
        <w:spacing w:line="360" w:lineRule="auto"/>
        <w:jc w:val="both"/>
        <w:rPr>
          <w:rFonts w:ascii="Arial" w:eastAsiaTheme="minorHAnsi" w:hAnsi="Arial" w:cs="Arial"/>
          <w:color w:val="000000"/>
          <w:lang w:val="es-CO"/>
        </w:rPr>
      </w:pPr>
    </w:p>
    <w:p w14:paraId="1D2131B6" w14:textId="3C349D5F" w:rsidR="006E735C" w:rsidRDefault="006E735C" w:rsidP="006E735C">
      <w:pPr>
        <w:widowControl/>
        <w:adjustRightInd w:val="0"/>
        <w:spacing w:line="360" w:lineRule="auto"/>
        <w:jc w:val="both"/>
        <w:rPr>
          <w:rFonts w:ascii="Arial" w:eastAsiaTheme="minorHAnsi" w:hAnsi="Arial" w:cs="Arial"/>
          <w:color w:val="000000"/>
          <w:lang w:val="es-CO"/>
        </w:rPr>
      </w:pPr>
      <w:r w:rsidRPr="006E735C">
        <w:rPr>
          <w:rFonts w:ascii="Arial" w:eastAsiaTheme="minorHAnsi" w:hAnsi="Arial" w:cs="Arial"/>
          <w:color w:val="000000"/>
          <w:lang w:val="es-CO"/>
        </w:rPr>
        <w:t>Este enfoque coincide con lo dispuesto en el artículo 1054 del Código de Comercio, que define el riesgo asegurado como “el suceso incierto que no depende exclusivamente de la voluntad del tomador, del asegurado o del beneficiario, y cuya realización da origen a la obligación del asegurador.” Es decir, el contrato de seguro se encuentra sometido a una condición suspensiva (artículo 1536 del Código Civil), y solo cuando el riesgo previsto se realiza efectivamente, surge para el asegurador el deber de indemnizar.</w:t>
      </w:r>
    </w:p>
    <w:p w14:paraId="0ADB8525" w14:textId="77777777" w:rsidR="006E735C" w:rsidRPr="006E735C" w:rsidRDefault="006E735C" w:rsidP="006E735C">
      <w:pPr>
        <w:widowControl/>
        <w:adjustRightInd w:val="0"/>
        <w:spacing w:line="360" w:lineRule="auto"/>
        <w:jc w:val="both"/>
        <w:rPr>
          <w:rFonts w:ascii="Arial" w:eastAsiaTheme="minorHAnsi" w:hAnsi="Arial" w:cs="Arial"/>
          <w:color w:val="000000"/>
          <w:lang w:val="es-CO"/>
        </w:rPr>
      </w:pPr>
    </w:p>
    <w:p w14:paraId="5A901C36" w14:textId="197EA545" w:rsidR="006E735C" w:rsidRDefault="006E735C" w:rsidP="006E735C">
      <w:pPr>
        <w:widowControl/>
        <w:adjustRightInd w:val="0"/>
        <w:spacing w:line="360" w:lineRule="auto"/>
        <w:jc w:val="both"/>
        <w:rPr>
          <w:rFonts w:ascii="Arial" w:eastAsiaTheme="minorHAnsi" w:hAnsi="Arial" w:cs="Arial"/>
          <w:i/>
          <w:iCs/>
          <w:color w:val="000000"/>
          <w:lang w:val="es-CO"/>
        </w:rPr>
      </w:pPr>
      <w:r w:rsidRPr="006E735C">
        <w:rPr>
          <w:rFonts w:ascii="Arial" w:eastAsiaTheme="minorHAnsi" w:hAnsi="Arial" w:cs="Arial"/>
          <w:color w:val="000000"/>
          <w:lang w:val="es-CO"/>
        </w:rPr>
        <w:t xml:space="preserve">En la misma línea, la Sala de Casación Civil de la Corte Suprema de Justicia ha señalado que las condiciones generales y particulares de la póliza constituyen el eje estructural de la relación </w:t>
      </w:r>
      <w:proofErr w:type="spellStart"/>
      <w:r w:rsidRPr="006E735C">
        <w:rPr>
          <w:rFonts w:ascii="Arial" w:eastAsiaTheme="minorHAnsi" w:hAnsi="Arial" w:cs="Arial"/>
          <w:color w:val="000000"/>
          <w:lang w:val="es-CO"/>
        </w:rPr>
        <w:t>asegurativa</w:t>
      </w:r>
      <w:proofErr w:type="spellEnd"/>
      <w:r w:rsidRPr="006E735C">
        <w:rPr>
          <w:rFonts w:ascii="Arial" w:eastAsiaTheme="minorHAnsi" w:hAnsi="Arial" w:cs="Arial"/>
          <w:color w:val="000000"/>
          <w:lang w:val="es-CO"/>
        </w:rPr>
        <w:t>, en tanto determinan el alcance del riesgo cubierto y regulan los derechos y obligaciones de las partes. Ha expresado:</w:t>
      </w:r>
      <w:r>
        <w:rPr>
          <w:rFonts w:ascii="Arial" w:eastAsiaTheme="minorHAnsi" w:hAnsi="Arial" w:cs="Arial"/>
          <w:color w:val="000000"/>
          <w:lang w:val="es-CO"/>
        </w:rPr>
        <w:t xml:space="preserve"> </w:t>
      </w:r>
      <w:r w:rsidRPr="006E735C">
        <w:rPr>
          <w:rFonts w:ascii="Arial" w:eastAsiaTheme="minorHAnsi" w:hAnsi="Arial" w:cs="Arial"/>
          <w:i/>
          <w:iCs/>
          <w:color w:val="000000"/>
          <w:lang w:val="es-CO"/>
        </w:rPr>
        <w:t xml:space="preserve">“(…) las condiciones generales y particulares de la póliza constituyen la columna vertebral de la relación </w:t>
      </w:r>
      <w:proofErr w:type="spellStart"/>
      <w:r w:rsidRPr="006E735C">
        <w:rPr>
          <w:rFonts w:ascii="Arial" w:eastAsiaTheme="minorHAnsi" w:hAnsi="Arial" w:cs="Arial"/>
          <w:i/>
          <w:iCs/>
          <w:color w:val="000000"/>
          <w:lang w:val="es-CO"/>
        </w:rPr>
        <w:t>asegurativa</w:t>
      </w:r>
      <w:proofErr w:type="spellEnd"/>
      <w:r w:rsidRPr="006E735C">
        <w:rPr>
          <w:rFonts w:ascii="Arial" w:eastAsiaTheme="minorHAnsi" w:hAnsi="Arial" w:cs="Arial"/>
          <w:i/>
          <w:iCs/>
          <w:color w:val="000000"/>
          <w:lang w:val="es-CO"/>
        </w:rPr>
        <w:t xml:space="preserve"> y, junto con las demás estipulaciones contractuales, delimitan la extensión del riesgo asumido, regulan las relaciones entre las partes, definen los derechos y deberes de las mismas y precisan el modo, el tiempo y las condiciones para la exigibilidad de las prestaciones derivadas del seguro.”</w:t>
      </w:r>
    </w:p>
    <w:p w14:paraId="6493B484" w14:textId="77777777" w:rsidR="006E735C" w:rsidRPr="006E735C" w:rsidRDefault="006E735C" w:rsidP="006E735C">
      <w:pPr>
        <w:widowControl/>
        <w:adjustRightInd w:val="0"/>
        <w:spacing w:line="360" w:lineRule="auto"/>
        <w:jc w:val="both"/>
        <w:rPr>
          <w:rFonts w:ascii="Arial" w:eastAsiaTheme="minorHAnsi" w:hAnsi="Arial" w:cs="Arial"/>
          <w:color w:val="000000"/>
          <w:lang w:val="es-CO"/>
        </w:rPr>
      </w:pPr>
    </w:p>
    <w:p w14:paraId="746B3F7B" w14:textId="17523582" w:rsidR="006E735C" w:rsidRPr="006E735C" w:rsidRDefault="006E735C" w:rsidP="006E735C">
      <w:pPr>
        <w:widowControl/>
        <w:adjustRightInd w:val="0"/>
        <w:spacing w:line="360" w:lineRule="auto"/>
        <w:jc w:val="both"/>
        <w:rPr>
          <w:rFonts w:ascii="Arial" w:eastAsiaTheme="minorHAnsi" w:hAnsi="Arial" w:cs="Arial"/>
          <w:color w:val="000000"/>
          <w:lang w:val="es-CO"/>
        </w:rPr>
      </w:pPr>
      <w:r w:rsidRPr="006E735C">
        <w:rPr>
          <w:rFonts w:ascii="Arial" w:eastAsiaTheme="minorHAnsi" w:hAnsi="Arial" w:cs="Arial"/>
          <w:color w:val="000000"/>
          <w:lang w:val="es-CO"/>
        </w:rPr>
        <w:t>Con base en lo anterior, es claro que el contrato de seguro es un negocio jurídico reglado, consensual y bilateral, cuya eficacia depende de la estricta observancia de las cláusulas contractuales, especialmente aquellas relativas a las coberturas, exclusiones, límites y deducibles. De ahí que no pueda extenderse arbitrariamente la cobertura más allá de los riesgos expresamente amparados, ni exigirse a la aseguradora el pago de indemnización alguna por eventos no contemplados o excluidos del contrato.</w:t>
      </w:r>
      <w:r w:rsidR="006846A9">
        <w:rPr>
          <w:rFonts w:ascii="Arial" w:eastAsiaTheme="minorHAnsi" w:hAnsi="Arial" w:cs="Arial"/>
          <w:color w:val="000000"/>
          <w:lang w:val="es-CO"/>
        </w:rPr>
        <w:t xml:space="preserve"> </w:t>
      </w:r>
      <w:r w:rsidRPr="006E735C">
        <w:rPr>
          <w:rFonts w:ascii="Arial" w:eastAsiaTheme="minorHAnsi" w:hAnsi="Arial" w:cs="Arial"/>
          <w:color w:val="000000"/>
          <w:lang w:val="es-CO"/>
        </w:rPr>
        <w:t>Esta circunstancia impide, por sí misma, que se imponga una carga superior a la expresamente asumida por el asegurador en el contrato.</w:t>
      </w:r>
    </w:p>
    <w:p w14:paraId="65466763" w14:textId="77777777" w:rsidR="006846A9" w:rsidRPr="006846A9" w:rsidRDefault="006846A9" w:rsidP="006E735C">
      <w:pPr>
        <w:widowControl/>
        <w:adjustRightInd w:val="0"/>
        <w:spacing w:line="360" w:lineRule="auto"/>
        <w:jc w:val="both"/>
        <w:rPr>
          <w:rFonts w:ascii="Arial" w:eastAsiaTheme="minorHAnsi" w:hAnsi="Arial" w:cs="Arial"/>
          <w:color w:val="000000"/>
          <w:lang w:val="es-CO"/>
        </w:rPr>
      </w:pPr>
    </w:p>
    <w:p w14:paraId="32D9AEED" w14:textId="7F9DD6CD" w:rsidR="006E735C" w:rsidRPr="006E735C" w:rsidRDefault="006E735C" w:rsidP="006E735C">
      <w:pPr>
        <w:widowControl/>
        <w:adjustRightInd w:val="0"/>
        <w:spacing w:line="360" w:lineRule="auto"/>
        <w:jc w:val="both"/>
        <w:rPr>
          <w:rFonts w:ascii="Arial" w:eastAsiaTheme="minorHAnsi" w:hAnsi="Arial" w:cs="Arial"/>
          <w:color w:val="000000"/>
          <w:lang w:val="es-CO"/>
        </w:rPr>
      </w:pPr>
      <w:r w:rsidRPr="006E735C">
        <w:rPr>
          <w:rFonts w:ascii="Arial" w:eastAsiaTheme="minorHAnsi" w:hAnsi="Arial" w:cs="Arial"/>
          <w:color w:val="000000"/>
          <w:lang w:val="es-CO"/>
        </w:rPr>
        <w:t>En el caso sub judice, no se ha probado que el hecho generador del daño se encuentre cubierto por la póliza de responsabilidad civil contratada con mi representada. Por el contrario, de la revisión detallada del expediente y del condicionado particular y general de la póliza, se concluye lo siguiente:</w:t>
      </w:r>
    </w:p>
    <w:p w14:paraId="64187FEE" w14:textId="77777777" w:rsidR="006E735C" w:rsidRPr="006E735C" w:rsidRDefault="006E735C">
      <w:pPr>
        <w:widowControl/>
        <w:numPr>
          <w:ilvl w:val="0"/>
          <w:numId w:val="9"/>
        </w:numPr>
        <w:adjustRightInd w:val="0"/>
        <w:spacing w:line="360" w:lineRule="auto"/>
        <w:jc w:val="both"/>
        <w:rPr>
          <w:rFonts w:ascii="Arial" w:eastAsiaTheme="minorHAnsi" w:hAnsi="Arial" w:cs="Arial"/>
          <w:color w:val="000000"/>
          <w:lang w:val="es-CO"/>
        </w:rPr>
      </w:pPr>
      <w:r w:rsidRPr="006E735C">
        <w:rPr>
          <w:rFonts w:ascii="Arial" w:eastAsiaTheme="minorHAnsi" w:hAnsi="Arial" w:cs="Arial"/>
          <w:color w:val="000000"/>
          <w:lang w:val="es-CO"/>
        </w:rPr>
        <w:t>No se verificó la ocurrencia del riesgo asegurado en los términos y condiciones estipulados contractualmente.</w:t>
      </w:r>
    </w:p>
    <w:p w14:paraId="1AF0B264" w14:textId="77777777" w:rsidR="006E735C" w:rsidRPr="006E735C" w:rsidRDefault="006E735C">
      <w:pPr>
        <w:widowControl/>
        <w:numPr>
          <w:ilvl w:val="0"/>
          <w:numId w:val="9"/>
        </w:numPr>
        <w:adjustRightInd w:val="0"/>
        <w:spacing w:line="360" w:lineRule="auto"/>
        <w:jc w:val="both"/>
        <w:rPr>
          <w:rFonts w:ascii="Arial" w:eastAsiaTheme="minorHAnsi" w:hAnsi="Arial" w:cs="Arial"/>
          <w:color w:val="000000"/>
          <w:lang w:val="es-CO"/>
        </w:rPr>
      </w:pPr>
      <w:r w:rsidRPr="006E735C">
        <w:rPr>
          <w:rFonts w:ascii="Arial" w:eastAsiaTheme="minorHAnsi" w:hAnsi="Arial" w:cs="Arial"/>
          <w:color w:val="000000"/>
          <w:lang w:val="es-CO"/>
        </w:rPr>
        <w:t>No se acreditó que el hecho dañoso fuera atribuible al asegurado dentro del marco de cobertura objetiva, subjetiva o temporal definido en la póliza.</w:t>
      </w:r>
    </w:p>
    <w:p w14:paraId="1EF87382" w14:textId="77777777" w:rsidR="006E735C" w:rsidRPr="006E735C" w:rsidRDefault="006E735C">
      <w:pPr>
        <w:widowControl/>
        <w:numPr>
          <w:ilvl w:val="0"/>
          <w:numId w:val="9"/>
        </w:numPr>
        <w:adjustRightInd w:val="0"/>
        <w:spacing w:line="360" w:lineRule="auto"/>
        <w:jc w:val="both"/>
        <w:rPr>
          <w:rFonts w:ascii="Arial" w:eastAsiaTheme="minorHAnsi" w:hAnsi="Arial" w:cs="Arial"/>
          <w:color w:val="000000"/>
          <w:lang w:val="es-CO"/>
        </w:rPr>
      </w:pPr>
      <w:r w:rsidRPr="006E735C">
        <w:rPr>
          <w:rFonts w:ascii="Arial" w:eastAsiaTheme="minorHAnsi" w:hAnsi="Arial" w:cs="Arial"/>
          <w:color w:val="000000"/>
          <w:lang w:val="es-CO"/>
        </w:rPr>
        <w:t>Se encuentran activadas cláusulas de exclusión expresamente previstas en el contrato, cuya aplicación exime a mi representada de cualquier obligación indemnizatoria. Incluso bajo el amparo de responsabilidad civil extracontractual, los requisitos habilitantes de cobertura no han sido acreditados por el llamante en garantía.</w:t>
      </w:r>
    </w:p>
    <w:p w14:paraId="3C73F926" w14:textId="77777777" w:rsidR="006E735C" w:rsidRPr="006E735C" w:rsidRDefault="006E735C" w:rsidP="006E735C">
      <w:pPr>
        <w:widowControl/>
        <w:adjustRightInd w:val="0"/>
        <w:spacing w:line="360" w:lineRule="auto"/>
        <w:jc w:val="both"/>
        <w:rPr>
          <w:rFonts w:ascii="Arial" w:eastAsiaTheme="minorHAnsi" w:hAnsi="Arial" w:cs="Arial"/>
          <w:color w:val="000000"/>
          <w:lang w:val="es-CO"/>
        </w:rPr>
      </w:pPr>
      <w:r w:rsidRPr="006E735C">
        <w:rPr>
          <w:rFonts w:ascii="Arial" w:eastAsiaTheme="minorHAnsi" w:hAnsi="Arial" w:cs="Arial"/>
          <w:color w:val="000000"/>
          <w:lang w:val="es-CO"/>
        </w:rPr>
        <w:lastRenderedPageBreak/>
        <w:t>De conformidad con lo anterior, y con base en los artículos 1045, 1054 del Código de Comercio y 1536 del Código Civil, es claro que no se configuró el presupuesto esencial para exigir la obligación de la aseguradora, cual es la realización del riesgo asegurado. En consecuencia, y atendiendo los principios de legalidad contractual, autonomía de la voluntad privada y obligatoriedad de los pactos lícitos, el juez debe sujetar su decisión al contenido del contrato de seguro, el cual no puede ser interpretado de manera extensiva en perjuicio del asegurador.</w:t>
      </w:r>
    </w:p>
    <w:p w14:paraId="4A7B457E" w14:textId="77777777" w:rsidR="006846A9" w:rsidRDefault="006846A9" w:rsidP="006E735C">
      <w:pPr>
        <w:widowControl/>
        <w:adjustRightInd w:val="0"/>
        <w:spacing w:line="360" w:lineRule="auto"/>
        <w:jc w:val="both"/>
        <w:rPr>
          <w:rFonts w:ascii="Arial" w:eastAsiaTheme="minorHAnsi" w:hAnsi="Arial" w:cs="Arial"/>
          <w:b/>
          <w:bCs/>
          <w:color w:val="000000"/>
          <w:lang w:val="es-CO"/>
        </w:rPr>
      </w:pPr>
    </w:p>
    <w:p w14:paraId="27781172" w14:textId="1CED2A21" w:rsidR="006E735C" w:rsidRPr="006E735C" w:rsidRDefault="006846A9" w:rsidP="006E735C">
      <w:pPr>
        <w:widowControl/>
        <w:adjustRightInd w:val="0"/>
        <w:spacing w:line="360" w:lineRule="auto"/>
        <w:jc w:val="both"/>
        <w:rPr>
          <w:rFonts w:ascii="Arial" w:eastAsiaTheme="minorHAnsi" w:hAnsi="Arial" w:cs="Arial"/>
          <w:color w:val="000000"/>
          <w:lang w:val="es-CO"/>
        </w:rPr>
      </w:pPr>
      <w:r w:rsidRPr="006846A9">
        <w:rPr>
          <w:rFonts w:ascii="Arial" w:eastAsiaTheme="minorHAnsi" w:hAnsi="Arial" w:cs="Arial"/>
          <w:color w:val="000000"/>
          <w:lang w:val="es-CO"/>
        </w:rPr>
        <w:t>Así las cosas,</w:t>
      </w:r>
      <w:r>
        <w:rPr>
          <w:rFonts w:ascii="Arial" w:eastAsiaTheme="minorHAnsi" w:hAnsi="Arial" w:cs="Arial"/>
          <w:color w:val="000000"/>
          <w:lang w:val="es-CO"/>
        </w:rPr>
        <w:t xml:space="preserve"> el despacho al momento de proferir sentencia debe concluir que</w:t>
      </w:r>
      <w:r>
        <w:rPr>
          <w:rFonts w:ascii="Arial" w:eastAsiaTheme="minorHAnsi" w:hAnsi="Arial" w:cs="Arial"/>
          <w:b/>
          <w:bCs/>
          <w:color w:val="000000"/>
          <w:lang w:val="es-CO"/>
        </w:rPr>
        <w:t xml:space="preserve"> </w:t>
      </w:r>
      <w:r w:rsidR="006E735C" w:rsidRPr="006E735C">
        <w:rPr>
          <w:rFonts w:ascii="Arial" w:eastAsiaTheme="minorHAnsi" w:hAnsi="Arial" w:cs="Arial"/>
          <w:color w:val="000000"/>
          <w:lang w:val="es-CO"/>
        </w:rPr>
        <w:t>no se cumplen en este caso los presupuestos necesarios para hacer efectiva la póliza de seguro de responsabilidad civil suscrita por mi representada. No se ha acreditado la ocurrencia del riesgo asegurado, ni se ha probado que los hechos objeto del proceso se encuentren dentro de los límites de cobertura temporal, material y subjetiva pactados en la póliza. Además, existen exclusiones contractuales plenamente aplicables, que exoneran a la aseguradora de cualquier deber indemnizatorio.</w:t>
      </w:r>
      <w:r w:rsidRPr="006846A9">
        <w:rPr>
          <w:rFonts w:ascii="Arial" w:eastAsiaTheme="minorHAnsi" w:hAnsi="Arial" w:cs="Arial"/>
          <w:color w:val="000000"/>
          <w:lang w:val="es-CO"/>
        </w:rPr>
        <w:t xml:space="preserve"> En consecuencia,</w:t>
      </w:r>
      <w:r w:rsidR="006E735C" w:rsidRPr="006E735C">
        <w:rPr>
          <w:rFonts w:ascii="Arial" w:eastAsiaTheme="minorHAnsi" w:hAnsi="Arial" w:cs="Arial"/>
          <w:color w:val="000000"/>
          <w:lang w:val="es-CO"/>
        </w:rPr>
        <w:t xml:space="preserve"> el despacho debe rechazar en su integridad las pretensiones formuladas en el llamamiento en garantía, y declarar que no existe obligación alguna a cargo de mi representada derivada del contrato de seguro, al no haberse configurado el riesgo asegurado ni cumplido los requisitos que hacen exigible la prestación a su cargo.</w:t>
      </w:r>
    </w:p>
    <w:p w14:paraId="3106688C" w14:textId="77777777" w:rsidR="00D04B8E" w:rsidRDefault="00D04B8E" w:rsidP="00E972F2">
      <w:pPr>
        <w:pStyle w:val="Default"/>
        <w:spacing w:line="360" w:lineRule="auto"/>
        <w:jc w:val="both"/>
        <w:rPr>
          <w:rFonts w:eastAsiaTheme="minorHAnsi"/>
          <w:sz w:val="22"/>
          <w:szCs w:val="22"/>
          <w:lang w:eastAsia="en-US"/>
        </w:rPr>
      </w:pPr>
    </w:p>
    <w:p w14:paraId="496676FB" w14:textId="6D272589" w:rsidR="00D04B8E" w:rsidRPr="00D04B8E" w:rsidRDefault="00D04B8E">
      <w:pPr>
        <w:pStyle w:val="Default"/>
        <w:numPr>
          <w:ilvl w:val="0"/>
          <w:numId w:val="2"/>
        </w:numPr>
        <w:spacing w:line="360" w:lineRule="auto"/>
        <w:jc w:val="both"/>
        <w:rPr>
          <w:rFonts w:eastAsiaTheme="minorHAnsi"/>
          <w:sz w:val="22"/>
          <w:szCs w:val="22"/>
          <w:lang w:eastAsia="en-US"/>
        </w:rPr>
      </w:pPr>
      <w:r w:rsidRPr="00D04B8E">
        <w:rPr>
          <w:b/>
          <w:sz w:val="22"/>
          <w:szCs w:val="22"/>
        </w:rPr>
        <w:t>EXISTENCIA</w:t>
      </w:r>
      <w:r w:rsidRPr="00D04B8E">
        <w:rPr>
          <w:b/>
          <w:bCs/>
          <w:sz w:val="22"/>
          <w:szCs w:val="22"/>
        </w:rPr>
        <w:t xml:space="preserve"> DE COASEGURO, QUE NO IMPLICA SOLIDARIDAD ENTRE LAS ASEGURADORAS VINCULADAS, CONTENIDO EN LA </w:t>
      </w:r>
      <w:r w:rsidRPr="00D04B8E">
        <w:rPr>
          <w:rFonts w:eastAsiaTheme="minorHAnsi"/>
          <w:b/>
          <w:bCs/>
          <w:sz w:val="22"/>
          <w:szCs w:val="22"/>
        </w:rPr>
        <w:t xml:space="preserve">PÓLIZA No. </w:t>
      </w:r>
      <w:bookmarkStart w:id="6" w:name="_Hlk201777111"/>
      <w:r w:rsidR="00A8133B" w:rsidRPr="00A8133B">
        <w:rPr>
          <w:rFonts w:eastAsiaTheme="minorHAnsi"/>
          <w:b/>
          <w:bCs/>
          <w:sz w:val="22"/>
          <w:szCs w:val="22"/>
        </w:rPr>
        <w:t>2201214004752</w:t>
      </w:r>
      <w:bookmarkEnd w:id="6"/>
      <w:r w:rsidRPr="00D04B8E">
        <w:rPr>
          <w:rFonts w:eastAsiaTheme="minorHAnsi"/>
          <w:b/>
          <w:bCs/>
          <w:sz w:val="22"/>
          <w:szCs w:val="22"/>
        </w:rPr>
        <w:t>.</w:t>
      </w:r>
    </w:p>
    <w:p w14:paraId="3DBA16E4" w14:textId="77777777" w:rsidR="00D04B8E" w:rsidRPr="00D04B8E" w:rsidRDefault="00D04B8E" w:rsidP="00D04B8E">
      <w:pPr>
        <w:pStyle w:val="Default"/>
        <w:spacing w:line="360" w:lineRule="auto"/>
        <w:ind w:left="720"/>
        <w:jc w:val="both"/>
        <w:rPr>
          <w:rFonts w:eastAsiaTheme="minorHAnsi"/>
          <w:sz w:val="22"/>
          <w:szCs w:val="22"/>
          <w:lang w:eastAsia="en-US"/>
        </w:rPr>
      </w:pPr>
    </w:p>
    <w:p w14:paraId="0E19B11D" w14:textId="6E5320C7" w:rsidR="00D04B8E" w:rsidRPr="00D04B8E" w:rsidRDefault="00D04B8E" w:rsidP="00D04B8E">
      <w:pPr>
        <w:widowControl/>
        <w:adjustRightInd w:val="0"/>
        <w:spacing w:line="360" w:lineRule="auto"/>
        <w:jc w:val="both"/>
        <w:rPr>
          <w:rFonts w:ascii="Arial" w:eastAsiaTheme="minorHAnsi" w:hAnsi="Arial" w:cs="Arial"/>
          <w:color w:val="000000"/>
          <w:lang w:val="es-CO"/>
        </w:rPr>
      </w:pPr>
      <w:r w:rsidRPr="00D04B8E">
        <w:rPr>
          <w:rFonts w:ascii="Arial" w:eastAsiaTheme="minorHAnsi" w:hAnsi="Arial" w:cs="Arial"/>
          <w:color w:val="000000"/>
          <w:lang w:val="es-CO"/>
        </w:rPr>
        <w:t xml:space="preserve">Tal como se había mencionado ut supra, la póliza contratada No. </w:t>
      </w:r>
      <w:r w:rsidR="00A8133B">
        <w:rPr>
          <w:rFonts w:ascii="Arial" w:eastAsiaTheme="minorHAnsi" w:hAnsi="Arial" w:cs="Arial"/>
          <w:color w:val="000000"/>
          <w:lang w:val="es-CO"/>
        </w:rPr>
        <w:t>2201214004752</w:t>
      </w:r>
      <w:r w:rsidRPr="00D04B8E">
        <w:rPr>
          <w:rFonts w:ascii="Arial" w:eastAsiaTheme="minorHAnsi" w:hAnsi="Arial" w:cs="Arial"/>
          <w:color w:val="000000"/>
          <w:lang w:val="es-CO"/>
        </w:rPr>
        <w:t xml:space="preserve">, utilizada como fundamento para vincular a mi representada como tercero patrimonialmente responsable revela que la misma fue tomada por </w:t>
      </w:r>
      <w:bookmarkStart w:id="7" w:name="_Hlk201777539"/>
      <w:r w:rsidR="00A8133B" w:rsidRPr="00A8133B">
        <w:rPr>
          <w:rFonts w:ascii="Arial" w:eastAsiaTheme="minorHAnsi" w:hAnsi="Arial" w:cs="Arial"/>
          <w:color w:val="000000"/>
          <w:lang w:val="es-CO"/>
        </w:rPr>
        <w:t xml:space="preserve">INSTITUTO NACIONAL DE VÍAS – INVÍAS </w:t>
      </w:r>
      <w:bookmarkEnd w:id="7"/>
      <w:r w:rsidRPr="00D04B8E">
        <w:rPr>
          <w:rFonts w:ascii="Arial" w:eastAsiaTheme="minorHAnsi" w:hAnsi="Arial" w:cs="Arial"/>
          <w:color w:val="000000"/>
          <w:lang w:val="es-CO"/>
        </w:rPr>
        <w:t>bajo la figura de coaseguro, por consiguiente, mi representada solamente debe responder hasta el porcentaje pactado dentro del contrato y no de manera solidaría con las coaseguradoras.</w:t>
      </w:r>
    </w:p>
    <w:p w14:paraId="0AAC56EB" w14:textId="77777777" w:rsidR="00D04B8E" w:rsidRPr="00D04B8E" w:rsidRDefault="00D04B8E" w:rsidP="00D04B8E">
      <w:pPr>
        <w:widowControl/>
        <w:adjustRightInd w:val="0"/>
        <w:spacing w:line="360" w:lineRule="auto"/>
        <w:jc w:val="both"/>
        <w:rPr>
          <w:rFonts w:ascii="Arial" w:eastAsiaTheme="minorHAnsi" w:hAnsi="Arial" w:cs="Arial"/>
          <w:color w:val="000000"/>
          <w:lang w:val="es-CO"/>
        </w:rPr>
      </w:pPr>
    </w:p>
    <w:p w14:paraId="108F1D63" w14:textId="729E22D9" w:rsidR="00D04B8E" w:rsidRPr="00D04B8E" w:rsidRDefault="00D04B8E" w:rsidP="00D04B8E">
      <w:pPr>
        <w:widowControl/>
        <w:adjustRightInd w:val="0"/>
        <w:spacing w:line="360" w:lineRule="auto"/>
        <w:jc w:val="both"/>
        <w:rPr>
          <w:rFonts w:ascii="Arial" w:eastAsiaTheme="minorHAnsi" w:hAnsi="Arial" w:cs="Arial"/>
          <w:color w:val="000000"/>
          <w:lang w:val="es-CO"/>
        </w:rPr>
      </w:pPr>
      <w:r w:rsidRPr="00D04B8E">
        <w:rPr>
          <w:rFonts w:ascii="Arial" w:eastAsiaTheme="minorHAnsi" w:hAnsi="Arial" w:cs="Arial"/>
          <w:color w:val="000000"/>
          <w:lang w:val="es-CO"/>
        </w:rPr>
        <w:t xml:space="preserve">El artículo 1092 del Código de Comercio, que estipula que </w:t>
      </w:r>
      <w:r w:rsidRPr="00E938F6">
        <w:rPr>
          <w:rFonts w:ascii="Arial" w:eastAsiaTheme="minorHAnsi" w:hAnsi="Arial" w:cs="Arial"/>
          <w:i/>
          <w:iCs/>
          <w:color w:val="000000"/>
          <w:lang w:val="es-CO"/>
        </w:rPr>
        <w:t xml:space="preserve">“En el caso de pluralidad o de coexistencia de seguros, los aseguradores deberán soportar la indemnización debida al asegurado en proporción a la cuantía de sus respectivos contratos, siempre que el asegurado haya actuado de buena fe. La mala fe en la contratación de éstos produce nulidad”. </w:t>
      </w:r>
    </w:p>
    <w:p w14:paraId="5D67124A" w14:textId="77777777" w:rsidR="00D04B8E" w:rsidRPr="00D04B8E" w:rsidRDefault="00D04B8E" w:rsidP="00D04B8E">
      <w:pPr>
        <w:widowControl/>
        <w:adjustRightInd w:val="0"/>
        <w:spacing w:line="360" w:lineRule="auto"/>
        <w:jc w:val="both"/>
        <w:rPr>
          <w:rFonts w:ascii="Arial" w:eastAsiaTheme="minorHAnsi" w:hAnsi="Arial" w:cs="Arial"/>
          <w:color w:val="000000"/>
          <w:lang w:val="es-CO"/>
        </w:rPr>
      </w:pPr>
    </w:p>
    <w:p w14:paraId="5F21A0D0" w14:textId="56B81AD8" w:rsidR="00D04B8E" w:rsidRDefault="00D04B8E" w:rsidP="00D04B8E">
      <w:pPr>
        <w:widowControl/>
        <w:adjustRightInd w:val="0"/>
        <w:spacing w:line="360" w:lineRule="auto"/>
        <w:jc w:val="both"/>
        <w:rPr>
          <w:rFonts w:ascii="Arial" w:eastAsiaTheme="minorHAnsi" w:hAnsi="Arial" w:cs="Arial"/>
          <w:i/>
          <w:iCs/>
          <w:color w:val="000000"/>
          <w:lang w:val="es-CO"/>
        </w:rPr>
      </w:pPr>
      <w:r w:rsidRPr="00D04B8E">
        <w:rPr>
          <w:rFonts w:ascii="Arial" w:eastAsiaTheme="minorHAnsi" w:hAnsi="Arial" w:cs="Arial"/>
          <w:color w:val="000000"/>
          <w:lang w:val="es-CO"/>
        </w:rPr>
        <w:t xml:space="preserve">Lo consignado en la norma en cita se aplica al coaseguro, por estipulación expresa del artículo 1095 del estatuto mercantil, el cual que establece </w:t>
      </w:r>
      <w:r w:rsidRPr="00E938F6">
        <w:rPr>
          <w:rFonts w:ascii="Arial" w:eastAsiaTheme="minorHAnsi" w:hAnsi="Arial" w:cs="Arial"/>
          <w:i/>
          <w:iCs/>
          <w:color w:val="000000"/>
          <w:lang w:val="es-CO"/>
        </w:rPr>
        <w:t>“las normas que anteceden se aplicarán igualmente al coaseguro, en virtud del cual dos o más aseguradores, a petición del asegurado o con su aquiescencia previa, acuerdan distribuirse entre ellos determinado seguro”.</w:t>
      </w:r>
    </w:p>
    <w:p w14:paraId="1AD35082" w14:textId="77777777" w:rsidR="00E938F6" w:rsidRPr="00D04B8E" w:rsidRDefault="00E938F6" w:rsidP="00D04B8E">
      <w:pPr>
        <w:widowControl/>
        <w:adjustRightInd w:val="0"/>
        <w:spacing w:line="360" w:lineRule="auto"/>
        <w:jc w:val="both"/>
        <w:rPr>
          <w:rFonts w:ascii="Arial" w:eastAsiaTheme="minorHAnsi" w:hAnsi="Arial" w:cs="Arial"/>
          <w:color w:val="000000"/>
          <w:lang w:val="es-CO"/>
        </w:rPr>
      </w:pPr>
    </w:p>
    <w:p w14:paraId="28233F67" w14:textId="77777777" w:rsidR="00D04B8E" w:rsidRPr="00D04B8E" w:rsidRDefault="00D04B8E" w:rsidP="00D04B8E">
      <w:pPr>
        <w:widowControl/>
        <w:adjustRightInd w:val="0"/>
        <w:spacing w:line="360" w:lineRule="auto"/>
        <w:jc w:val="both"/>
        <w:rPr>
          <w:rFonts w:ascii="Arial" w:eastAsiaTheme="minorHAnsi" w:hAnsi="Arial" w:cs="Arial"/>
          <w:color w:val="000000"/>
          <w:lang w:val="es-CO"/>
        </w:rPr>
      </w:pPr>
      <w:r w:rsidRPr="00D04B8E">
        <w:rPr>
          <w:rFonts w:ascii="Arial" w:eastAsiaTheme="minorHAnsi" w:hAnsi="Arial" w:cs="Arial"/>
          <w:color w:val="000000"/>
          <w:lang w:val="es-CO"/>
        </w:rPr>
        <w:t xml:space="preserve">Dada la figura del coaseguro y de conformidad con lo anterior, la responsabilidad de cada una de las coaseguradoras está limitada al porcentaje antes indicado, ya que no existe solidaridad entre ellas. </w:t>
      </w:r>
    </w:p>
    <w:p w14:paraId="6B442536" w14:textId="77777777" w:rsidR="00D04B8E" w:rsidRPr="00D04B8E" w:rsidRDefault="00D04B8E" w:rsidP="00D04B8E">
      <w:pPr>
        <w:widowControl/>
        <w:adjustRightInd w:val="0"/>
        <w:spacing w:line="360" w:lineRule="auto"/>
        <w:jc w:val="both"/>
        <w:rPr>
          <w:rFonts w:ascii="Arial" w:eastAsiaTheme="minorHAnsi" w:hAnsi="Arial" w:cs="Arial"/>
          <w:color w:val="000000"/>
          <w:lang w:val="es-CO"/>
        </w:rPr>
      </w:pPr>
    </w:p>
    <w:p w14:paraId="30547DCE" w14:textId="68A0B30D" w:rsidR="00D04B8E" w:rsidRPr="00D04B8E" w:rsidRDefault="00D04B8E" w:rsidP="00D04B8E">
      <w:pPr>
        <w:widowControl/>
        <w:adjustRightInd w:val="0"/>
        <w:spacing w:line="360" w:lineRule="auto"/>
        <w:jc w:val="both"/>
        <w:rPr>
          <w:rFonts w:ascii="Arial" w:eastAsiaTheme="minorHAnsi" w:hAnsi="Arial" w:cs="Arial"/>
          <w:color w:val="000000"/>
          <w:lang w:val="es-CO"/>
        </w:rPr>
      </w:pPr>
      <w:r w:rsidRPr="00D04B8E">
        <w:rPr>
          <w:rFonts w:ascii="Arial" w:eastAsiaTheme="minorHAnsi" w:hAnsi="Arial" w:cs="Arial"/>
          <w:color w:val="000000"/>
          <w:lang w:val="es-CO"/>
        </w:rPr>
        <w:t xml:space="preserve">En concordancia con lo señalado por el Consejo de Estado en Sentencia del 26 de enero de 2022 que reza </w:t>
      </w:r>
      <w:r w:rsidRPr="00E938F6">
        <w:rPr>
          <w:rFonts w:ascii="Arial" w:eastAsiaTheme="minorHAnsi" w:hAnsi="Arial" w:cs="Arial"/>
          <w:i/>
          <w:iCs/>
          <w:color w:val="000000"/>
          <w:lang w:val="es-CO"/>
        </w:rPr>
        <w:t>“Es claro para la Sala que las obligaciones que asumen las coaseguradoras son conjuntas en proporción al porcentaje de riesgo aceptado por cada una de ellas y no existe en este caso solidaridad legal ni contractual entre ellas […]”</w:t>
      </w:r>
      <w:r w:rsidRPr="00D04B8E">
        <w:rPr>
          <w:rFonts w:ascii="Arial" w:eastAsiaTheme="minorHAnsi" w:hAnsi="Arial" w:cs="Arial"/>
          <w:color w:val="000000"/>
          <w:lang w:val="es-CO"/>
        </w:rPr>
        <w:t xml:space="preserve"> </w:t>
      </w:r>
      <w:r w:rsidR="00E938F6">
        <w:rPr>
          <w:rStyle w:val="Refdenotaalpie"/>
          <w:rFonts w:ascii="Arial" w:eastAsiaTheme="minorHAnsi" w:hAnsi="Arial" w:cs="Arial"/>
          <w:color w:val="000000"/>
          <w:lang w:val="es-CO"/>
        </w:rPr>
        <w:footnoteReference w:id="5"/>
      </w:r>
    </w:p>
    <w:p w14:paraId="346B24F9" w14:textId="77777777" w:rsidR="00D04B8E" w:rsidRPr="00D04B8E" w:rsidRDefault="00D04B8E" w:rsidP="00D04B8E">
      <w:pPr>
        <w:widowControl/>
        <w:adjustRightInd w:val="0"/>
        <w:spacing w:line="360" w:lineRule="auto"/>
        <w:jc w:val="both"/>
        <w:rPr>
          <w:rFonts w:ascii="Arial" w:eastAsiaTheme="minorHAnsi" w:hAnsi="Arial" w:cs="Arial"/>
          <w:color w:val="000000"/>
          <w:lang w:val="es-CO"/>
        </w:rPr>
      </w:pPr>
    </w:p>
    <w:p w14:paraId="0AFBE9E6" w14:textId="260A2FC0" w:rsidR="00D04B8E" w:rsidRPr="00D04B8E" w:rsidRDefault="00D04B8E" w:rsidP="00D04B8E">
      <w:pPr>
        <w:widowControl/>
        <w:adjustRightInd w:val="0"/>
        <w:spacing w:line="360" w:lineRule="auto"/>
        <w:jc w:val="both"/>
        <w:rPr>
          <w:rFonts w:ascii="Arial" w:eastAsiaTheme="minorHAnsi" w:hAnsi="Arial" w:cs="Arial"/>
          <w:color w:val="000000"/>
          <w:lang w:val="es-CO"/>
        </w:rPr>
      </w:pPr>
      <w:r w:rsidRPr="00D04B8E">
        <w:rPr>
          <w:rFonts w:ascii="Arial" w:eastAsiaTheme="minorHAnsi" w:hAnsi="Arial" w:cs="Arial"/>
          <w:color w:val="000000"/>
          <w:lang w:val="es-CO"/>
        </w:rPr>
        <w:t>Una vez analizados los términos y condiciones de la Póliza de Responsabilidad Civil Extracontractual No.</w:t>
      </w:r>
      <w:r w:rsidR="00A8133B" w:rsidRPr="00D04B8E">
        <w:rPr>
          <w:rFonts w:ascii="Arial" w:eastAsiaTheme="minorHAnsi" w:hAnsi="Arial" w:cs="Arial"/>
          <w:color w:val="000000"/>
          <w:lang w:val="es-CO"/>
        </w:rPr>
        <w:t xml:space="preserve"> </w:t>
      </w:r>
      <w:r w:rsidR="00A8133B">
        <w:rPr>
          <w:rFonts w:ascii="Arial" w:eastAsiaTheme="minorHAnsi" w:hAnsi="Arial" w:cs="Arial"/>
          <w:color w:val="000000"/>
          <w:lang w:val="es-CO"/>
        </w:rPr>
        <w:t>2201214004752</w:t>
      </w:r>
      <w:r w:rsidRPr="00D04B8E">
        <w:rPr>
          <w:rFonts w:ascii="Arial" w:eastAsiaTheme="minorHAnsi" w:hAnsi="Arial" w:cs="Arial"/>
          <w:color w:val="000000"/>
          <w:lang w:val="es-CO"/>
        </w:rPr>
        <w:t>, se reitera que la misma fue contratada bajo la modalidad de coaseguro, lo que implicó una distribución del riesgo entre las siguientes entidades aseguradoras: COMPAÑÍA DE SEGUROS COLPATRIA – hoy AXA COLPATRIA (2</w:t>
      </w:r>
      <w:r w:rsidR="00A8133B">
        <w:rPr>
          <w:rFonts w:ascii="Arial" w:eastAsiaTheme="minorHAnsi" w:hAnsi="Arial" w:cs="Arial"/>
          <w:color w:val="000000"/>
          <w:lang w:val="es-CO"/>
        </w:rPr>
        <w:t>0</w:t>
      </w:r>
      <w:r w:rsidRPr="00D04B8E">
        <w:rPr>
          <w:rFonts w:ascii="Arial" w:eastAsiaTheme="minorHAnsi" w:hAnsi="Arial" w:cs="Arial"/>
          <w:color w:val="000000"/>
          <w:lang w:val="es-CO"/>
        </w:rPr>
        <w:t xml:space="preserve">.00%), </w:t>
      </w:r>
      <w:r w:rsidR="00A8133B">
        <w:rPr>
          <w:rFonts w:ascii="Arial" w:eastAsiaTheme="minorHAnsi" w:hAnsi="Arial" w:cs="Arial"/>
          <w:color w:val="000000"/>
          <w:lang w:val="es-CO"/>
        </w:rPr>
        <w:t xml:space="preserve">LA PREVISORA S.A. COMPAÑÍA </w:t>
      </w:r>
      <w:r w:rsidR="0067765C">
        <w:rPr>
          <w:rFonts w:ascii="Arial" w:eastAsiaTheme="minorHAnsi" w:hAnsi="Arial" w:cs="Arial"/>
          <w:color w:val="000000"/>
          <w:lang w:val="es-CO"/>
        </w:rPr>
        <w:t xml:space="preserve">DE SEGUROS </w:t>
      </w:r>
      <w:r w:rsidR="0067765C" w:rsidRPr="00D04B8E">
        <w:rPr>
          <w:rFonts w:ascii="Arial" w:eastAsiaTheme="minorHAnsi" w:hAnsi="Arial" w:cs="Arial"/>
          <w:color w:val="000000"/>
          <w:lang w:val="es-CO"/>
        </w:rPr>
        <w:t>(2</w:t>
      </w:r>
      <w:r w:rsidR="0067765C">
        <w:rPr>
          <w:rFonts w:ascii="Arial" w:eastAsiaTheme="minorHAnsi" w:hAnsi="Arial" w:cs="Arial"/>
          <w:color w:val="000000"/>
          <w:lang w:val="es-CO"/>
        </w:rPr>
        <w:t>0</w:t>
      </w:r>
      <w:r w:rsidR="0067765C" w:rsidRPr="00D04B8E">
        <w:rPr>
          <w:rFonts w:ascii="Arial" w:eastAsiaTheme="minorHAnsi" w:hAnsi="Arial" w:cs="Arial"/>
          <w:color w:val="000000"/>
          <w:lang w:val="es-CO"/>
        </w:rPr>
        <w:t>.00%)</w:t>
      </w:r>
      <w:r w:rsidR="0067765C">
        <w:rPr>
          <w:rFonts w:ascii="Arial" w:eastAsiaTheme="minorHAnsi" w:hAnsi="Arial" w:cs="Arial"/>
          <w:color w:val="000000"/>
          <w:lang w:val="es-CO"/>
        </w:rPr>
        <w:t xml:space="preserve"> y </w:t>
      </w:r>
      <w:r w:rsidRPr="00D04B8E">
        <w:rPr>
          <w:rFonts w:ascii="Arial" w:eastAsiaTheme="minorHAnsi" w:hAnsi="Arial" w:cs="Arial"/>
          <w:color w:val="000000"/>
          <w:lang w:val="es-CO"/>
        </w:rPr>
        <w:t>MAPFRE SEGUROS GENERALES DE COLOMBIA S.A. (</w:t>
      </w:r>
      <w:r w:rsidR="0067765C">
        <w:rPr>
          <w:rFonts w:ascii="Arial" w:eastAsiaTheme="minorHAnsi" w:hAnsi="Arial" w:cs="Arial"/>
          <w:color w:val="000000"/>
          <w:lang w:val="es-CO"/>
        </w:rPr>
        <w:t>60</w:t>
      </w:r>
      <w:r w:rsidRPr="00D04B8E">
        <w:rPr>
          <w:rFonts w:ascii="Arial" w:eastAsiaTheme="minorHAnsi" w:hAnsi="Arial" w:cs="Arial"/>
          <w:color w:val="000000"/>
          <w:lang w:val="es-CO"/>
        </w:rPr>
        <w:t xml:space="preserve">.00%) </w:t>
      </w:r>
    </w:p>
    <w:p w14:paraId="7D48D4E6" w14:textId="42F2D142" w:rsidR="00D04B8E" w:rsidRPr="00D04B8E" w:rsidRDefault="00A8133B" w:rsidP="00A8133B">
      <w:pPr>
        <w:widowControl/>
        <w:adjustRightInd w:val="0"/>
        <w:spacing w:line="360" w:lineRule="auto"/>
        <w:jc w:val="center"/>
        <w:rPr>
          <w:rFonts w:ascii="Arial" w:eastAsiaTheme="minorHAnsi" w:hAnsi="Arial" w:cs="Arial"/>
          <w:color w:val="000000"/>
          <w:lang w:val="es-CO"/>
        </w:rPr>
      </w:pPr>
      <w:r w:rsidRPr="00A8133B">
        <w:rPr>
          <w:rFonts w:ascii="Arial" w:eastAsiaTheme="minorHAnsi" w:hAnsi="Arial" w:cs="Arial"/>
          <w:noProof/>
          <w:color w:val="000000"/>
          <w:lang w:val="es-CO"/>
        </w:rPr>
        <w:drawing>
          <wp:inline distT="0" distB="0" distL="0" distR="0" wp14:anchorId="1A064B9A" wp14:editId="6B15EB5A">
            <wp:extent cx="4486220" cy="1497808"/>
            <wp:effectExtent l="152400" t="152400" r="353060" b="369570"/>
            <wp:docPr id="61691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1077" name=""/>
                    <pic:cNvPicPr/>
                  </pic:nvPicPr>
                  <pic:blipFill>
                    <a:blip r:embed="rId11"/>
                    <a:stretch>
                      <a:fillRect/>
                    </a:stretch>
                  </pic:blipFill>
                  <pic:spPr>
                    <a:xfrm>
                      <a:off x="0" y="0"/>
                      <a:ext cx="4504661" cy="1503965"/>
                    </a:xfrm>
                    <a:prstGeom prst="rect">
                      <a:avLst/>
                    </a:prstGeom>
                    <a:ln>
                      <a:noFill/>
                    </a:ln>
                    <a:effectLst>
                      <a:outerShdw blurRad="292100" dist="139700" dir="2700000" algn="tl" rotWithShape="0">
                        <a:srgbClr val="333333">
                          <a:alpha val="65000"/>
                        </a:srgbClr>
                      </a:outerShdw>
                    </a:effectLst>
                  </pic:spPr>
                </pic:pic>
              </a:graphicData>
            </a:graphic>
          </wp:inline>
        </w:drawing>
      </w:r>
    </w:p>
    <w:p w14:paraId="6E1C6C2B" w14:textId="77777777" w:rsidR="00D04B8E" w:rsidRPr="00D04B8E" w:rsidRDefault="00D04B8E" w:rsidP="00D04B8E">
      <w:pPr>
        <w:widowControl/>
        <w:adjustRightInd w:val="0"/>
        <w:spacing w:line="360" w:lineRule="auto"/>
        <w:jc w:val="both"/>
        <w:rPr>
          <w:rFonts w:ascii="Arial" w:eastAsiaTheme="minorHAnsi" w:hAnsi="Arial" w:cs="Arial"/>
          <w:color w:val="000000"/>
          <w:lang w:val="es-CO"/>
        </w:rPr>
      </w:pPr>
    </w:p>
    <w:p w14:paraId="536EAE1F" w14:textId="7641A75E" w:rsidR="00D04B8E" w:rsidRPr="00D04B8E" w:rsidRDefault="00D04B8E" w:rsidP="00D04B8E">
      <w:pPr>
        <w:widowControl/>
        <w:adjustRightInd w:val="0"/>
        <w:spacing w:line="360" w:lineRule="auto"/>
        <w:jc w:val="both"/>
        <w:rPr>
          <w:rFonts w:ascii="Arial" w:eastAsiaTheme="minorHAnsi" w:hAnsi="Arial" w:cs="Arial"/>
          <w:color w:val="000000"/>
          <w:lang w:val="es-CO"/>
        </w:rPr>
      </w:pPr>
      <w:r w:rsidRPr="00D04B8E">
        <w:rPr>
          <w:rFonts w:ascii="Arial" w:eastAsiaTheme="minorHAnsi" w:hAnsi="Arial" w:cs="Arial"/>
          <w:color w:val="000000"/>
          <w:lang w:val="es-CO"/>
        </w:rPr>
        <w:t xml:space="preserve">Consecuentemente, MAPFRE SEGUROS GENERALES DE COLOMBIA S.A. únicamente podrá responder hasta el límite de su participación, esto es, el </w:t>
      </w:r>
      <w:r w:rsidR="0067765C" w:rsidRPr="0067765C">
        <w:rPr>
          <w:rFonts w:ascii="Arial" w:eastAsiaTheme="minorHAnsi" w:hAnsi="Arial" w:cs="Arial"/>
          <w:b/>
          <w:bCs/>
          <w:color w:val="000000"/>
          <w:u w:val="single"/>
          <w:lang w:val="es-CO"/>
        </w:rPr>
        <w:t>60</w:t>
      </w:r>
      <w:r w:rsidRPr="0067765C">
        <w:rPr>
          <w:rFonts w:ascii="Arial" w:eastAsiaTheme="minorHAnsi" w:hAnsi="Arial" w:cs="Arial"/>
          <w:b/>
          <w:bCs/>
          <w:color w:val="000000"/>
          <w:u w:val="single"/>
          <w:lang w:val="es-CO"/>
        </w:rPr>
        <w:t>.00%,</w:t>
      </w:r>
      <w:r w:rsidRPr="00D04B8E">
        <w:rPr>
          <w:rFonts w:ascii="Arial" w:eastAsiaTheme="minorHAnsi" w:hAnsi="Arial" w:cs="Arial"/>
          <w:color w:val="000000"/>
          <w:lang w:val="es-CO"/>
        </w:rPr>
        <w:t xml:space="preserve"> sin que sea jurídicamente viable que asuma obligaciones derivadas del porcentaje correspondiente a las demás aseguradoras, dado a que cada aseguradora es responsable únicamente en proporción a su cuota de participación, de conformidad con lo establecido en el artículo 1092 del Código de Comercio, el cual dispone que las aseguradoras no son solidarias entre sí, sino que cada una debe asumir la indemnización en la proporción correspondiente a su porcentaje de cobertura.</w:t>
      </w:r>
    </w:p>
    <w:p w14:paraId="581AC8E1" w14:textId="77777777" w:rsidR="00D04B8E" w:rsidRPr="00D04B8E" w:rsidRDefault="00D04B8E" w:rsidP="00D04B8E">
      <w:pPr>
        <w:widowControl/>
        <w:adjustRightInd w:val="0"/>
        <w:spacing w:line="360" w:lineRule="auto"/>
        <w:jc w:val="both"/>
        <w:rPr>
          <w:rFonts w:ascii="Arial" w:eastAsiaTheme="minorHAnsi" w:hAnsi="Arial" w:cs="Arial"/>
          <w:color w:val="000000"/>
          <w:lang w:val="es-CO"/>
        </w:rPr>
      </w:pPr>
    </w:p>
    <w:p w14:paraId="68B57BBD" w14:textId="169955FA" w:rsidR="004B1503" w:rsidRDefault="00D04B8E" w:rsidP="00D04B8E">
      <w:pPr>
        <w:widowControl/>
        <w:adjustRightInd w:val="0"/>
        <w:spacing w:line="360" w:lineRule="auto"/>
        <w:jc w:val="both"/>
        <w:rPr>
          <w:rFonts w:ascii="Arial" w:eastAsiaTheme="minorHAnsi" w:hAnsi="Arial" w:cs="Arial"/>
          <w:color w:val="000000"/>
          <w:lang w:val="es-CO"/>
        </w:rPr>
      </w:pPr>
      <w:r w:rsidRPr="00D04B8E">
        <w:rPr>
          <w:rFonts w:ascii="Arial" w:eastAsiaTheme="minorHAnsi" w:hAnsi="Arial" w:cs="Arial"/>
          <w:color w:val="000000"/>
          <w:lang w:val="es-CO"/>
        </w:rPr>
        <w:t>Por lo tanto, incluso en el improbable evento de que prosperaran las pretensiones de la parte actora, en ningún caso podría condenarse a mi representada a responder por montos superiores al porcentaje que le corresponde en la póliza en cuestión.</w:t>
      </w:r>
    </w:p>
    <w:p w14:paraId="0966B304" w14:textId="77777777" w:rsidR="0069313A" w:rsidRDefault="0069313A" w:rsidP="00D04B8E">
      <w:pPr>
        <w:widowControl/>
        <w:adjustRightInd w:val="0"/>
        <w:spacing w:line="360" w:lineRule="auto"/>
        <w:jc w:val="both"/>
        <w:rPr>
          <w:rFonts w:ascii="Arial" w:eastAsiaTheme="minorHAnsi" w:hAnsi="Arial" w:cs="Arial"/>
          <w:color w:val="000000"/>
          <w:lang w:val="es-CO"/>
        </w:rPr>
      </w:pPr>
    </w:p>
    <w:p w14:paraId="2460F77A" w14:textId="28CFD8E2" w:rsidR="0069313A" w:rsidRPr="00020F63" w:rsidRDefault="0069313A">
      <w:pPr>
        <w:pStyle w:val="Prrafodelista"/>
        <w:widowControl/>
        <w:numPr>
          <w:ilvl w:val="0"/>
          <w:numId w:val="2"/>
        </w:numPr>
        <w:adjustRightInd w:val="0"/>
        <w:spacing w:line="360" w:lineRule="auto"/>
        <w:jc w:val="both"/>
        <w:rPr>
          <w:rFonts w:ascii="Arial" w:eastAsiaTheme="minorHAnsi" w:hAnsi="Arial" w:cs="Arial"/>
          <w:b/>
          <w:bCs/>
          <w:color w:val="000000"/>
        </w:rPr>
      </w:pPr>
      <w:r>
        <w:rPr>
          <w:rFonts w:ascii="Arial" w:eastAsiaTheme="minorHAnsi" w:hAnsi="Arial" w:cs="Arial"/>
          <w:b/>
          <w:bCs/>
          <w:color w:val="000000"/>
        </w:rPr>
        <w:t xml:space="preserve">EN TODO CASO DEBERÁ TENER ENCUENTA EL </w:t>
      </w:r>
      <w:r w:rsidRPr="00BD7F61">
        <w:rPr>
          <w:rFonts w:ascii="Arial" w:eastAsiaTheme="minorHAnsi" w:hAnsi="Arial" w:cs="Arial"/>
          <w:b/>
          <w:bCs/>
          <w:color w:val="000000"/>
        </w:rPr>
        <w:t xml:space="preserve">LÍMITE INVARIABLE DE LA COBERTURA ASEGURADA Y DISMINUCIÓN PROGRESIVA POR PAGOS INDEMNIZATORIOS – </w:t>
      </w:r>
      <w:r w:rsidRPr="00020F63">
        <w:rPr>
          <w:rFonts w:ascii="Arial" w:eastAsiaTheme="minorHAnsi" w:hAnsi="Arial" w:cs="Arial"/>
          <w:b/>
          <w:bCs/>
          <w:color w:val="000000"/>
        </w:rPr>
        <w:t>PÓLIZA DE RESPONSABILIDAD CIVIL</w:t>
      </w:r>
      <w:r>
        <w:rPr>
          <w:rFonts w:ascii="Arial" w:eastAsiaTheme="minorHAnsi" w:hAnsi="Arial" w:cs="Arial"/>
          <w:b/>
          <w:bCs/>
          <w:color w:val="000000"/>
        </w:rPr>
        <w:t xml:space="preserve"> </w:t>
      </w:r>
      <w:r w:rsidRPr="00020F63">
        <w:rPr>
          <w:rFonts w:ascii="Arial" w:eastAsiaTheme="minorHAnsi" w:hAnsi="Arial" w:cs="Arial"/>
          <w:b/>
          <w:bCs/>
          <w:color w:val="000000"/>
        </w:rPr>
        <w:t>N</w:t>
      </w:r>
      <w:r>
        <w:rPr>
          <w:rFonts w:ascii="Arial" w:eastAsiaTheme="minorHAnsi" w:hAnsi="Arial" w:cs="Arial"/>
          <w:b/>
          <w:bCs/>
          <w:color w:val="000000"/>
        </w:rPr>
        <w:t>o</w:t>
      </w:r>
      <w:r w:rsidR="00672953">
        <w:rPr>
          <w:rFonts w:ascii="Arial" w:eastAsiaTheme="minorHAnsi" w:hAnsi="Arial" w:cs="Arial"/>
          <w:b/>
          <w:bCs/>
          <w:color w:val="000000"/>
        </w:rPr>
        <w:t xml:space="preserve">. </w:t>
      </w:r>
      <w:r w:rsidR="0067765C" w:rsidRPr="00A8133B">
        <w:rPr>
          <w:rFonts w:eastAsiaTheme="minorHAnsi"/>
          <w:b/>
          <w:bCs/>
        </w:rPr>
        <w:t>2201214004752</w:t>
      </w:r>
      <w:r w:rsidRPr="00020F63">
        <w:rPr>
          <w:rFonts w:ascii="Arial" w:eastAsiaTheme="minorHAnsi" w:hAnsi="Arial" w:cs="Arial"/>
          <w:b/>
          <w:bCs/>
          <w:color w:val="000000"/>
        </w:rPr>
        <w:t xml:space="preserve">. </w:t>
      </w:r>
    </w:p>
    <w:p w14:paraId="3702D8F7" w14:textId="77777777" w:rsidR="0069313A" w:rsidRPr="00BD7F61" w:rsidRDefault="0069313A" w:rsidP="0069313A">
      <w:pPr>
        <w:pStyle w:val="Prrafodelista"/>
        <w:widowControl/>
        <w:adjustRightInd w:val="0"/>
        <w:spacing w:line="360" w:lineRule="auto"/>
        <w:jc w:val="both"/>
        <w:rPr>
          <w:rFonts w:ascii="Arial" w:eastAsiaTheme="minorHAnsi" w:hAnsi="Arial" w:cs="Arial"/>
          <w:color w:val="000000"/>
          <w:lang w:val="es-CO"/>
        </w:rPr>
      </w:pPr>
    </w:p>
    <w:p w14:paraId="034A46D0" w14:textId="4B0A89BE" w:rsidR="0069313A" w:rsidRPr="003E41A7" w:rsidRDefault="0069313A" w:rsidP="0069313A">
      <w:pPr>
        <w:pStyle w:val="Default"/>
        <w:spacing w:line="360" w:lineRule="auto"/>
        <w:jc w:val="both"/>
        <w:rPr>
          <w:rFonts w:eastAsiaTheme="minorHAnsi"/>
          <w:sz w:val="22"/>
          <w:szCs w:val="22"/>
          <w:lang w:eastAsia="en-US"/>
        </w:rPr>
      </w:pPr>
      <w:r w:rsidRPr="003E41A7">
        <w:rPr>
          <w:rFonts w:eastAsiaTheme="minorHAnsi"/>
          <w:sz w:val="22"/>
          <w:szCs w:val="22"/>
          <w:lang w:eastAsia="en-US"/>
        </w:rPr>
        <w:lastRenderedPageBreak/>
        <w:t>En el presente proceso, y sin que ello implique aceptación de los hechos materia de la demanda ni admisión sobre la aplicabilidad de la póliza vinculada, es necesario señalar que la cobertura del contrato de seguro de responsabilidad civil está supeditada al cumplimiento de exigencias legales y contractuales específicas, cuyo desconocimiento impide activar cualquier obligación indemnizatoria a cargo del asegurador. Lo anterior constituye un argumento de defensa que debe ser considerado de manera estricta y técnica por este despacho, en la eventualidad de una decisión desfavorable.</w:t>
      </w:r>
    </w:p>
    <w:p w14:paraId="538B4D30" w14:textId="77777777" w:rsidR="0069313A" w:rsidRDefault="0069313A" w:rsidP="0069313A">
      <w:pPr>
        <w:pStyle w:val="Default"/>
        <w:spacing w:line="360" w:lineRule="auto"/>
        <w:jc w:val="both"/>
        <w:rPr>
          <w:rFonts w:eastAsiaTheme="minorHAnsi"/>
          <w:sz w:val="22"/>
          <w:szCs w:val="22"/>
          <w:lang w:eastAsia="en-US"/>
        </w:rPr>
      </w:pPr>
    </w:p>
    <w:p w14:paraId="221D0A0D" w14:textId="77777777" w:rsidR="0069313A" w:rsidRDefault="0069313A" w:rsidP="0069313A">
      <w:pPr>
        <w:pStyle w:val="Default"/>
        <w:spacing w:line="360" w:lineRule="auto"/>
        <w:jc w:val="both"/>
        <w:rPr>
          <w:rFonts w:eastAsiaTheme="minorHAnsi"/>
          <w:sz w:val="22"/>
          <w:szCs w:val="22"/>
          <w:lang w:eastAsia="en-US"/>
        </w:rPr>
      </w:pPr>
      <w:r w:rsidRPr="003E41A7">
        <w:rPr>
          <w:rFonts w:eastAsiaTheme="minorHAnsi"/>
          <w:sz w:val="22"/>
          <w:szCs w:val="22"/>
          <w:lang w:eastAsia="en-US"/>
        </w:rPr>
        <w:t>En primer lugar, es indispensable recordar que el seguro de responsabilidad civil, como cualquier contrato de seguro, no opera de manera automática, y requiere para su aplicación la verificación de condiciones estructurales mínimas, tales como:</w:t>
      </w:r>
    </w:p>
    <w:p w14:paraId="4F175682" w14:textId="77777777" w:rsidR="0069313A" w:rsidRPr="003E41A7" w:rsidRDefault="0069313A" w:rsidP="0069313A">
      <w:pPr>
        <w:pStyle w:val="Default"/>
        <w:spacing w:line="360" w:lineRule="auto"/>
        <w:jc w:val="both"/>
        <w:rPr>
          <w:rFonts w:eastAsiaTheme="minorHAnsi"/>
          <w:sz w:val="22"/>
          <w:szCs w:val="22"/>
          <w:lang w:eastAsia="en-US"/>
        </w:rPr>
      </w:pPr>
    </w:p>
    <w:p w14:paraId="4D5EA57F" w14:textId="77777777" w:rsidR="0069313A" w:rsidRPr="003E41A7" w:rsidRDefault="0069313A">
      <w:pPr>
        <w:pStyle w:val="Default"/>
        <w:numPr>
          <w:ilvl w:val="0"/>
          <w:numId w:val="6"/>
        </w:numPr>
        <w:spacing w:line="360" w:lineRule="auto"/>
        <w:jc w:val="both"/>
        <w:rPr>
          <w:rFonts w:eastAsiaTheme="minorHAnsi"/>
          <w:sz w:val="22"/>
          <w:szCs w:val="22"/>
          <w:lang w:eastAsia="en-US"/>
        </w:rPr>
      </w:pPr>
      <w:r w:rsidRPr="003E41A7">
        <w:rPr>
          <w:rFonts w:eastAsiaTheme="minorHAnsi"/>
          <w:sz w:val="22"/>
          <w:szCs w:val="22"/>
          <w:lang w:eastAsia="en-US"/>
        </w:rPr>
        <w:t>Que el asegurado haya incurrido en responsabilidad civil extracontractual, conforme al marco normativo colombiano.</w:t>
      </w:r>
    </w:p>
    <w:p w14:paraId="42FFE509" w14:textId="77777777" w:rsidR="0069313A" w:rsidRPr="003E41A7" w:rsidRDefault="0069313A">
      <w:pPr>
        <w:pStyle w:val="Default"/>
        <w:numPr>
          <w:ilvl w:val="0"/>
          <w:numId w:val="6"/>
        </w:numPr>
        <w:spacing w:line="360" w:lineRule="auto"/>
        <w:jc w:val="both"/>
        <w:rPr>
          <w:rFonts w:eastAsiaTheme="minorHAnsi"/>
          <w:sz w:val="22"/>
          <w:szCs w:val="22"/>
          <w:lang w:eastAsia="en-US"/>
        </w:rPr>
      </w:pPr>
      <w:r w:rsidRPr="003E41A7">
        <w:rPr>
          <w:rFonts w:eastAsiaTheme="minorHAnsi"/>
          <w:sz w:val="22"/>
          <w:szCs w:val="22"/>
          <w:lang w:eastAsia="en-US"/>
        </w:rPr>
        <w:t>Que el hecho generador del daño esté expresamente previsto dentro del ámbito de cobertura de la póliza contratada.</w:t>
      </w:r>
    </w:p>
    <w:p w14:paraId="6E025352" w14:textId="77777777" w:rsidR="0069313A" w:rsidRPr="003E41A7" w:rsidRDefault="0069313A">
      <w:pPr>
        <w:pStyle w:val="Default"/>
        <w:numPr>
          <w:ilvl w:val="0"/>
          <w:numId w:val="6"/>
        </w:numPr>
        <w:spacing w:line="360" w:lineRule="auto"/>
        <w:jc w:val="both"/>
        <w:rPr>
          <w:rFonts w:eastAsiaTheme="minorHAnsi"/>
          <w:sz w:val="22"/>
          <w:szCs w:val="22"/>
          <w:lang w:eastAsia="en-US"/>
        </w:rPr>
      </w:pPr>
      <w:r w:rsidRPr="003E41A7">
        <w:rPr>
          <w:rFonts w:eastAsiaTheme="minorHAnsi"/>
          <w:sz w:val="22"/>
          <w:szCs w:val="22"/>
          <w:lang w:eastAsia="en-US"/>
        </w:rPr>
        <w:t>Que no se configure ninguna causal de exclusión estipulada en las condiciones generales o particulares.</w:t>
      </w:r>
    </w:p>
    <w:p w14:paraId="6A4374CF" w14:textId="77777777" w:rsidR="0069313A" w:rsidRDefault="0069313A">
      <w:pPr>
        <w:pStyle w:val="Default"/>
        <w:numPr>
          <w:ilvl w:val="0"/>
          <w:numId w:val="6"/>
        </w:numPr>
        <w:spacing w:line="360" w:lineRule="auto"/>
        <w:jc w:val="both"/>
        <w:rPr>
          <w:rFonts w:eastAsiaTheme="minorHAnsi"/>
          <w:sz w:val="22"/>
          <w:szCs w:val="22"/>
          <w:lang w:eastAsia="en-US"/>
        </w:rPr>
      </w:pPr>
      <w:r w:rsidRPr="003E41A7">
        <w:rPr>
          <w:rFonts w:eastAsiaTheme="minorHAnsi"/>
          <w:sz w:val="22"/>
          <w:szCs w:val="22"/>
          <w:lang w:eastAsia="en-US"/>
        </w:rPr>
        <w:t>Que los perjuicios reclamados estén efectivamente amparados dentro de las coberturas y sublímites contractuales pactados por las partes.</w:t>
      </w:r>
    </w:p>
    <w:p w14:paraId="38E52B80" w14:textId="77777777" w:rsidR="0069313A" w:rsidRPr="003E41A7" w:rsidRDefault="0069313A" w:rsidP="0069313A">
      <w:pPr>
        <w:pStyle w:val="Default"/>
        <w:spacing w:line="360" w:lineRule="auto"/>
        <w:ind w:left="720"/>
        <w:jc w:val="both"/>
        <w:rPr>
          <w:rFonts w:eastAsiaTheme="minorHAnsi"/>
          <w:sz w:val="22"/>
          <w:szCs w:val="22"/>
          <w:lang w:eastAsia="en-US"/>
        </w:rPr>
      </w:pPr>
    </w:p>
    <w:p w14:paraId="4AC2A278" w14:textId="0E482A9F" w:rsidR="0069313A" w:rsidRDefault="0069313A" w:rsidP="0069313A">
      <w:pPr>
        <w:pStyle w:val="Default"/>
        <w:spacing w:line="360" w:lineRule="auto"/>
        <w:jc w:val="both"/>
        <w:rPr>
          <w:rFonts w:eastAsiaTheme="minorHAnsi"/>
          <w:sz w:val="22"/>
          <w:szCs w:val="22"/>
          <w:lang w:eastAsia="en-US"/>
        </w:rPr>
      </w:pPr>
      <w:r w:rsidRPr="003E41A7">
        <w:rPr>
          <w:rFonts w:eastAsiaTheme="minorHAnsi"/>
          <w:sz w:val="22"/>
          <w:szCs w:val="22"/>
          <w:lang w:eastAsia="en-US"/>
        </w:rPr>
        <w:t xml:space="preserve">De acuerdo con lo anterior, debe advertirse que incluso en el hipotético evento de una condena en contra del </w:t>
      </w:r>
      <w:r w:rsidR="0067765C" w:rsidRPr="00A8133B">
        <w:rPr>
          <w:rFonts w:eastAsiaTheme="minorHAnsi"/>
        </w:rPr>
        <w:t>INSTITUTO NACIONAL DE VÍAS – INVÍAS</w:t>
      </w:r>
      <w:r w:rsidR="0067765C">
        <w:rPr>
          <w:rFonts w:eastAsiaTheme="minorHAnsi"/>
        </w:rPr>
        <w:t xml:space="preserve">, </w:t>
      </w:r>
      <w:r w:rsidRPr="003E41A7">
        <w:rPr>
          <w:rFonts w:eastAsiaTheme="minorHAnsi"/>
          <w:sz w:val="22"/>
          <w:szCs w:val="22"/>
          <w:lang w:eastAsia="en-US"/>
        </w:rPr>
        <w:t>la aseguradora solo estaría llamada a responder en los estrictos términos pactados contractualmente, en especial en cuanto a los riesgos amparados y los montos máximos de responsabilidad definidos en la póliza. En otras palabras, el asegurador no puede ser obligado a cubrir perjuicios no pactados, ni asumir montos que superen los límites cuantitativos expresamente convenidos entre las partes contratantes.</w:t>
      </w:r>
    </w:p>
    <w:p w14:paraId="4B3D484A" w14:textId="056544C6" w:rsidR="0069313A" w:rsidRPr="003E41A7" w:rsidRDefault="0069313A" w:rsidP="00672953">
      <w:pPr>
        <w:pStyle w:val="Default"/>
        <w:spacing w:line="360" w:lineRule="auto"/>
        <w:jc w:val="both"/>
        <w:rPr>
          <w:rFonts w:eastAsiaTheme="minorHAnsi"/>
          <w:sz w:val="22"/>
          <w:szCs w:val="22"/>
          <w:lang w:eastAsia="en-US"/>
        </w:rPr>
      </w:pPr>
    </w:p>
    <w:p w14:paraId="24BA45B4" w14:textId="5DB8D4A4" w:rsidR="0069313A" w:rsidRDefault="0069313A" w:rsidP="0069313A">
      <w:pPr>
        <w:pStyle w:val="Default"/>
        <w:spacing w:line="360" w:lineRule="auto"/>
        <w:jc w:val="both"/>
        <w:rPr>
          <w:rFonts w:eastAsiaTheme="minorHAnsi"/>
          <w:sz w:val="22"/>
          <w:szCs w:val="22"/>
          <w:lang w:eastAsia="en-US"/>
        </w:rPr>
      </w:pPr>
      <w:r w:rsidRPr="003E41A7">
        <w:rPr>
          <w:rFonts w:eastAsiaTheme="minorHAnsi"/>
          <w:sz w:val="22"/>
          <w:szCs w:val="22"/>
          <w:lang w:eastAsia="en-US"/>
        </w:rPr>
        <w:t xml:space="preserve">En este punto, resulta pertinente señalar que el valor asegurado bajo la póliza de responsabilidad civil </w:t>
      </w:r>
      <w:r>
        <w:rPr>
          <w:rFonts w:eastAsiaTheme="minorHAnsi"/>
          <w:sz w:val="22"/>
          <w:szCs w:val="22"/>
          <w:lang w:eastAsia="en-US"/>
        </w:rPr>
        <w:t>extracontractual</w:t>
      </w:r>
      <w:r w:rsidRPr="003E41A7">
        <w:rPr>
          <w:rFonts w:eastAsiaTheme="minorHAnsi"/>
          <w:sz w:val="22"/>
          <w:szCs w:val="22"/>
          <w:lang w:eastAsia="en-US"/>
        </w:rPr>
        <w:t xml:space="preserve"> vinculada al proceso no es ilimitado, ni puede ser interpretado de forma extensiva o indiscriminada. Por el contrario, el monto de cobertura y el deducible aplicable están claramente definidos en la carátula y condiciones del contrato, los cuales rigen el alcance del compromiso asegurador.</w:t>
      </w:r>
      <w:r w:rsidR="00672953">
        <w:rPr>
          <w:rFonts w:eastAsiaTheme="minorHAnsi"/>
          <w:sz w:val="22"/>
          <w:szCs w:val="22"/>
          <w:lang w:eastAsia="en-US"/>
        </w:rPr>
        <w:t xml:space="preserve"> </w:t>
      </w:r>
      <w:r w:rsidRPr="003E41A7">
        <w:rPr>
          <w:rFonts w:eastAsiaTheme="minorHAnsi"/>
          <w:sz w:val="22"/>
          <w:szCs w:val="22"/>
          <w:lang w:eastAsia="en-US"/>
        </w:rPr>
        <w:t>Detalle de la póliza y su alcance contractual</w:t>
      </w:r>
      <w:r>
        <w:rPr>
          <w:rFonts w:eastAsiaTheme="minorHAnsi"/>
          <w:sz w:val="22"/>
          <w:szCs w:val="22"/>
          <w:lang w:eastAsia="en-US"/>
        </w:rPr>
        <w:t xml:space="preserve">: </w:t>
      </w:r>
    </w:p>
    <w:p w14:paraId="5493D622" w14:textId="468AADB8" w:rsidR="00672953" w:rsidRDefault="00672953" w:rsidP="00672953">
      <w:pPr>
        <w:pStyle w:val="Default"/>
        <w:spacing w:line="360" w:lineRule="auto"/>
        <w:jc w:val="center"/>
        <w:rPr>
          <w:rFonts w:eastAsiaTheme="minorHAnsi"/>
          <w:sz w:val="22"/>
          <w:szCs w:val="22"/>
          <w:lang w:eastAsia="en-US"/>
        </w:rPr>
      </w:pPr>
      <w:r w:rsidRPr="00672953">
        <w:rPr>
          <w:rFonts w:eastAsiaTheme="minorHAnsi"/>
          <w:noProof/>
          <w:sz w:val="22"/>
          <w:szCs w:val="22"/>
          <w:lang w:eastAsia="en-US"/>
        </w:rPr>
        <w:drawing>
          <wp:inline distT="0" distB="0" distL="0" distR="0" wp14:anchorId="18ABC006" wp14:editId="29EB49C1">
            <wp:extent cx="5380422" cy="984250"/>
            <wp:effectExtent l="152400" t="152400" r="353695" b="368300"/>
            <wp:docPr id="20977649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64915" name=""/>
                    <pic:cNvPicPr/>
                  </pic:nvPicPr>
                  <pic:blipFill>
                    <a:blip r:embed="rId12"/>
                    <a:stretch>
                      <a:fillRect/>
                    </a:stretch>
                  </pic:blipFill>
                  <pic:spPr>
                    <a:xfrm>
                      <a:off x="0" y="0"/>
                      <a:ext cx="5421522" cy="991768"/>
                    </a:xfrm>
                    <a:prstGeom prst="rect">
                      <a:avLst/>
                    </a:prstGeom>
                    <a:ln>
                      <a:noFill/>
                    </a:ln>
                    <a:effectLst>
                      <a:outerShdw blurRad="292100" dist="139700" dir="2700000" algn="tl" rotWithShape="0">
                        <a:srgbClr val="333333">
                          <a:alpha val="65000"/>
                        </a:srgbClr>
                      </a:outerShdw>
                    </a:effectLst>
                  </pic:spPr>
                </pic:pic>
              </a:graphicData>
            </a:graphic>
          </wp:inline>
        </w:drawing>
      </w:r>
    </w:p>
    <w:p w14:paraId="1910D88B" w14:textId="5D893D00" w:rsidR="0069313A" w:rsidRPr="003E41A7" w:rsidRDefault="0069313A" w:rsidP="0069313A">
      <w:pPr>
        <w:pStyle w:val="Default"/>
        <w:spacing w:line="360" w:lineRule="auto"/>
        <w:jc w:val="both"/>
        <w:rPr>
          <w:rFonts w:eastAsiaTheme="minorHAnsi"/>
          <w:sz w:val="22"/>
          <w:szCs w:val="22"/>
          <w:lang w:eastAsia="en-US"/>
        </w:rPr>
      </w:pPr>
      <w:r w:rsidRPr="003E41A7">
        <w:rPr>
          <w:rFonts w:eastAsiaTheme="minorHAnsi"/>
          <w:sz w:val="22"/>
          <w:szCs w:val="22"/>
          <w:lang w:eastAsia="en-US"/>
        </w:rPr>
        <w:lastRenderedPageBreak/>
        <w:t>Estas estipulaciones contractuales son de cumplimiento obligatorio y vinculante, tanto para el tomador como para el asegurador, y definen de forma precisa los límites máximos de responsabilidad y los eventos amparados</w:t>
      </w:r>
      <w:r w:rsidR="00672953">
        <w:rPr>
          <w:rFonts w:eastAsiaTheme="minorHAnsi"/>
          <w:sz w:val="22"/>
          <w:szCs w:val="22"/>
          <w:lang w:eastAsia="en-US"/>
        </w:rPr>
        <w:t xml:space="preserve">, </w:t>
      </w:r>
      <w:r w:rsidR="00672953" w:rsidRPr="00672953">
        <w:rPr>
          <w:rFonts w:eastAsiaTheme="minorHAnsi"/>
          <w:b/>
          <w:bCs/>
          <w:sz w:val="22"/>
          <w:szCs w:val="22"/>
          <w:u w:val="single"/>
          <w:lang w:eastAsia="en-US"/>
        </w:rPr>
        <w:t>que</w:t>
      </w:r>
      <w:r w:rsidR="00672953">
        <w:rPr>
          <w:rFonts w:eastAsiaTheme="minorHAnsi"/>
          <w:b/>
          <w:bCs/>
          <w:sz w:val="22"/>
          <w:szCs w:val="22"/>
          <w:u w:val="single"/>
          <w:lang w:eastAsia="en-US"/>
        </w:rPr>
        <w:t xml:space="preserve"> en el caso que hoy nos ocupa</w:t>
      </w:r>
      <w:r w:rsidR="00672953" w:rsidRPr="00672953">
        <w:rPr>
          <w:rFonts w:eastAsiaTheme="minorHAnsi"/>
          <w:b/>
          <w:bCs/>
          <w:sz w:val="22"/>
          <w:szCs w:val="22"/>
          <w:u w:val="single"/>
          <w:lang w:eastAsia="en-US"/>
        </w:rPr>
        <w:t xml:space="preserve"> corresponde a la suma de $8.200.000.000</w:t>
      </w:r>
      <w:r w:rsidRPr="00672953">
        <w:rPr>
          <w:rFonts w:eastAsiaTheme="minorHAnsi"/>
          <w:b/>
          <w:bCs/>
          <w:sz w:val="22"/>
          <w:szCs w:val="22"/>
          <w:u w:val="single"/>
          <w:lang w:eastAsia="en-US"/>
        </w:rPr>
        <w:t>.</w:t>
      </w:r>
      <w:r w:rsidRPr="003E41A7">
        <w:rPr>
          <w:rFonts w:eastAsiaTheme="minorHAnsi"/>
          <w:sz w:val="22"/>
          <w:szCs w:val="22"/>
          <w:lang w:eastAsia="en-US"/>
        </w:rPr>
        <w:t xml:space="preserve"> Tal como lo establece la jurisprudencia y la doctrina en materia de contratos de seguro, el asegurador no está obligado a responder por fuera de lo que fue expresamente pactado, ni puede verse compelido a cubrir valores que excedan los montos asegurados disponibles o a asumir obligaciones frente a hechos no cubiertos.</w:t>
      </w:r>
    </w:p>
    <w:p w14:paraId="36501148" w14:textId="77777777" w:rsidR="0069313A" w:rsidRDefault="0069313A" w:rsidP="0069313A">
      <w:pPr>
        <w:pStyle w:val="Default"/>
        <w:spacing w:line="360" w:lineRule="auto"/>
        <w:jc w:val="both"/>
        <w:rPr>
          <w:rFonts w:eastAsiaTheme="minorHAnsi"/>
          <w:sz w:val="22"/>
          <w:szCs w:val="22"/>
          <w:lang w:eastAsia="en-US"/>
        </w:rPr>
      </w:pPr>
    </w:p>
    <w:p w14:paraId="38B3C741" w14:textId="769261C7" w:rsidR="0069313A" w:rsidRDefault="0069313A" w:rsidP="0069313A">
      <w:pPr>
        <w:pStyle w:val="Default"/>
        <w:spacing w:line="360" w:lineRule="auto"/>
        <w:jc w:val="both"/>
        <w:rPr>
          <w:rFonts w:eastAsiaTheme="minorHAnsi"/>
          <w:sz w:val="22"/>
          <w:szCs w:val="22"/>
          <w:lang w:eastAsia="en-US"/>
        </w:rPr>
      </w:pPr>
      <w:r w:rsidRPr="003E41A7">
        <w:rPr>
          <w:rFonts w:eastAsiaTheme="minorHAnsi"/>
          <w:sz w:val="22"/>
          <w:szCs w:val="22"/>
          <w:lang w:eastAsia="en-US"/>
        </w:rPr>
        <w:t xml:space="preserve">En tal sentido, y reiterando que no se acepta responsabilidad alguna por parte del asegurado ni se admite la existencia de cobertura automática, de llegarse a proferir una sentencia en contra del </w:t>
      </w:r>
      <w:r w:rsidR="00672953" w:rsidRPr="00A8133B">
        <w:rPr>
          <w:rFonts w:eastAsiaTheme="minorHAnsi"/>
        </w:rPr>
        <w:t>INSTITUTO NACIONAL DE VÍAS – INVÍAS</w:t>
      </w:r>
      <w:r w:rsidRPr="003E41A7">
        <w:rPr>
          <w:rFonts w:eastAsiaTheme="minorHAnsi"/>
          <w:sz w:val="22"/>
          <w:szCs w:val="22"/>
          <w:lang w:eastAsia="en-US"/>
        </w:rPr>
        <w:t>, la participación eventual del asegurador deberá ceñirse estrictamente a las condiciones acordadas en la póliza. Esto implica que cualquier reconocimiento indemnizatorio:</w:t>
      </w:r>
      <w:r>
        <w:rPr>
          <w:rFonts w:eastAsiaTheme="minorHAnsi"/>
          <w:sz w:val="22"/>
          <w:szCs w:val="22"/>
          <w:lang w:eastAsia="en-US"/>
        </w:rPr>
        <w:t xml:space="preserve"> i) </w:t>
      </w:r>
      <w:r w:rsidRPr="003E41A7">
        <w:rPr>
          <w:rFonts w:eastAsiaTheme="minorHAnsi"/>
          <w:sz w:val="22"/>
          <w:szCs w:val="22"/>
          <w:lang w:eastAsia="en-US"/>
        </w:rPr>
        <w:t>Estará sujeto al análisis de la existencia efectiva del siniestro y de la responsabilidad del asegurado.</w:t>
      </w:r>
      <w:r>
        <w:rPr>
          <w:rFonts w:eastAsiaTheme="minorHAnsi"/>
          <w:sz w:val="22"/>
          <w:szCs w:val="22"/>
          <w:lang w:eastAsia="en-US"/>
        </w:rPr>
        <w:t xml:space="preserve"> </w:t>
      </w:r>
      <w:proofErr w:type="spellStart"/>
      <w:r>
        <w:rPr>
          <w:rFonts w:eastAsiaTheme="minorHAnsi"/>
          <w:sz w:val="22"/>
          <w:szCs w:val="22"/>
          <w:lang w:eastAsia="en-US"/>
        </w:rPr>
        <w:t>ii</w:t>
      </w:r>
      <w:proofErr w:type="spellEnd"/>
      <w:r>
        <w:rPr>
          <w:rFonts w:eastAsiaTheme="minorHAnsi"/>
          <w:sz w:val="22"/>
          <w:szCs w:val="22"/>
          <w:lang w:eastAsia="en-US"/>
        </w:rPr>
        <w:t xml:space="preserve">) </w:t>
      </w:r>
      <w:r w:rsidRPr="003E41A7">
        <w:rPr>
          <w:rFonts w:eastAsiaTheme="minorHAnsi"/>
          <w:sz w:val="22"/>
          <w:szCs w:val="22"/>
          <w:lang w:eastAsia="en-US"/>
        </w:rPr>
        <w:t>Se limitará a los riesgos expresamente cubiertos.</w:t>
      </w:r>
      <w:r>
        <w:rPr>
          <w:rFonts w:eastAsiaTheme="minorHAnsi"/>
          <w:sz w:val="22"/>
          <w:szCs w:val="22"/>
          <w:lang w:eastAsia="en-US"/>
        </w:rPr>
        <w:t xml:space="preserve"> </w:t>
      </w:r>
      <w:proofErr w:type="spellStart"/>
      <w:r>
        <w:rPr>
          <w:rFonts w:eastAsiaTheme="minorHAnsi"/>
          <w:sz w:val="22"/>
          <w:szCs w:val="22"/>
          <w:lang w:eastAsia="en-US"/>
        </w:rPr>
        <w:t>iii</w:t>
      </w:r>
      <w:proofErr w:type="spellEnd"/>
      <w:r>
        <w:rPr>
          <w:rFonts w:eastAsiaTheme="minorHAnsi"/>
          <w:sz w:val="22"/>
          <w:szCs w:val="22"/>
          <w:lang w:eastAsia="en-US"/>
        </w:rPr>
        <w:t xml:space="preserve">) </w:t>
      </w:r>
      <w:r w:rsidRPr="003E41A7">
        <w:rPr>
          <w:rFonts w:eastAsiaTheme="minorHAnsi"/>
          <w:sz w:val="22"/>
          <w:szCs w:val="22"/>
          <w:lang w:eastAsia="en-US"/>
        </w:rPr>
        <w:t>Respetará el deducible y el monto máximo de cobertura indicado en la carátula.</w:t>
      </w:r>
      <w:r>
        <w:rPr>
          <w:rFonts w:eastAsiaTheme="minorHAnsi"/>
          <w:sz w:val="22"/>
          <w:szCs w:val="22"/>
          <w:lang w:eastAsia="en-US"/>
        </w:rPr>
        <w:t xml:space="preserve"> y </w:t>
      </w:r>
      <w:proofErr w:type="spellStart"/>
      <w:r>
        <w:rPr>
          <w:rFonts w:eastAsiaTheme="minorHAnsi"/>
          <w:sz w:val="22"/>
          <w:szCs w:val="22"/>
          <w:lang w:eastAsia="en-US"/>
        </w:rPr>
        <w:t>iiii</w:t>
      </w:r>
      <w:proofErr w:type="spellEnd"/>
      <w:r>
        <w:rPr>
          <w:rFonts w:eastAsiaTheme="minorHAnsi"/>
          <w:sz w:val="22"/>
          <w:szCs w:val="22"/>
          <w:lang w:eastAsia="en-US"/>
        </w:rPr>
        <w:t xml:space="preserve">) </w:t>
      </w:r>
      <w:r w:rsidRPr="003E41A7">
        <w:rPr>
          <w:rFonts w:eastAsiaTheme="minorHAnsi"/>
          <w:sz w:val="22"/>
          <w:szCs w:val="22"/>
          <w:lang w:eastAsia="en-US"/>
        </w:rPr>
        <w:t>Dependerá de la vigencia del contrato y de que la reclamación se haya presentado dentro de su cobertura temporal.</w:t>
      </w:r>
      <w:r>
        <w:rPr>
          <w:rFonts w:eastAsiaTheme="minorHAnsi"/>
          <w:sz w:val="22"/>
          <w:szCs w:val="22"/>
          <w:lang w:eastAsia="en-US"/>
        </w:rPr>
        <w:t xml:space="preserve"> </w:t>
      </w:r>
      <w:r w:rsidRPr="003E41A7">
        <w:rPr>
          <w:rFonts w:eastAsiaTheme="minorHAnsi"/>
          <w:sz w:val="22"/>
          <w:szCs w:val="22"/>
          <w:lang w:eastAsia="en-US"/>
        </w:rPr>
        <w:t>Por consiguiente, la aseguradora no puede ser llamada a responder por encima de lo contratado, ni mucho menos a cubrir daños que superen los límites económicos establecidos o que se pretendan cobrar sin observancia de las condiciones legales y contractuales. En suma, el límite del valor asegurado y la estructura misma de la póliza imponen una barrera infranqueable frente a cualquier pretensión de trasladar al asegurador una carga superior a la pactada.</w:t>
      </w:r>
    </w:p>
    <w:p w14:paraId="61472ABC" w14:textId="77777777" w:rsidR="0069313A" w:rsidRDefault="0069313A" w:rsidP="00D04B8E">
      <w:pPr>
        <w:widowControl/>
        <w:adjustRightInd w:val="0"/>
        <w:spacing w:line="360" w:lineRule="auto"/>
        <w:jc w:val="both"/>
        <w:rPr>
          <w:rFonts w:ascii="Arial" w:eastAsiaTheme="minorHAnsi" w:hAnsi="Arial" w:cs="Arial"/>
          <w:color w:val="000000"/>
          <w:lang w:val="es-CO"/>
        </w:rPr>
      </w:pPr>
    </w:p>
    <w:p w14:paraId="4B85429B" w14:textId="77777777" w:rsidR="00D04B8E" w:rsidRPr="00D04B8E" w:rsidRDefault="00D04B8E" w:rsidP="00D04B8E">
      <w:pPr>
        <w:widowControl/>
        <w:adjustRightInd w:val="0"/>
        <w:spacing w:line="360" w:lineRule="auto"/>
        <w:jc w:val="both"/>
        <w:rPr>
          <w:rFonts w:ascii="Arial" w:eastAsiaTheme="minorHAnsi" w:hAnsi="Arial" w:cs="Arial"/>
          <w:color w:val="000000"/>
          <w:lang w:val="es-CO"/>
        </w:rPr>
      </w:pPr>
    </w:p>
    <w:p w14:paraId="4FCD8EB7" w14:textId="79C98B14" w:rsidR="000A5CD4" w:rsidRPr="000A5CD4" w:rsidRDefault="00E314A7">
      <w:pPr>
        <w:pStyle w:val="Prrafodelista"/>
        <w:widowControl/>
        <w:numPr>
          <w:ilvl w:val="0"/>
          <w:numId w:val="2"/>
        </w:numPr>
        <w:adjustRightInd w:val="0"/>
        <w:spacing w:line="360" w:lineRule="auto"/>
        <w:jc w:val="both"/>
        <w:rPr>
          <w:rFonts w:ascii="Arial" w:hAnsi="Arial" w:cs="Arial"/>
          <w:b/>
          <w:bCs/>
          <w:lang w:val="es-CO"/>
        </w:rPr>
      </w:pPr>
      <w:r>
        <w:rPr>
          <w:rFonts w:ascii="Arial" w:hAnsi="Arial" w:cs="Arial"/>
          <w:b/>
          <w:bCs/>
          <w:lang w:val="es-CO"/>
        </w:rPr>
        <w:t xml:space="preserve">NO DEBERÁ DESCONOCERSE EL </w:t>
      </w:r>
      <w:r w:rsidR="000A5CD4" w:rsidRPr="000A5CD4">
        <w:rPr>
          <w:rFonts w:ascii="Arial" w:hAnsi="Arial" w:cs="Arial"/>
          <w:b/>
          <w:bCs/>
          <w:lang w:val="es-CO"/>
        </w:rPr>
        <w:t xml:space="preserve">DEDUCIBLE A CARGO DEL ASEGURADO EN LA PÓLIZA DE RESPONSABILIDAD CIVIL EXTRACONTRACTUAL No. </w:t>
      </w:r>
      <w:r w:rsidR="001A3052" w:rsidRPr="00A8133B">
        <w:rPr>
          <w:rFonts w:eastAsiaTheme="minorHAnsi"/>
          <w:b/>
          <w:bCs/>
        </w:rPr>
        <w:t>2201214004752</w:t>
      </w:r>
      <w:r w:rsidR="000A5CD4" w:rsidRPr="000A5CD4">
        <w:rPr>
          <w:rFonts w:ascii="Arial" w:hAnsi="Arial" w:cs="Arial"/>
          <w:b/>
          <w:bCs/>
          <w:lang w:val="es-CO"/>
        </w:rPr>
        <w:t>.</w:t>
      </w:r>
    </w:p>
    <w:p w14:paraId="1BE8E636" w14:textId="77777777" w:rsidR="000A5CD4" w:rsidRPr="00E25191" w:rsidRDefault="000A5CD4" w:rsidP="000A5CD4">
      <w:pPr>
        <w:widowControl/>
        <w:adjustRightInd w:val="0"/>
        <w:spacing w:line="360" w:lineRule="auto"/>
        <w:jc w:val="both"/>
        <w:rPr>
          <w:rFonts w:ascii="Arial" w:hAnsi="Arial" w:cs="Arial"/>
          <w:b/>
          <w:bCs/>
          <w:u w:val="single"/>
          <w:lang w:val="es-CO"/>
        </w:rPr>
      </w:pPr>
    </w:p>
    <w:p w14:paraId="50D47664" w14:textId="2E637007" w:rsidR="000A5CD4" w:rsidRPr="00E25191" w:rsidRDefault="000A5CD4" w:rsidP="000A5CD4">
      <w:pPr>
        <w:widowControl/>
        <w:adjustRightInd w:val="0"/>
        <w:spacing w:line="360" w:lineRule="auto"/>
        <w:jc w:val="both"/>
        <w:rPr>
          <w:rFonts w:ascii="Arial" w:hAnsi="Arial" w:cs="Arial"/>
          <w:lang w:val="es-CO"/>
        </w:rPr>
      </w:pPr>
      <w:r w:rsidRPr="00E25191">
        <w:rPr>
          <w:rFonts w:ascii="Arial" w:hAnsi="Arial" w:cs="Arial"/>
          <w:lang w:val="es-CO"/>
        </w:rPr>
        <w:t>Sin perjuicio de lo previamente expuesto y sin que ello implique aceptación alguna por parte de mi representada, resulta pertinente señalar que en la Póliza de Responsabilidad Civil Extracontractual No</w:t>
      </w:r>
      <w:r w:rsidR="001A3052">
        <w:rPr>
          <w:rFonts w:ascii="Arial" w:hAnsi="Arial" w:cs="Arial"/>
          <w:lang w:val="es-CO"/>
        </w:rPr>
        <w:t xml:space="preserve">. </w:t>
      </w:r>
      <w:r w:rsidR="001A3052" w:rsidRPr="001A3052">
        <w:rPr>
          <w:rFonts w:ascii="Arial" w:hAnsi="Arial" w:cs="Arial"/>
          <w:lang w:val="es-CO"/>
        </w:rPr>
        <w:t>2201214004752</w:t>
      </w:r>
      <w:r w:rsidR="00672953">
        <w:rPr>
          <w:rFonts w:ascii="Arial" w:hAnsi="Arial" w:cs="Arial"/>
          <w:lang w:val="es-CO"/>
        </w:rPr>
        <w:t xml:space="preserve"> </w:t>
      </w:r>
      <w:r w:rsidRPr="00E25191">
        <w:rPr>
          <w:rFonts w:ascii="Arial" w:hAnsi="Arial" w:cs="Arial"/>
          <w:lang w:val="es-CO"/>
        </w:rPr>
        <w:t xml:space="preserve">se estipuló un deducible equivalente </w:t>
      </w:r>
      <w:r w:rsidRPr="00E0292B">
        <w:rPr>
          <w:rFonts w:ascii="Arial" w:hAnsi="Arial" w:cs="Arial"/>
          <w:b/>
          <w:bCs/>
          <w:u w:val="single"/>
          <w:lang w:val="es-CO"/>
        </w:rPr>
        <w:t xml:space="preserve">al </w:t>
      </w:r>
      <w:r w:rsidR="001A3052">
        <w:rPr>
          <w:rFonts w:ascii="Arial" w:hAnsi="Arial" w:cs="Arial"/>
          <w:b/>
          <w:bCs/>
          <w:u w:val="single"/>
          <w:lang w:val="es-CO"/>
        </w:rPr>
        <w:t>dos p</w:t>
      </w:r>
      <w:r w:rsidRPr="00E0292B">
        <w:rPr>
          <w:rFonts w:ascii="Arial" w:hAnsi="Arial" w:cs="Arial"/>
          <w:b/>
          <w:bCs/>
          <w:u w:val="single"/>
          <w:lang w:val="es-CO"/>
        </w:rPr>
        <w:t>or ciento (</w:t>
      </w:r>
      <w:r w:rsidR="001A3052">
        <w:rPr>
          <w:rFonts w:ascii="Arial" w:hAnsi="Arial" w:cs="Arial"/>
          <w:b/>
          <w:bCs/>
          <w:u w:val="single"/>
          <w:lang w:val="es-CO"/>
        </w:rPr>
        <w:t>2</w:t>
      </w:r>
      <w:r w:rsidRPr="00E0292B">
        <w:rPr>
          <w:rFonts w:ascii="Arial" w:hAnsi="Arial" w:cs="Arial"/>
          <w:b/>
          <w:bCs/>
          <w:u w:val="single"/>
          <w:lang w:val="es-CO"/>
        </w:rPr>
        <w:t xml:space="preserve">%) del valor de la pérdida, estableciendo un mínimo de </w:t>
      </w:r>
      <w:r w:rsidR="001A3052">
        <w:rPr>
          <w:rFonts w:ascii="Arial" w:hAnsi="Arial" w:cs="Arial"/>
          <w:b/>
          <w:bCs/>
          <w:u w:val="single"/>
          <w:lang w:val="es-CO"/>
        </w:rPr>
        <w:t>un</w:t>
      </w:r>
      <w:r w:rsidRPr="00E0292B">
        <w:rPr>
          <w:rFonts w:ascii="Arial" w:hAnsi="Arial" w:cs="Arial"/>
          <w:b/>
          <w:bCs/>
          <w:u w:val="single"/>
          <w:lang w:val="es-CO"/>
        </w:rPr>
        <w:t xml:space="preserve"> (0</w:t>
      </w:r>
      <w:r w:rsidR="001A3052">
        <w:rPr>
          <w:rFonts w:ascii="Arial" w:hAnsi="Arial" w:cs="Arial"/>
          <w:b/>
          <w:bCs/>
          <w:u w:val="single"/>
          <w:lang w:val="es-CO"/>
        </w:rPr>
        <w:t>1</w:t>
      </w:r>
      <w:r w:rsidRPr="00E0292B">
        <w:rPr>
          <w:rFonts w:ascii="Arial" w:hAnsi="Arial" w:cs="Arial"/>
          <w:b/>
          <w:bCs/>
          <w:u w:val="single"/>
          <w:lang w:val="es-CO"/>
        </w:rPr>
        <w:t>) salario mínimo</w:t>
      </w:r>
      <w:r w:rsidR="001A3052">
        <w:rPr>
          <w:rFonts w:ascii="Arial" w:hAnsi="Arial" w:cs="Arial"/>
          <w:b/>
          <w:bCs/>
          <w:u w:val="single"/>
          <w:lang w:val="es-CO"/>
        </w:rPr>
        <w:t xml:space="preserve"> </w:t>
      </w:r>
      <w:r w:rsidRPr="00E0292B">
        <w:rPr>
          <w:rFonts w:ascii="Arial" w:hAnsi="Arial" w:cs="Arial"/>
          <w:b/>
          <w:bCs/>
          <w:u w:val="single"/>
          <w:lang w:val="es-CO"/>
        </w:rPr>
        <w:t>mensual legales vigentes por cada evento</w:t>
      </w:r>
      <w:r w:rsidRPr="00E25191">
        <w:rPr>
          <w:rFonts w:ascii="Arial" w:hAnsi="Arial" w:cs="Arial"/>
          <w:lang w:val="es-CO"/>
        </w:rPr>
        <w:t>. Dicho monto constituye la porción de la pérdida que deberá ser asumida directamente por el asegurado con sus propios recursos.</w:t>
      </w:r>
    </w:p>
    <w:p w14:paraId="6844385A" w14:textId="03351BFE" w:rsidR="000A5CD4" w:rsidRPr="00E25191" w:rsidRDefault="000A5CD4" w:rsidP="001A3052">
      <w:pPr>
        <w:widowControl/>
        <w:adjustRightInd w:val="0"/>
        <w:spacing w:line="360" w:lineRule="auto"/>
        <w:jc w:val="center"/>
        <w:rPr>
          <w:rFonts w:ascii="Arial" w:hAnsi="Arial" w:cs="Arial"/>
          <w:lang w:val="es-CO"/>
        </w:rPr>
      </w:pPr>
      <w:r w:rsidRPr="00E25191">
        <w:rPr>
          <w:rFonts w:ascii="Arial" w:hAnsi="Arial" w:cs="Arial"/>
          <w:noProof/>
          <w:lang w:val="es-CO"/>
        </w:rPr>
        <mc:AlternateContent>
          <mc:Choice Requires="wps">
            <w:drawing>
              <wp:anchor distT="0" distB="0" distL="114300" distR="114300" simplePos="0" relativeHeight="251661312" behindDoc="0" locked="0" layoutInCell="1" allowOverlap="1" wp14:anchorId="50139F8F" wp14:editId="017D4017">
                <wp:simplePos x="0" y="0"/>
                <wp:positionH relativeFrom="margin">
                  <wp:posOffset>1934210</wp:posOffset>
                </wp:positionH>
                <wp:positionV relativeFrom="paragraph">
                  <wp:posOffset>468630</wp:posOffset>
                </wp:positionV>
                <wp:extent cx="1816100" cy="7620"/>
                <wp:effectExtent l="0" t="0" r="31750" b="30480"/>
                <wp:wrapNone/>
                <wp:docPr id="449939501" name="Conector recto 6"/>
                <wp:cNvGraphicFramePr/>
                <a:graphic xmlns:a="http://schemas.openxmlformats.org/drawingml/2006/main">
                  <a:graphicData uri="http://schemas.microsoft.com/office/word/2010/wordprocessingShape">
                    <wps:wsp>
                      <wps:cNvCnPr/>
                      <wps:spPr>
                        <a:xfrm flipV="1">
                          <a:off x="0" y="0"/>
                          <a:ext cx="1816100" cy="762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F57C3" id="Conector recto 6"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2.3pt,36.9pt" to="295.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" strokecolor="red" strokeweight="1.5pt">
                <v:stroke joinstyle="miter"/>
                <w10:wrap anchorx="margin"/>
              </v:line>
            </w:pict>
          </mc:Fallback>
        </mc:AlternateContent>
      </w:r>
      <w:r w:rsidR="001A3052" w:rsidRPr="001A3052">
        <w:rPr>
          <w:rFonts w:ascii="Arial" w:hAnsi="Arial" w:cs="Arial"/>
          <w:noProof/>
          <w:lang w:val="es-CO"/>
        </w:rPr>
        <w:drawing>
          <wp:inline distT="0" distB="0" distL="0" distR="0" wp14:anchorId="277FA3E9" wp14:editId="113E8877">
            <wp:extent cx="2933700" cy="942432"/>
            <wp:effectExtent l="152400" t="152400" r="361950" b="353060"/>
            <wp:docPr id="2580113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11343" name=""/>
                    <pic:cNvPicPr/>
                  </pic:nvPicPr>
                  <pic:blipFill>
                    <a:blip r:embed="rId13"/>
                    <a:stretch>
                      <a:fillRect/>
                    </a:stretch>
                  </pic:blipFill>
                  <pic:spPr>
                    <a:xfrm>
                      <a:off x="0" y="0"/>
                      <a:ext cx="2954228" cy="949027"/>
                    </a:xfrm>
                    <a:prstGeom prst="rect">
                      <a:avLst/>
                    </a:prstGeom>
                    <a:ln>
                      <a:noFill/>
                    </a:ln>
                    <a:effectLst>
                      <a:outerShdw blurRad="292100" dist="139700" dir="2700000" algn="tl" rotWithShape="0">
                        <a:srgbClr val="333333">
                          <a:alpha val="65000"/>
                        </a:srgbClr>
                      </a:outerShdw>
                    </a:effectLst>
                  </pic:spPr>
                </pic:pic>
              </a:graphicData>
            </a:graphic>
          </wp:inline>
        </w:drawing>
      </w:r>
    </w:p>
    <w:p w14:paraId="1C32BB93" w14:textId="77777777" w:rsidR="000A5CD4" w:rsidRPr="00E25191" w:rsidRDefault="000A5CD4" w:rsidP="000A5CD4">
      <w:pPr>
        <w:widowControl/>
        <w:adjustRightInd w:val="0"/>
        <w:spacing w:line="360" w:lineRule="auto"/>
        <w:jc w:val="both"/>
        <w:rPr>
          <w:rFonts w:ascii="Arial" w:hAnsi="Arial" w:cs="Arial"/>
          <w:i/>
          <w:iCs/>
          <w:lang w:val="es-CO"/>
        </w:rPr>
      </w:pPr>
      <w:r w:rsidRPr="00E25191">
        <w:rPr>
          <w:rFonts w:ascii="Arial" w:hAnsi="Arial" w:cs="Arial"/>
          <w:lang w:val="es-CO"/>
        </w:rPr>
        <w:t xml:space="preserve">Asimismo, en la referida póliza se prevé expresamente que: </w:t>
      </w:r>
      <w:r w:rsidRPr="00E25191">
        <w:rPr>
          <w:rFonts w:ascii="Arial" w:hAnsi="Arial" w:cs="Arial"/>
          <w:i/>
          <w:iCs/>
          <w:lang w:val="es-CO"/>
        </w:rPr>
        <w:t xml:space="preserve">"Todas las indemnizaciones que pudieran generarse como consecuencia de un siniestro amparado por cualquiera de las coberturas </w:t>
      </w:r>
      <w:r w:rsidRPr="00E25191">
        <w:rPr>
          <w:rFonts w:ascii="Arial" w:hAnsi="Arial" w:cs="Arial"/>
          <w:i/>
          <w:iCs/>
          <w:lang w:val="es-CO"/>
        </w:rPr>
        <w:lastRenderedPageBreak/>
        <w:t>contempladas en la presente póliza estarán sujetas a los límites de indemnización y deducibles aplicables, conforme a lo dispuesto en las condiciones generales, particulares y/o especiales que integran el contrato de seguro."</w:t>
      </w:r>
    </w:p>
    <w:p w14:paraId="6152B8F0" w14:textId="77777777" w:rsidR="000A5CD4" w:rsidRPr="00E25191" w:rsidRDefault="000A5CD4" w:rsidP="000A5CD4">
      <w:pPr>
        <w:widowControl/>
        <w:adjustRightInd w:val="0"/>
        <w:spacing w:line="360" w:lineRule="auto"/>
        <w:jc w:val="both"/>
        <w:rPr>
          <w:rFonts w:ascii="Arial" w:hAnsi="Arial" w:cs="Arial"/>
          <w:i/>
          <w:iCs/>
          <w:lang w:val="es-CO"/>
        </w:rPr>
      </w:pPr>
    </w:p>
    <w:p w14:paraId="3D8DB46B" w14:textId="77777777" w:rsidR="000A5CD4" w:rsidRPr="00E25191" w:rsidRDefault="000A5CD4" w:rsidP="000A5CD4">
      <w:pPr>
        <w:widowControl/>
        <w:adjustRightInd w:val="0"/>
        <w:spacing w:line="360" w:lineRule="auto"/>
        <w:jc w:val="both"/>
        <w:rPr>
          <w:rFonts w:ascii="Arial" w:hAnsi="Arial" w:cs="Arial"/>
          <w:lang w:val="es-CO"/>
        </w:rPr>
      </w:pPr>
      <w:r w:rsidRPr="00E25191">
        <w:rPr>
          <w:rFonts w:ascii="Arial" w:hAnsi="Arial" w:cs="Arial"/>
          <w:lang w:val="es-CO"/>
        </w:rPr>
        <w:t>Sobre este particular, la Superintendencia Financiera de Colombia, en su concepto No. 2008065573-001, ha precisado el alcance del deducible, indicando que el artículo 1103 del Código de Comercio, dentro de las disposiciones comunes a los seguros de daños, reconoce la posibilidad de pactar cláusulas que obliguen al asegurado a asumir una parte del riesgo o de la pérdida. En este contexto, el deducible se configura como la suma que el asegurador descuenta invariablemente del monto de la indemnización, de modo que, en caso de siniestro, la aseguradora no cubrirá la totalidad del daño, sino únicamente el valor que exceda el monto pactado como deducible. Este puede establecerse como una suma fija, un porcentaje o una combinación de ambos, y su finalidad radica en generar conciencia en el asegurado respecto del cuidado y manejo adecuado del bien o riesgo asegurado. En consecuencia, serán las partes del contrato quienes determinen el porcentaje de la pérdida que deberá ser asumido por el asegurado bajo esta modalidad, lo que se enmarca en las disposiciones del numeral 11 del artículo 1047 del Código de Comercio, relativo a las condiciones particulares que acuerden los contratantes.</w:t>
      </w:r>
    </w:p>
    <w:p w14:paraId="004F2F90" w14:textId="77777777" w:rsidR="000A5CD4" w:rsidRPr="00E25191" w:rsidRDefault="000A5CD4" w:rsidP="000A5CD4">
      <w:pPr>
        <w:widowControl/>
        <w:adjustRightInd w:val="0"/>
        <w:spacing w:line="360" w:lineRule="auto"/>
        <w:jc w:val="both"/>
        <w:rPr>
          <w:rFonts w:ascii="Arial" w:hAnsi="Arial" w:cs="Arial"/>
          <w:lang w:val="es-CO"/>
        </w:rPr>
      </w:pPr>
    </w:p>
    <w:p w14:paraId="78E04DBF" w14:textId="1BA3281C" w:rsidR="000A5CD4" w:rsidRDefault="000A5CD4" w:rsidP="000A5CD4">
      <w:pPr>
        <w:widowControl/>
        <w:adjustRightInd w:val="0"/>
        <w:spacing w:line="360" w:lineRule="auto"/>
        <w:jc w:val="both"/>
        <w:rPr>
          <w:rFonts w:ascii="Arial" w:hAnsi="Arial" w:cs="Arial"/>
          <w:lang w:val="es-CO"/>
        </w:rPr>
      </w:pPr>
      <w:r w:rsidRPr="00E25191">
        <w:rPr>
          <w:rFonts w:ascii="Arial" w:hAnsi="Arial" w:cs="Arial"/>
          <w:lang w:val="es-CO"/>
        </w:rPr>
        <w:t xml:space="preserve">Por lo anterior, Honorable Juez, resulta procedente realizar un análisis detallado de las disposiciones establecidas en la Póliza de Responsabilidad Civil Extracontractual No. </w:t>
      </w:r>
      <w:r w:rsidR="008B71D8" w:rsidRPr="001A3052">
        <w:rPr>
          <w:rFonts w:ascii="Arial" w:hAnsi="Arial" w:cs="Arial"/>
          <w:lang w:val="es-CO"/>
        </w:rPr>
        <w:t>2201214004752</w:t>
      </w:r>
      <w:r w:rsidRPr="00E25191">
        <w:rPr>
          <w:rFonts w:ascii="Arial" w:hAnsi="Arial" w:cs="Arial"/>
          <w:lang w:val="es-CO"/>
        </w:rPr>
        <w:t>, por lo que solicito a su despacho considerar cada una de sus condiciones, en especial aquellas relativas a la suma asegurada y al deducible pactado. De igual manera, en el eventual escenario en que se haga efectivo el llamamiento en garantía, se solicita que sean aplicadas en su integridad todas las cláusulas y condiciones del contrato de seguro.</w:t>
      </w:r>
    </w:p>
    <w:p w14:paraId="5A010365" w14:textId="77777777" w:rsidR="000A5CD4" w:rsidRDefault="000A5CD4" w:rsidP="000A5CD4">
      <w:pPr>
        <w:widowControl/>
        <w:adjustRightInd w:val="0"/>
        <w:spacing w:line="360" w:lineRule="auto"/>
        <w:jc w:val="both"/>
        <w:rPr>
          <w:rFonts w:ascii="Arial" w:hAnsi="Arial" w:cs="Arial"/>
          <w:lang w:val="es-CO"/>
        </w:rPr>
      </w:pPr>
    </w:p>
    <w:p w14:paraId="745C6EC0" w14:textId="7297415C" w:rsidR="000A5CD4" w:rsidRPr="000A5CD4" w:rsidRDefault="000A5CD4">
      <w:pPr>
        <w:pStyle w:val="Prrafodelista"/>
        <w:numPr>
          <w:ilvl w:val="0"/>
          <w:numId w:val="2"/>
        </w:numPr>
        <w:spacing w:line="360" w:lineRule="auto"/>
        <w:jc w:val="both"/>
        <w:rPr>
          <w:rFonts w:ascii="Arial" w:hAnsi="Arial" w:cs="Arial"/>
          <w:b/>
          <w:bCs/>
          <w:lang w:val="es-CO"/>
        </w:rPr>
      </w:pPr>
      <w:r w:rsidRPr="000A5CD4">
        <w:rPr>
          <w:rFonts w:ascii="Arial" w:hAnsi="Arial" w:cs="Arial"/>
          <w:b/>
          <w:bCs/>
          <w:lang w:val="es-CO"/>
        </w:rPr>
        <w:t xml:space="preserve">EXISTENCIA DE CAUSALES DE EXCLUSIÓN DE COBERTURA EN LA PÓLIZA No. </w:t>
      </w:r>
      <w:r w:rsidR="008B71D8" w:rsidRPr="008B71D8">
        <w:rPr>
          <w:rFonts w:ascii="Arial" w:hAnsi="Arial" w:cs="Arial"/>
          <w:b/>
          <w:bCs/>
          <w:lang w:val="es-CO"/>
        </w:rPr>
        <w:t>2201214004752</w:t>
      </w:r>
      <w:r>
        <w:rPr>
          <w:rFonts w:ascii="Arial" w:hAnsi="Arial" w:cs="Arial"/>
          <w:b/>
          <w:bCs/>
          <w:lang w:val="es-CO"/>
        </w:rPr>
        <w:t xml:space="preserve">. </w:t>
      </w:r>
    </w:p>
    <w:p w14:paraId="1911B5E3" w14:textId="77777777" w:rsidR="000A5CD4" w:rsidRPr="00E25191" w:rsidRDefault="000A5CD4" w:rsidP="000A5CD4">
      <w:pPr>
        <w:spacing w:line="360" w:lineRule="auto"/>
        <w:jc w:val="both"/>
        <w:rPr>
          <w:rFonts w:ascii="Arial" w:hAnsi="Arial" w:cs="Arial"/>
          <w:b/>
          <w:bCs/>
          <w:lang w:val="es-CO"/>
        </w:rPr>
      </w:pPr>
    </w:p>
    <w:p w14:paraId="577B7BF0" w14:textId="11636F37" w:rsidR="000A5CD4" w:rsidRPr="00E25191" w:rsidRDefault="000A5CD4" w:rsidP="000A5CD4">
      <w:pPr>
        <w:spacing w:line="360" w:lineRule="auto"/>
        <w:jc w:val="both"/>
        <w:rPr>
          <w:rFonts w:ascii="Arial" w:hAnsi="Arial" w:cs="Arial"/>
          <w:i/>
          <w:iCs/>
          <w:lang w:val="es-CO"/>
        </w:rPr>
      </w:pPr>
      <w:r w:rsidRPr="00E25191">
        <w:rPr>
          <w:rFonts w:ascii="Arial" w:hAnsi="Arial" w:cs="Arial"/>
          <w:lang w:val="es-CO"/>
        </w:rPr>
        <w:t xml:space="preserve">En las condiciones de la Póliza de Seguro de Responsabilidad Civil Extracontractual No. </w:t>
      </w:r>
      <w:r w:rsidR="008B71D8" w:rsidRPr="001A3052">
        <w:rPr>
          <w:rFonts w:ascii="Arial" w:hAnsi="Arial" w:cs="Arial"/>
          <w:lang w:val="es-CO"/>
        </w:rPr>
        <w:t>2201214004752</w:t>
      </w:r>
      <w:r w:rsidRPr="00E25191">
        <w:rPr>
          <w:rFonts w:ascii="Arial" w:hAnsi="Arial" w:cs="Arial"/>
          <w:lang w:val="es-CO"/>
        </w:rPr>
        <w:t xml:space="preserve">, se establecen los parámetros que enmarcan la obligación condicional que contrajo mi representada, y delimitan la extensión del riesgo asumido por ella. En efecto, en ellas se refleja la voluntad de los contratantes al momento de celebrar el contrato, y definen de manera explícita las condiciones del negocio </w:t>
      </w:r>
      <w:proofErr w:type="spellStart"/>
      <w:r w:rsidRPr="00E25191">
        <w:rPr>
          <w:rFonts w:ascii="Arial" w:hAnsi="Arial" w:cs="Arial"/>
          <w:lang w:val="es-CO"/>
        </w:rPr>
        <w:t>aseguraticio</w:t>
      </w:r>
      <w:proofErr w:type="spellEnd"/>
      <w:r w:rsidRPr="00E25191">
        <w:rPr>
          <w:rFonts w:ascii="Arial" w:hAnsi="Arial" w:cs="Arial"/>
          <w:lang w:val="es-CO"/>
        </w:rPr>
        <w:t>. Ahora bien, tal como lo señala el artículo 1056 del Código de Comercio, el asegurador puede, a su arbitrio, delimitar los riesgos que asume:</w:t>
      </w:r>
      <w:r w:rsidRPr="00E25191">
        <w:rPr>
          <w:rFonts w:ascii="Arial" w:hAnsi="Arial" w:cs="Arial"/>
          <w:i/>
          <w:iCs/>
          <w:lang w:val="es-CO"/>
        </w:rPr>
        <w:t xml:space="preserve"> “(…) Art. 1056.- Con las restricciones legales, el asegurador pondrá, a su arbitrio, asumir todos o algunos de los riesgos a que estén expuestos el interés o la cosa asegurados, el patrimonio o la persona del asegurado.”</w:t>
      </w:r>
    </w:p>
    <w:p w14:paraId="374E820D" w14:textId="77777777" w:rsidR="000A5CD4" w:rsidRPr="00E25191" w:rsidRDefault="000A5CD4" w:rsidP="000A5CD4">
      <w:pPr>
        <w:spacing w:line="360" w:lineRule="auto"/>
        <w:jc w:val="both"/>
        <w:rPr>
          <w:rFonts w:ascii="Arial" w:hAnsi="Arial" w:cs="Arial"/>
          <w:i/>
          <w:iCs/>
          <w:lang w:val="es-CO"/>
        </w:rPr>
      </w:pPr>
    </w:p>
    <w:p w14:paraId="59DFFAB9" w14:textId="77777777" w:rsidR="000A5CD4" w:rsidRPr="00E25191" w:rsidRDefault="000A5CD4" w:rsidP="000A5CD4">
      <w:pPr>
        <w:spacing w:line="360" w:lineRule="auto"/>
        <w:jc w:val="both"/>
        <w:rPr>
          <w:rFonts w:ascii="Arial" w:hAnsi="Arial" w:cs="Arial"/>
          <w:lang w:val="es-CO"/>
        </w:rPr>
      </w:pPr>
      <w:r w:rsidRPr="00E25191">
        <w:rPr>
          <w:rFonts w:ascii="Arial" w:hAnsi="Arial" w:cs="Arial"/>
          <w:lang w:val="es-CO"/>
        </w:rPr>
        <w:t>En virtud de la facultad citada en el referido artículo, el asegurador decidió otorgar determinados</w:t>
      </w:r>
    </w:p>
    <w:p w14:paraId="00A2686C" w14:textId="77777777" w:rsidR="000A5CD4" w:rsidRPr="00E25191" w:rsidRDefault="000A5CD4" w:rsidP="000A5CD4">
      <w:pPr>
        <w:spacing w:line="360" w:lineRule="auto"/>
        <w:jc w:val="both"/>
        <w:rPr>
          <w:rFonts w:ascii="Arial" w:hAnsi="Arial" w:cs="Arial"/>
          <w:lang w:val="es-CO"/>
        </w:rPr>
      </w:pPr>
      <w:r w:rsidRPr="00E25191">
        <w:rPr>
          <w:rFonts w:ascii="Arial" w:hAnsi="Arial" w:cs="Arial"/>
          <w:lang w:val="es-CO"/>
        </w:rPr>
        <w:t>amparos, siempre supeditados al cumplimiento de ciertos presupuestos, e incorpora en la póliza</w:t>
      </w:r>
    </w:p>
    <w:p w14:paraId="718CA935" w14:textId="77777777" w:rsidR="000A5CD4" w:rsidRPr="00E25191" w:rsidRDefault="000A5CD4" w:rsidP="000A5CD4">
      <w:pPr>
        <w:spacing w:line="360" w:lineRule="auto"/>
        <w:jc w:val="both"/>
        <w:rPr>
          <w:rFonts w:ascii="Arial" w:hAnsi="Arial" w:cs="Arial"/>
          <w:lang w:val="es-CO"/>
        </w:rPr>
      </w:pPr>
      <w:r w:rsidRPr="00E25191">
        <w:rPr>
          <w:rFonts w:ascii="Arial" w:hAnsi="Arial" w:cs="Arial"/>
          <w:lang w:val="es-CO"/>
        </w:rPr>
        <w:lastRenderedPageBreak/>
        <w:t>referenciada, barreras cualitativas que eximen al asegurador a la prestación señalada en el contrato,</w:t>
      </w:r>
    </w:p>
    <w:p w14:paraId="3C445C61" w14:textId="77777777" w:rsidR="000A5CD4" w:rsidRPr="00E25191" w:rsidRDefault="000A5CD4" w:rsidP="000A5CD4">
      <w:pPr>
        <w:spacing w:line="360" w:lineRule="auto"/>
        <w:jc w:val="both"/>
        <w:rPr>
          <w:rFonts w:ascii="Arial" w:hAnsi="Arial" w:cs="Arial"/>
          <w:i/>
          <w:iCs/>
          <w:lang w:val="es-CO"/>
        </w:rPr>
      </w:pPr>
      <w:r w:rsidRPr="00E25191">
        <w:rPr>
          <w:rFonts w:ascii="Arial" w:hAnsi="Arial" w:cs="Arial"/>
          <w:lang w:val="es-CO"/>
        </w:rPr>
        <w:t xml:space="preserve">las cuales se conocen generalmente como </w:t>
      </w:r>
      <w:r w:rsidRPr="00E25191">
        <w:rPr>
          <w:rFonts w:ascii="Arial" w:hAnsi="Arial" w:cs="Arial"/>
          <w:i/>
          <w:iCs/>
          <w:lang w:val="es-CO"/>
        </w:rPr>
        <w:t>exclusiones de la cobertura.</w:t>
      </w:r>
    </w:p>
    <w:p w14:paraId="2598B980" w14:textId="77777777" w:rsidR="000A5CD4" w:rsidRPr="00E25191" w:rsidRDefault="000A5CD4" w:rsidP="000A5CD4">
      <w:pPr>
        <w:spacing w:line="360" w:lineRule="auto"/>
        <w:jc w:val="both"/>
        <w:rPr>
          <w:rFonts w:ascii="Arial" w:hAnsi="Arial" w:cs="Arial"/>
          <w:i/>
          <w:iCs/>
          <w:lang w:val="es-CO"/>
        </w:rPr>
      </w:pPr>
    </w:p>
    <w:p w14:paraId="6F11292E" w14:textId="77777777" w:rsidR="000A5CD4" w:rsidRPr="00E25191" w:rsidRDefault="000A5CD4" w:rsidP="000A5CD4">
      <w:pPr>
        <w:spacing w:line="360" w:lineRule="auto"/>
        <w:jc w:val="both"/>
        <w:rPr>
          <w:rFonts w:ascii="Arial" w:hAnsi="Arial" w:cs="Arial"/>
          <w:lang w:val="es-CO"/>
        </w:rPr>
      </w:pPr>
      <w:r w:rsidRPr="00E25191">
        <w:rPr>
          <w:rFonts w:ascii="Arial" w:hAnsi="Arial" w:cs="Arial"/>
          <w:lang w:val="es-CO"/>
        </w:rPr>
        <w:t>De lograrse acreditar al menos una de las exclusiones consignadas en las condiciones generales o</w:t>
      </w:r>
    </w:p>
    <w:p w14:paraId="0065C712" w14:textId="12AF9596" w:rsidR="000A5CD4" w:rsidRPr="00E25191" w:rsidRDefault="000A5CD4" w:rsidP="000A5CD4">
      <w:pPr>
        <w:spacing w:line="360" w:lineRule="auto"/>
        <w:jc w:val="both"/>
        <w:rPr>
          <w:rFonts w:ascii="Arial" w:hAnsi="Arial" w:cs="Arial"/>
          <w:lang w:val="es-CO"/>
        </w:rPr>
      </w:pPr>
      <w:r w:rsidRPr="00E25191">
        <w:rPr>
          <w:rFonts w:ascii="Arial" w:hAnsi="Arial" w:cs="Arial"/>
          <w:lang w:val="es-CO"/>
        </w:rPr>
        <w:t xml:space="preserve">particulares de la Póliza Seguro Responsabilidad Civil Extracontractual No. </w:t>
      </w:r>
      <w:r w:rsidR="008B71D8" w:rsidRPr="001A3052">
        <w:rPr>
          <w:rFonts w:ascii="Arial" w:hAnsi="Arial" w:cs="Arial"/>
          <w:lang w:val="es-CO"/>
        </w:rPr>
        <w:t>2201214004752</w:t>
      </w:r>
      <w:r w:rsidRPr="00E25191">
        <w:rPr>
          <w:rFonts w:ascii="Arial" w:hAnsi="Arial" w:cs="Arial"/>
          <w:lang w:val="es-CO"/>
        </w:rPr>
        <w:t>, no habría lugar a indemnización de ningún tipo por parte de mi representada.</w:t>
      </w:r>
    </w:p>
    <w:p w14:paraId="44F7E015" w14:textId="77777777" w:rsidR="000A5CD4" w:rsidRPr="00E25191" w:rsidRDefault="000A5CD4" w:rsidP="000A5CD4">
      <w:pPr>
        <w:widowControl/>
        <w:adjustRightInd w:val="0"/>
        <w:spacing w:line="360" w:lineRule="auto"/>
        <w:jc w:val="both"/>
        <w:rPr>
          <w:rFonts w:ascii="Arial" w:hAnsi="Arial" w:cs="Arial"/>
          <w:lang w:val="es-CO"/>
        </w:rPr>
      </w:pPr>
    </w:p>
    <w:p w14:paraId="18C5EC35"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p>
    <w:p w14:paraId="2E8802AC" w14:textId="46F7F26E" w:rsidR="004B1503" w:rsidRPr="00BD7F61" w:rsidRDefault="004B1503">
      <w:pPr>
        <w:pStyle w:val="Prrafodelista"/>
        <w:widowControl/>
        <w:numPr>
          <w:ilvl w:val="0"/>
          <w:numId w:val="2"/>
        </w:numPr>
        <w:adjustRightInd w:val="0"/>
        <w:spacing w:line="360" w:lineRule="auto"/>
        <w:jc w:val="both"/>
        <w:rPr>
          <w:rFonts w:ascii="Arial" w:eastAsiaTheme="minorHAnsi" w:hAnsi="Arial" w:cs="Arial"/>
          <w:b/>
          <w:bCs/>
          <w:color w:val="000000"/>
          <w:lang w:val="es-CO"/>
        </w:rPr>
      </w:pPr>
      <w:r w:rsidRPr="00BD7F61">
        <w:rPr>
          <w:rFonts w:ascii="Arial" w:eastAsiaTheme="minorHAnsi" w:hAnsi="Arial" w:cs="Arial"/>
          <w:b/>
          <w:bCs/>
          <w:color w:val="000000"/>
          <w:lang w:val="es-CO"/>
        </w:rPr>
        <w:t>EL CONTRATO DE</w:t>
      </w:r>
      <w:bookmarkStart w:id="8" w:name="_Hlk200606609"/>
      <w:r w:rsidRPr="00BD7F61">
        <w:rPr>
          <w:rFonts w:ascii="Arial" w:eastAsiaTheme="minorHAnsi" w:hAnsi="Arial" w:cs="Arial"/>
          <w:b/>
          <w:bCs/>
          <w:color w:val="000000"/>
          <w:lang w:val="es-CO"/>
        </w:rPr>
        <w:t xml:space="preserve"> SEGURO </w:t>
      </w:r>
      <w:bookmarkEnd w:id="8"/>
      <w:r w:rsidR="00B07C75" w:rsidRPr="000A5CD4">
        <w:rPr>
          <w:rFonts w:ascii="Arial" w:hAnsi="Arial" w:cs="Arial"/>
          <w:b/>
          <w:bCs/>
          <w:lang w:val="es-CO"/>
        </w:rPr>
        <w:t xml:space="preserve">DE RESPONSABILIDAD CIVIL EXTRACONTRACTUAL No. </w:t>
      </w:r>
      <w:r w:rsidR="008B71D8" w:rsidRPr="008B71D8">
        <w:rPr>
          <w:rFonts w:ascii="Arial" w:hAnsi="Arial" w:cs="Arial"/>
          <w:b/>
          <w:bCs/>
          <w:lang w:val="es-CO"/>
        </w:rPr>
        <w:t>2201214004752</w:t>
      </w:r>
      <w:r w:rsidR="00B07C75">
        <w:rPr>
          <w:rFonts w:ascii="Arial" w:hAnsi="Arial" w:cs="Arial"/>
          <w:b/>
          <w:bCs/>
          <w:lang w:val="es-CO"/>
        </w:rPr>
        <w:t xml:space="preserve"> </w:t>
      </w:r>
      <w:r w:rsidRPr="00BD7F61">
        <w:rPr>
          <w:rFonts w:ascii="Arial" w:eastAsiaTheme="minorHAnsi" w:hAnsi="Arial" w:cs="Arial"/>
          <w:b/>
          <w:bCs/>
          <w:color w:val="000000"/>
          <w:lang w:val="es-CO"/>
        </w:rPr>
        <w:t xml:space="preserve">REVISTE UN CARÁCTER </w:t>
      </w:r>
      <w:r w:rsidRPr="00B07C75">
        <w:rPr>
          <w:rFonts w:ascii="Arial" w:eastAsiaTheme="minorHAnsi" w:hAnsi="Arial" w:cs="Arial"/>
          <w:b/>
          <w:bCs/>
          <w:color w:val="000000"/>
          <w:lang w:val="es-CO"/>
        </w:rPr>
        <w:t>ESTRICTAMENTE INDEMNIZATORIO QUE IMPIDE EL ENRIQUECIMIENTO DEL ASEGURADO O DE LA VÍCTIMA.</w:t>
      </w:r>
    </w:p>
    <w:p w14:paraId="0661F934" w14:textId="77777777" w:rsidR="004B1503" w:rsidRPr="00BD7F61" w:rsidRDefault="004B1503" w:rsidP="00BD7F61">
      <w:pPr>
        <w:pStyle w:val="Prrafodelista"/>
        <w:widowControl/>
        <w:adjustRightInd w:val="0"/>
        <w:spacing w:line="360" w:lineRule="auto"/>
        <w:jc w:val="both"/>
        <w:rPr>
          <w:rFonts w:ascii="Arial" w:eastAsiaTheme="minorHAnsi" w:hAnsi="Arial" w:cs="Arial"/>
          <w:b/>
          <w:bCs/>
          <w:color w:val="000000"/>
          <w:lang w:val="es-CO"/>
        </w:rPr>
      </w:pPr>
    </w:p>
    <w:p w14:paraId="5EBF7DF7" w14:textId="3145C80A" w:rsidR="004B1503" w:rsidRPr="00BD7F61" w:rsidRDefault="004B1503" w:rsidP="00BD7F61">
      <w:pPr>
        <w:widowControl/>
        <w:adjustRightInd w:val="0"/>
        <w:spacing w:line="360" w:lineRule="auto"/>
        <w:jc w:val="both"/>
        <w:rPr>
          <w:rFonts w:ascii="Arial" w:eastAsiaTheme="minorHAnsi" w:hAnsi="Arial" w:cs="Arial"/>
          <w:i/>
          <w:iCs/>
          <w:color w:val="000000"/>
          <w:lang w:val="es-CO"/>
        </w:rPr>
      </w:pPr>
      <w:r w:rsidRPr="00BD7F61">
        <w:rPr>
          <w:rFonts w:ascii="Arial" w:eastAsiaTheme="minorHAnsi" w:hAnsi="Arial" w:cs="Arial"/>
          <w:color w:val="000000"/>
          <w:lang w:val="es-CO"/>
        </w:rPr>
        <w:t xml:space="preserve">Uno de los principios esenciales que rige el contrato de seguro de daños, es su naturaleza estrictamente indemnizatoria. Esto significa que su objeto no es otro que reparar el perjuicio efectivamente sufrido por el asegurado o el tercero damnificado, sin que pueda en modo alguno representar una fuente de ganancia o enriquecimiento para quienes lo invocan. Este principio, reiteradamente reconocido tanto en la doctrina como en la jurisprudencia nacional, ha sido expresado de forma categórica por la Corte Suprema de Justicia. En sentencia de la Sala de Casación Civil del 22 de julio de 1999 (Expediente 5065), se indicó con claridad que: </w:t>
      </w:r>
      <w:r w:rsidRPr="00BD7F61">
        <w:rPr>
          <w:rFonts w:ascii="Arial" w:eastAsiaTheme="minorHAnsi" w:hAnsi="Arial" w:cs="Arial"/>
          <w:i/>
          <w:iCs/>
          <w:color w:val="000000"/>
          <w:lang w:val="es-CO"/>
        </w:rPr>
        <w:t>“Este contrato no puede ser fuente de ganancias y menos de riqueza, sino que se caracteriza por ser indemnizatorio. [...] El asegurador debe efectuar [el pago] una vez colocada aquella obligación en situación de solución o pago inmediato”.</w:t>
      </w:r>
    </w:p>
    <w:p w14:paraId="73BFAE17" w14:textId="77777777" w:rsidR="004B1503" w:rsidRPr="00BD7F61" w:rsidRDefault="004B1503" w:rsidP="00BD7F61">
      <w:pPr>
        <w:widowControl/>
        <w:adjustRightInd w:val="0"/>
        <w:spacing w:line="360" w:lineRule="auto"/>
        <w:jc w:val="both"/>
        <w:rPr>
          <w:rFonts w:ascii="Arial" w:eastAsiaTheme="minorHAnsi" w:hAnsi="Arial" w:cs="Arial"/>
          <w:i/>
          <w:iCs/>
          <w:color w:val="000000"/>
          <w:lang w:val="es-CO"/>
        </w:rPr>
      </w:pPr>
    </w:p>
    <w:p w14:paraId="73504F09" w14:textId="179497E7"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 xml:space="preserve">De igual forma, el artículo 1127 del Código de Comercio, modificado por la Ley 45 de 1990, establece </w:t>
      </w:r>
      <w:r w:rsidR="00333590" w:rsidRPr="00BD7F61">
        <w:rPr>
          <w:rFonts w:ascii="Arial" w:eastAsiaTheme="minorHAnsi" w:hAnsi="Arial" w:cs="Arial"/>
          <w:color w:val="000000"/>
          <w:lang w:val="es-CO"/>
        </w:rPr>
        <w:t>que,</w:t>
      </w:r>
      <w:r w:rsidRPr="00BD7F61">
        <w:rPr>
          <w:rFonts w:ascii="Arial" w:eastAsiaTheme="minorHAnsi" w:hAnsi="Arial" w:cs="Arial"/>
          <w:color w:val="000000"/>
          <w:lang w:val="es-CO"/>
        </w:rPr>
        <w:t xml:space="preserve"> en el seguro de responsabilidad, el asegurador tiene la obligación de indemnizar los perjuicios patrimoniales causados por el asegurado, siempre que haya lugar a ello conforme a la ley, pero únicamente hasta el valor efectivamente demostrado, dentro de los límites del contrato.</w:t>
      </w:r>
    </w:p>
    <w:p w14:paraId="6AF4F218" w14:textId="6B663993"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En el presente proceso se encuentra demostrado que las pretensiones indemnizatorias formuladas por la parte actora, particularmente aquellas relacionadas con los perjuicios morales y el daño a la salud, desbordan claramente los márgenes de indemnización permitidos por el contrato de seguro. Se ha probado también que tales rubros, en adición a no haber sido debidamente acreditados, resultarían incompatibles con el carácter estrictamente indemnizatorio del contrato, toda vez que:</w:t>
      </w:r>
    </w:p>
    <w:p w14:paraId="17706E1C"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p>
    <w:p w14:paraId="51F87D3A" w14:textId="77777777" w:rsidR="004B1503" w:rsidRPr="00BD7F61" w:rsidRDefault="004B1503">
      <w:pPr>
        <w:widowControl/>
        <w:numPr>
          <w:ilvl w:val="0"/>
          <w:numId w:val="4"/>
        </w:numPr>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No guardan relación directa y proporcional con el daño efectivo causado;</w:t>
      </w:r>
    </w:p>
    <w:p w14:paraId="44E8F34F" w14:textId="77777777" w:rsidR="004B1503" w:rsidRPr="00BD7F61" w:rsidRDefault="004B1503">
      <w:pPr>
        <w:widowControl/>
        <w:numPr>
          <w:ilvl w:val="0"/>
          <w:numId w:val="4"/>
        </w:numPr>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No se encuentran debidamente demostrados mediante prueba idónea;</w:t>
      </w:r>
    </w:p>
    <w:p w14:paraId="37CB045A" w14:textId="77777777" w:rsidR="004B1503" w:rsidRPr="00BD7F61" w:rsidRDefault="004B1503">
      <w:pPr>
        <w:widowControl/>
        <w:numPr>
          <w:ilvl w:val="0"/>
          <w:numId w:val="4"/>
        </w:numPr>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Y su reconocimiento implicaría, de facto, un enriquecimiento sin causa de los demandantes.</w:t>
      </w:r>
    </w:p>
    <w:p w14:paraId="5330B66A" w14:textId="77777777" w:rsidR="00333590" w:rsidRDefault="00333590" w:rsidP="00333590">
      <w:pPr>
        <w:widowControl/>
        <w:adjustRightInd w:val="0"/>
        <w:spacing w:line="360" w:lineRule="auto"/>
        <w:jc w:val="both"/>
        <w:rPr>
          <w:rFonts w:ascii="Arial" w:eastAsiaTheme="minorHAnsi" w:hAnsi="Arial" w:cs="Arial"/>
          <w:color w:val="000000"/>
        </w:rPr>
      </w:pPr>
    </w:p>
    <w:p w14:paraId="704CB83C" w14:textId="6A793597" w:rsidR="004B1503" w:rsidRDefault="00333590" w:rsidP="00333590">
      <w:pPr>
        <w:widowControl/>
        <w:adjustRightInd w:val="0"/>
        <w:spacing w:line="360" w:lineRule="auto"/>
        <w:jc w:val="both"/>
        <w:rPr>
          <w:rFonts w:ascii="Arial" w:eastAsiaTheme="minorHAnsi" w:hAnsi="Arial" w:cs="Arial"/>
          <w:color w:val="000000"/>
        </w:rPr>
      </w:pPr>
      <w:r w:rsidRPr="00333590">
        <w:rPr>
          <w:rFonts w:ascii="Arial" w:eastAsiaTheme="minorHAnsi" w:hAnsi="Arial" w:cs="Arial"/>
          <w:color w:val="000000"/>
        </w:rPr>
        <w:t xml:space="preserve">En suma, el contrato de seguro de responsabilidad civil </w:t>
      </w:r>
      <w:r w:rsidR="00B07C75">
        <w:rPr>
          <w:rFonts w:ascii="Arial" w:eastAsiaTheme="minorHAnsi" w:hAnsi="Arial" w:cs="Arial"/>
          <w:color w:val="000000"/>
        </w:rPr>
        <w:t xml:space="preserve">extracontractual </w:t>
      </w:r>
      <w:r w:rsidRPr="00333590">
        <w:rPr>
          <w:rFonts w:ascii="Arial" w:eastAsiaTheme="minorHAnsi" w:hAnsi="Arial" w:cs="Arial"/>
          <w:color w:val="000000"/>
        </w:rPr>
        <w:t xml:space="preserve">tiene un carácter estrictamente indemnizatorio, lo que impide que se convierta en una fuente de lucro para el asegurado o para terceros. En el presente caso, las pretensiones formuladas por la parte actora no </w:t>
      </w:r>
      <w:r w:rsidRPr="00333590">
        <w:rPr>
          <w:rFonts w:ascii="Arial" w:eastAsiaTheme="minorHAnsi" w:hAnsi="Arial" w:cs="Arial"/>
          <w:color w:val="000000"/>
        </w:rPr>
        <w:lastRenderedPageBreak/>
        <w:t>solo exceden los límites contractuales, sino que además carecen de prueba suficiente y proporcionalidad frente al daño efectivamente demostrado. Por ello, cualquier reconocimiento económico deberá limitarse a lo que esté debidamente acreditado y dentro del valor asegurado, evitando así un enriquecimiento sin causa contrario a la ley y al objeto del contrato de seguro.</w:t>
      </w:r>
    </w:p>
    <w:p w14:paraId="55F05497" w14:textId="77777777" w:rsidR="004625F6" w:rsidRDefault="004625F6" w:rsidP="00333590">
      <w:pPr>
        <w:widowControl/>
        <w:adjustRightInd w:val="0"/>
        <w:spacing w:line="360" w:lineRule="auto"/>
        <w:jc w:val="both"/>
        <w:rPr>
          <w:rFonts w:ascii="Arial" w:eastAsiaTheme="minorHAnsi" w:hAnsi="Arial" w:cs="Arial"/>
          <w:color w:val="000000"/>
        </w:rPr>
      </w:pPr>
    </w:p>
    <w:p w14:paraId="4E138D63" w14:textId="77777777" w:rsidR="004625F6" w:rsidRPr="00BD7F61" w:rsidRDefault="004625F6" w:rsidP="00333590">
      <w:pPr>
        <w:widowControl/>
        <w:adjustRightInd w:val="0"/>
        <w:spacing w:line="360" w:lineRule="auto"/>
        <w:jc w:val="both"/>
        <w:rPr>
          <w:rFonts w:ascii="Arial" w:eastAsiaTheme="minorHAnsi" w:hAnsi="Arial" w:cs="Arial"/>
          <w:color w:val="000000"/>
          <w:lang w:val="es-CO"/>
        </w:rPr>
      </w:pPr>
    </w:p>
    <w:p w14:paraId="6A50DF74" w14:textId="179F1D15" w:rsidR="004B1503" w:rsidRPr="00BD7F61" w:rsidRDefault="004B1503">
      <w:pPr>
        <w:pStyle w:val="Prrafodelista"/>
        <w:widowControl/>
        <w:numPr>
          <w:ilvl w:val="0"/>
          <w:numId w:val="2"/>
        </w:numPr>
        <w:adjustRightInd w:val="0"/>
        <w:spacing w:line="360" w:lineRule="auto"/>
        <w:jc w:val="both"/>
        <w:rPr>
          <w:rFonts w:ascii="Arial" w:eastAsiaTheme="minorHAnsi" w:hAnsi="Arial" w:cs="Arial"/>
          <w:b/>
          <w:bCs/>
          <w:color w:val="000000"/>
          <w:lang w:val="es-CO"/>
        </w:rPr>
      </w:pPr>
      <w:r w:rsidRPr="00BD7F61">
        <w:rPr>
          <w:rFonts w:ascii="Arial" w:eastAsiaTheme="minorHAnsi" w:hAnsi="Arial" w:cs="Arial"/>
          <w:b/>
          <w:bCs/>
          <w:color w:val="000000"/>
          <w:lang w:val="es-CO"/>
        </w:rPr>
        <w:t>LA OBLIGACIÓN DE LA ASEGURADORA, EN CASO DE EVENTUAL CONDENA, ESTARÍA LIMITADA A UN REEMBOLSO Y NO A UN PAGO DIRECTO A LOS DEMANDANTES.</w:t>
      </w:r>
    </w:p>
    <w:p w14:paraId="71D678DB" w14:textId="77777777" w:rsidR="004B1503" w:rsidRPr="00BD7F61" w:rsidRDefault="004B1503" w:rsidP="00BD7F61">
      <w:pPr>
        <w:pStyle w:val="Prrafodelista"/>
        <w:widowControl/>
        <w:adjustRightInd w:val="0"/>
        <w:spacing w:line="360" w:lineRule="auto"/>
        <w:jc w:val="both"/>
        <w:rPr>
          <w:rFonts w:ascii="Arial" w:eastAsiaTheme="minorHAnsi" w:hAnsi="Arial" w:cs="Arial"/>
          <w:b/>
          <w:bCs/>
          <w:color w:val="000000"/>
          <w:lang w:val="es-CO"/>
        </w:rPr>
      </w:pPr>
    </w:p>
    <w:p w14:paraId="3B994516" w14:textId="1DC9E838"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 xml:space="preserve">En el evento hipotético, y no admitido, de que se llegara a emitir una sentencia condenatoria que implique una obligación indemnizatoria en el marco de la </w:t>
      </w:r>
      <w:r w:rsidR="000A5CD4" w:rsidRPr="00E25191">
        <w:rPr>
          <w:rFonts w:ascii="Arial" w:hAnsi="Arial" w:cs="Arial"/>
          <w:lang w:val="es-CO"/>
        </w:rPr>
        <w:t xml:space="preserve">Responsabilidad Civil Extracontractual No. </w:t>
      </w:r>
      <w:r w:rsidR="008B71D8" w:rsidRPr="001A3052">
        <w:rPr>
          <w:rFonts w:ascii="Arial" w:hAnsi="Arial" w:cs="Arial"/>
          <w:lang w:val="es-CO"/>
        </w:rPr>
        <w:t>2201214004752</w:t>
      </w:r>
      <w:r w:rsidR="00EB60AE" w:rsidRPr="00EB60AE">
        <w:rPr>
          <w:rFonts w:ascii="Arial" w:eastAsiaTheme="minorHAnsi" w:hAnsi="Arial" w:cs="Arial"/>
          <w:color w:val="000000"/>
          <w:lang w:val="es-CO"/>
        </w:rPr>
        <w:t xml:space="preserve"> </w:t>
      </w:r>
      <w:r w:rsidRPr="00BD7F61">
        <w:rPr>
          <w:rFonts w:ascii="Arial" w:eastAsiaTheme="minorHAnsi" w:hAnsi="Arial" w:cs="Arial"/>
          <w:color w:val="000000"/>
          <w:lang w:val="es-CO"/>
        </w:rPr>
        <w:t xml:space="preserve">es indispensable tener presente que la modalidad de cumplimiento del contrato de seguro sería exclusivamente por reembolso y no mediante pago directo a los demandantes. </w:t>
      </w:r>
    </w:p>
    <w:p w14:paraId="75CBF3AE"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p>
    <w:p w14:paraId="01FC3A5B" w14:textId="560767D8" w:rsidR="004B1503"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 xml:space="preserve">Esto, por cuanto se ha acreditado en el proceso que la póliza fue contratada por </w:t>
      </w:r>
      <w:r w:rsidR="00EB60AE">
        <w:rPr>
          <w:rFonts w:ascii="Arial" w:eastAsiaTheme="minorHAnsi" w:hAnsi="Arial" w:cs="Arial"/>
          <w:color w:val="000000"/>
          <w:lang w:val="es-CO"/>
        </w:rPr>
        <w:t xml:space="preserve">el </w:t>
      </w:r>
      <w:r w:rsidR="008B71D8" w:rsidRPr="00277BF8">
        <w:rPr>
          <w:rFonts w:ascii="Arial" w:hAnsi="Arial" w:cs="Arial"/>
          <w:lang w:val="es-CO"/>
        </w:rPr>
        <w:t>INSTITUTO NACIONAL DE VÍAS – INVÍAS</w:t>
      </w:r>
      <w:r w:rsidR="008B71D8" w:rsidRPr="00BD7F61">
        <w:rPr>
          <w:rFonts w:ascii="Arial" w:eastAsiaTheme="minorHAnsi" w:hAnsi="Arial" w:cs="Arial"/>
          <w:color w:val="000000"/>
          <w:lang w:val="es-CO"/>
        </w:rPr>
        <w:t xml:space="preserve"> </w:t>
      </w:r>
      <w:r w:rsidRPr="00BD7F61">
        <w:rPr>
          <w:rFonts w:ascii="Arial" w:eastAsiaTheme="minorHAnsi" w:hAnsi="Arial" w:cs="Arial"/>
          <w:color w:val="000000"/>
          <w:lang w:val="es-CO"/>
        </w:rPr>
        <w:t>en calidad de tomador, y que la asegurada</w:t>
      </w:r>
      <w:r w:rsidR="00EB60AE">
        <w:rPr>
          <w:rFonts w:ascii="Arial" w:eastAsiaTheme="minorHAnsi" w:hAnsi="Arial" w:cs="Arial"/>
          <w:color w:val="000000"/>
          <w:lang w:val="es-CO"/>
        </w:rPr>
        <w:t>,</w:t>
      </w:r>
      <w:r w:rsidRPr="00BD7F61">
        <w:rPr>
          <w:rFonts w:ascii="Arial" w:eastAsiaTheme="minorHAnsi" w:hAnsi="Arial" w:cs="Arial"/>
          <w:color w:val="000000"/>
          <w:lang w:val="es-CO"/>
        </w:rPr>
        <w:t xml:space="preserve"> por tanto, únic</w:t>
      </w:r>
      <w:r w:rsidR="00EB60AE">
        <w:rPr>
          <w:rFonts w:ascii="Arial" w:eastAsiaTheme="minorHAnsi" w:hAnsi="Arial" w:cs="Arial"/>
          <w:color w:val="000000"/>
          <w:lang w:val="es-CO"/>
        </w:rPr>
        <w:t>o</w:t>
      </w:r>
      <w:r w:rsidRPr="00BD7F61">
        <w:rPr>
          <w:rFonts w:ascii="Arial" w:eastAsiaTheme="minorHAnsi" w:hAnsi="Arial" w:cs="Arial"/>
          <w:color w:val="000000"/>
          <w:lang w:val="es-CO"/>
        </w:rPr>
        <w:t xml:space="preserve"> beneficiari</w:t>
      </w:r>
      <w:r w:rsidR="00EB60AE">
        <w:rPr>
          <w:rFonts w:ascii="Arial" w:eastAsiaTheme="minorHAnsi" w:hAnsi="Arial" w:cs="Arial"/>
          <w:color w:val="000000"/>
          <w:lang w:val="es-CO"/>
        </w:rPr>
        <w:t>o</w:t>
      </w:r>
      <w:r w:rsidRPr="00BD7F61">
        <w:rPr>
          <w:rFonts w:ascii="Arial" w:eastAsiaTheme="minorHAnsi" w:hAnsi="Arial" w:cs="Arial"/>
          <w:color w:val="000000"/>
          <w:lang w:val="es-CO"/>
        </w:rPr>
        <w:t xml:space="preserve"> en el sentido contractual</w:t>
      </w:r>
      <w:r w:rsidR="00EB60AE">
        <w:rPr>
          <w:rFonts w:ascii="Arial" w:eastAsiaTheme="minorHAnsi" w:hAnsi="Arial" w:cs="Arial"/>
          <w:color w:val="000000"/>
          <w:lang w:val="es-CO"/>
        </w:rPr>
        <w:t>,</w:t>
      </w:r>
      <w:r w:rsidRPr="00BD7F61">
        <w:rPr>
          <w:rFonts w:ascii="Arial" w:eastAsiaTheme="minorHAnsi" w:hAnsi="Arial" w:cs="Arial"/>
          <w:color w:val="000000"/>
          <w:lang w:val="es-CO"/>
        </w:rPr>
        <w:t xml:space="preserve"> es</w:t>
      </w:r>
      <w:r w:rsidR="00EB60AE">
        <w:rPr>
          <w:rFonts w:ascii="Arial" w:eastAsiaTheme="minorHAnsi" w:hAnsi="Arial" w:cs="Arial"/>
          <w:color w:val="000000"/>
          <w:lang w:val="es-CO"/>
        </w:rPr>
        <w:t xml:space="preserve"> el </w:t>
      </w:r>
      <w:r w:rsidR="008B71D8" w:rsidRPr="00277BF8">
        <w:rPr>
          <w:rFonts w:ascii="Arial" w:hAnsi="Arial" w:cs="Arial"/>
          <w:lang w:val="es-CO"/>
        </w:rPr>
        <w:t>INSTITUTO NACIONAL DE VÍAS – INVÍAS</w:t>
      </w:r>
      <w:r w:rsidRPr="00BD7F61">
        <w:rPr>
          <w:rFonts w:ascii="Arial" w:eastAsiaTheme="minorHAnsi" w:hAnsi="Arial" w:cs="Arial"/>
          <w:color w:val="000000"/>
          <w:lang w:val="es-CO"/>
        </w:rPr>
        <w:t>. En consecuencia, cualquier condena proferida en contra del asegurado que implique un desembolso a los actores, no generaría una obligación directa a cargo de la compañía aseguradora frente a estos últimos, sino una obligación de reembolso posterior al asegurado, en los términos pactados contractualmente.</w:t>
      </w:r>
    </w:p>
    <w:p w14:paraId="0E14FFD1" w14:textId="77777777" w:rsidR="00DA614A" w:rsidRPr="00BD7F61" w:rsidRDefault="00DA614A" w:rsidP="00BD7F61">
      <w:pPr>
        <w:widowControl/>
        <w:adjustRightInd w:val="0"/>
        <w:spacing w:line="360" w:lineRule="auto"/>
        <w:jc w:val="both"/>
        <w:rPr>
          <w:rFonts w:ascii="Arial" w:eastAsiaTheme="minorHAnsi" w:hAnsi="Arial" w:cs="Arial"/>
          <w:color w:val="000000"/>
          <w:lang w:val="es-CO"/>
        </w:rPr>
      </w:pPr>
    </w:p>
    <w:p w14:paraId="445774F9"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Este mecanismo se ajusta a la modalidad habitual del seguro de responsabilidad civil, en la que la aseguradora solo actúa frente al asegurado, y no frente a la víctima directamente, salvo que exista estipulación en contrario o subrogación legal, situaciones que no se configuran en el presente caso.</w:t>
      </w:r>
    </w:p>
    <w:p w14:paraId="1F5660F4" w14:textId="4FD22CBC"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Así las cosas, y sin perjuicio del resultado del proceso, la compañía aseguradora solo estaría llamada a reembolsar lo efectivamente pagado por el asegurado en ejecución de la sentencia, teniendo en cuenta:</w:t>
      </w:r>
    </w:p>
    <w:p w14:paraId="38809FDB"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p>
    <w:p w14:paraId="3382864B" w14:textId="77777777" w:rsidR="004B1503" w:rsidRPr="00BD7F61" w:rsidRDefault="004B1503">
      <w:pPr>
        <w:widowControl/>
        <w:numPr>
          <w:ilvl w:val="0"/>
          <w:numId w:val="5"/>
        </w:numPr>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El límite asegurado por evento establecido en la póliza;</w:t>
      </w:r>
    </w:p>
    <w:p w14:paraId="3166C83C" w14:textId="77777777" w:rsidR="004B1503" w:rsidRPr="00BD7F61" w:rsidRDefault="004B1503">
      <w:pPr>
        <w:widowControl/>
        <w:numPr>
          <w:ilvl w:val="0"/>
          <w:numId w:val="5"/>
        </w:numPr>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El deducible previamente pactado;</w:t>
      </w:r>
    </w:p>
    <w:p w14:paraId="4F1C693B" w14:textId="77777777" w:rsidR="004B1503" w:rsidRPr="00BD7F61" w:rsidRDefault="004B1503">
      <w:pPr>
        <w:widowControl/>
        <w:numPr>
          <w:ilvl w:val="0"/>
          <w:numId w:val="5"/>
        </w:numPr>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Y las condiciones particulares del contrato de seguro que limitan la cobertura y delimitan la obligación indemnizatoria.</w:t>
      </w:r>
    </w:p>
    <w:p w14:paraId="346C9CA0" w14:textId="77777777" w:rsidR="004B1503" w:rsidRPr="00BD7F61" w:rsidRDefault="004B1503" w:rsidP="00BD7F61">
      <w:pPr>
        <w:widowControl/>
        <w:adjustRightInd w:val="0"/>
        <w:spacing w:line="360" w:lineRule="auto"/>
        <w:ind w:left="720"/>
        <w:jc w:val="both"/>
        <w:rPr>
          <w:rFonts w:ascii="Arial" w:eastAsiaTheme="minorHAnsi" w:hAnsi="Arial" w:cs="Arial"/>
          <w:color w:val="000000"/>
          <w:lang w:val="es-CO"/>
        </w:rPr>
      </w:pPr>
    </w:p>
    <w:p w14:paraId="0FFDE88F" w14:textId="77777777" w:rsidR="004B1503" w:rsidRPr="00BD7F61" w:rsidRDefault="004B1503" w:rsidP="00BD7F61">
      <w:pPr>
        <w:widowControl/>
        <w:adjustRightInd w:val="0"/>
        <w:spacing w:line="360" w:lineRule="auto"/>
        <w:jc w:val="both"/>
        <w:rPr>
          <w:rFonts w:ascii="Arial" w:eastAsiaTheme="minorHAnsi" w:hAnsi="Arial" w:cs="Arial"/>
          <w:color w:val="000000"/>
          <w:lang w:val="es-CO"/>
        </w:rPr>
      </w:pPr>
      <w:r w:rsidRPr="00BD7F61">
        <w:rPr>
          <w:rFonts w:ascii="Arial" w:eastAsiaTheme="minorHAnsi" w:hAnsi="Arial" w:cs="Arial"/>
          <w:color w:val="000000"/>
          <w:lang w:val="es-CO"/>
        </w:rPr>
        <w:t>Por lo anterior, se solicita al despacho tener en cuenta esta limitación contractual y declarar probada esta excepción, para que cualquier efecto jurídico derivado de una eventual condena sea canalizado exclusivamente a través de la figura del reembolso y no del pago directo a los demandantes.</w:t>
      </w:r>
    </w:p>
    <w:p w14:paraId="1ACF6D8C" w14:textId="45C17B05" w:rsidR="004B1503" w:rsidRPr="00BD7F61" w:rsidRDefault="004B1503" w:rsidP="00BD7F61">
      <w:pPr>
        <w:widowControl/>
        <w:adjustRightInd w:val="0"/>
        <w:spacing w:line="360" w:lineRule="auto"/>
        <w:jc w:val="both"/>
        <w:rPr>
          <w:rFonts w:ascii="Arial" w:eastAsiaTheme="minorHAnsi" w:hAnsi="Arial" w:cs="Arial"/>
          <w:color w:val="000000"/>
          <w:lang w:val="es-CO"/>
        </w:rPr>
      </w:pPr>
    </w:p>
    <w:p w14:paraId="4E4C6EE2" w14:textId="77777777" w:rsidR="00492562" w:rsidRPr="00BD7F61" w:rsidRDefault="00492562" w:rsidP="00BD7F61">
      <w:pPr>
        <w:spacing w:line="360" w:lineRule="auto"/>
        <w:jc w:val="center"/>
        <w:rPr>
          <w:rFonts w:ascii="Arial" w:hAnsi="Arial" w:cs="Arial"/>
          <w:lang w:val="es-CO"/>
        </w:rPr>
      </w:pPr>
    </w:p>
    <w:p w14:paraId="5F360437" w14:textId="1FDEE72C" w:rsidR="009C5730" w:rsidRPr="00BD7F61" w:rsidRDefault="009C5730" w:rsidP="00BD7F61">
      <w:pPr>
        <w:spacing w:line="360" w:lineRule="auto"/>
        <w:jc w:val="center"/>
        <w:rPr>
          <w:rFonts w:ascii="Arial" w:hAnsi="Arial" w:cs="Arial"/>
          <w:b/>
          <w:bCs/>
          <w:u w:val="single"/>
          <w:lang w:val="es-CO"/>
        </w:rPr>
      </w:pPr>
      <w:r w:rsidRPr="00BD7F61">
        <w:rPr>
          <w:rFonts w:ascii="Arial" w:hAnsi="Arial" w:cs="Arial"/>
          <w:b/>
          <w:bCs/>
          <w:u w:val="single"/>
          <w:lang w:val="es-CO"/>
        </w:rPr>
        <w:lastRenderedPageBreak/>
        <w:t>CAPÍTULO IV.   PETICIÓN</w:t>
      </w:r>
    </w:p>
    <w:p w14:paraId="41FE6E6E" w14:textId="77777777" w:rsidR="009C5730" w:rsidRPr="00BD7F61" w:rsidRDefault="009C5730" w:rsidP="00BD7F61">
      <w:pPr>
        <w:spacing w:line="360" w:lineRule="auto"/>
        <w:jc w:val="center"/>
        <w:rPr>
          <w:rFonts w:ascii="Arial" w:hAnsi="Arial" w:cs="Arial"/>
          <w:lang w:val="es-CO"/>
        </w:rPr>
      </w:pPr>
    </w:p>
    <w:p w14:paraId="364CA871" w14:textId="77777777" w:rsidR="009C5730" w:rsidRPr="00BD7F61" w:rsidRDefault="009C5730" w:rsidP="00BD7F61">
      <w:pPr>
        <w:spacing w:line="360" w:lineRule="auto"/>
        <w:jc w:val="both"/>
        <w:rPr>
          <w:rFonts w:ascii="Arial" w:hAnsi="Arial" w:cs="Arial"/>
          <w:lang w:val="es-CO"/>
        </w:rPr>
      </w:pPr>
      <w:r w:rsidRPr="00BD7F61">
        <w:rPr>
          <w:rFonts w:ascii="Arial" w:hAnsi="Arial" w:cs="Arial"/>
          <w:lang w:val="es-CO"/>
        </w:rPr>
        <w:t xml:space="preserve">En mérito de lo expuesto, de manera respetuosa, ruego: </w:t>
      </w:r>
    </w:p>
    <w:p w14:paraId="09940756" w14:textId="77777777" w:rsidR="009C5730" w:rsidRPr="00BD7F61" w:rsidRDefault="009C5730" w:rsidP="00BD7F61">
      <w:pPr>
        <w:spacing w:line="360" w:lineRule="auto"/>
        <w:jc w:val="both"/>
        <w:rPr>
          <w:rFonts w:ascii="Arial" w:hAnsi="Arial" w:cs="Arial"/>
          <w:lang w:val="es-CO"/>
        </w:rPr>
      </w:pPr>
    </w:p>
    <w:p w14:paraId="35E6D78F" w14:textId="724CD260" w:rsidR="009C5730" w:rsidRPr="00BD7F61" w:rsidRDefault="009C5730" w:rsidP="00BD7F61">
      <w:pPr>
        <w:spacing w:line="360" w:lineRule="auto"/>
        <w:jc w:val="both"/>
        <w:rPr>
          <w:rFonts w:ascii="Arial" w:hAnsi="Arial" w:cs="Arial"/>
          <w:lang w:val="es-CO"/>
        </w:rPr>
      </w:pPr>
      <w:r w:rsidRPr="00BD7F61">
        <w:rPr>
          <w:rFonts w:ascii="Arial" w:hAnsi="Arial" w:cs="Arial"/>
          <w:b/>
          <w:bCs/>
          <w:lang w:val="es-CO"/>
        </w:rPr>
        <w:t xml:space="preserve">PRIMERO: </w:t>
      </w:r>
      <w:r w:rsidR="001436E6" w:rsidRPr="001436E6">
        <w:rPr>
          <w:rFonts w:ascii="Arial" w:hAnsi="Arial" w:cs="Arial"/>
          <w:b/>
          <w:bCs/>
          <w:lang w:val="es-CO"/>
        </w:rPr>
        <w:t>NEGAR</w:t>
      </w:r>
      <w:r w:rsidRPr="00BD7F61">
        <w:rPr>
          <w:rFonts w:ascii="Arial" w:hAnsi="Arial" w:cs="Arial"/>
          <w:lang w:val="es-CO"/>
        </w:rPr>
        <w:t xml:space="preserve"> todas y cada una de las pretensiones de la demanda, declarando probadas las excepciones de fondo y mérito presentadas por </w:t>
      </w:r>
      <w:r w:rsidR="008B71D8" w:rsidRPr="00277BF8">
        <w:rPr>
          <w:rFonts w:ascii="Arial" w:hAnsi="Arial" w:cs="Arial"/>
          <w:lang w:val="es-CO"/>
        </w:rPr>
        <w:t>INSTITUTO NACIONAL DE VÍAS – INVÍAS</w:t>
      </w:r>
      <w:r w:rsidR="008B71D8" w:rsidRPr="00BD7F61">
        <w:rPr>
          <w:rFonts w:ascii="Arial" w:hAnsi="Arial" w:cs="Arial"/>
          <w:lang w:val="es-CO"/>
        </w:rPr>
        <w:t xml:space="preserve"> </w:t>
      </w:r>
      <w:r w:rsidRPr="00BD7F61">
        <w:rPr>
          <w:rFonts w:ascii="Arial" w:hAnsi="Arial" w:cs="Arial"/>
          <w:lang w:val="es-CO"/>
        </w:rPr>
        <w:t xml:space="preserve">y en consecuencia se absuelva a mi representada a pago alguno por conceptos de indemnizaciones por los supuestos perjuicios alegados. </w:t>
      </w:r>
    </w:p>
    <w:p w14:paraId="2F5A565D" w14:textId="77777777" w:rsidR="009C5730" w:rsidRPr="00BD7F61" w:rsidRDefault="009C5730" w:rsidP="00BD7F61">
      <w:pPr>
        <w:spacing w:line="360" w:lineRule="auto"/>
        <w:jc w:val="both"/>
        <w:rPr>
          <w:rFonts w:ascii="Arial" w:hAnsi="Arial" w:cs="Arial"/>
          <w:lang w:val="es-CO"/>
        </w:rPr>
      </w:pPr>
    </w:p>
    <w:p w14:paraId="77086EDB" w14:textId="7353EDFC" w:rsidR="009C5730" w:rsidRPr="00BD7F61" w:rsidRDefault="009C5730" w:rsidP="00BD7F61">
      <w:pPr>
        <w:spacing w:line="360" w:lineRule="auto"/>
        <w:jc w:val="both"/>
        <w:rPr>
          <w:rFonts w:ascii="Arial" w:hAnsi="Arial" w:cs="Arial"/>
          <w:lang w:val="es-CO"/>
        </w:rPr>
      </w:pPr>
      <w:r w:rsidRPr="00BD7F61">
        <w:rPr>
          <w:rFonts w:ascii="Arial" w:hAnsi="Arial" w:cs="Arial"/>
          <w:b/>
          <w:bCs/>
          <w:lang w:val="es-CO"/>
        </w:rPr>
        <w:t xml:space="preserve">SEGUNDO: </w:t>
      </w:r>
      <w:r w:rsidRPr="00BD7F61">
        <w:rPr>
          <w:rFonts w:ascii="Arial" w:hAnsi="Arial" w:cs="Arial"/>
          <w:lang w:val="es-CO"/>
        </w:rPr>
        <w:t xml:space="preserve">En el remoto evento en que los argumentos esbozados en el presente escrito no fueran de su convencimiento, no pierda de vista </w:t>
      </w:r>
      <w:r w:rsidR="0069313A">
        <w:rPr>
          <w:rFonts w:ascii="Arial" w:hAnsi="Arial" w:cs="Arial"/>
          <w:lang w:val="es-CO"/>
        </w:rPr>
        <w:t>el coaseguro del contrato de seguro</w:t>
      </w:r>
      <w:r w:rsidR="00EB60AE">
        <w:rPr>
          <w:rFonts w:ascii="Arial" w:hAnsi="Arial" w:cs="Arial"/>
          <w:lang w:val="es-CO"/>
        </w:rPr>
        <w:t xml:space="preserve">, </w:t>
      </w:r>
      <w:r w:rsidRPr="00BD7F61">
        <w:rPr>
          <w:rFonts w:ascii="Arial" w:hAnsi="Arial" w:cs="Arial"/>
          <w:lang w:val="es-CO"/>
        </w:rPr>
        <w:t>las limitaciones</w:t>
      </w:r>
      <w:r w:rsidR="00730E34" w:rsidRPr="00BD7F61">
        <w:rPr>
          <w:rFonts w:ascii="Arial" w:hAnsi="Arial" w:cs="Arial"/>
          <w:lang w:val="es-CO"/>
        </w:rPr>
        <w:t>, deducible</w:t>
      </w:r>
      <w:r w:rsidR="00EB60AE">
        <w:rPr>
          <w:rFonts w:ascii="Arial" w:hAnsi="Arial" w:cs="Arial"/>
          <w:lang w:val="es-CO"/>
        </w:rPr>
        <w:t xml:space="preserve"> </w:t>
      </w:r>
      <w:r w:rsidRPr="00BD7F61">
        <w:rPr>
          <w:rFonts w:ascii="Arial" w:hAnsi="Arial" w:cs="Arial"/>
          <w:lang w:val="es-CO"/>
        </w:rPr>
        <w:t xml:space="preserve">y exclusiones sobre la cobertura de la póliza con fundamento en la cual </w:t>
      </w:r>
      <w:r w:rsidR="005E43DF" w:rsidRPr="00BD7F61">
        <w:rPr>
          <w:rFonts w:ascii="Arial" w:hAnsi="Arial" w:cs="Arial"/>
          <w:lang w:val="es-CO"/>
        </w:rPr>
        <w:t>el</w:t>
      </w:r>
      <w:r w:rsidRPr="00BD7F61">
        <w:rPr>
          <w:rFonts w:ascii="Arial" w:hAnsi="Arial" w:cs="Arial"/>
          <w:b/>
          <w:bCs/>
          <w:lang w:val="es-CO"/>
        </w:rPr>
        <w:t xml:space="preserve"> </w:t>
      </w:r>
      <w:r w:rsidR="008B71D8" w:rsidRPr="00277BF8">
        <w:rPr>
          <w:rFonts w:ascii="Arial" w:hAnsi="Arial" w:cs="Arial"/>
          <w:lang w:val="es-CO"/>
        </w:rPr>
        <w:t>INSTITUTO NACIONAL DE VÍAS – INVÍAS</w:t>
      </w:r>
      <w:r w:rsidR="004B1503" w:rsidRPr="00BD7F61">
        <w:rPr>
          <w:rFonts w:ascii="Arial" w:hAnsi="Arial" w:cs="Arial"/>
          <w:b/>
          <w:bCs/>
          <w:lang w:val="es-CO"/>
        </w:rPr>
        <w:t xml:space="preserve"> </w:t>
      </w:r>
      <w:r w:rsidRPr="00BD7F61">
        <w:rPr>
          <w:rFonts w:ascii="Arial" w:hAnsi="Arial" w:cs="Arial"/>
          <w:lang w:val="es-CO"/>
        </w:rPr>
        <w:t>llamó en garantía a mi representada, esto, de conformidad con las consideraciones expuestas por mi defendida en esta oportunidad procesal.</w:t>
      </w:r>
    </w:p>
    <w:p w14:paraId="1C1C874B" w14:textId="77777777" w:rsidR="00AA5BFF" w:rsidRDefault="00AA5BFF" w:rsidP="00BD7F61">
      <w:pPr>
        <w:spacing w:line="360" w:lineRule="auto"/>
        <w:jc w:val="both"/>
        <w:rPr>
          <w:rFonts w:ascii="Arial" w:hAnsi="Arial" w:cs="Arial"/>
        </w:rPr>
      </w:pPr>
    </w:p>
    <w:p w14:paraId="36315044" w14:textId="77777777" w:rsidR="00E0292B" w:rsidRDefault="00E0292B" w:rsidP="00BD7F61">
      <w:pPr>
        <w:spacing w:line="360" w:lineRule="auto"/>
        <w:jc w:val="both"/>
        <w:rPr>
          <w:rFonts w:ascii="Arial" w:hAnsi="Arial" w:cs="Arial"/>
        </w:rPr>
      </w:pPr>
      <w:r w:rsidRPr="00E0292B">
        <w:rPr>
          <w:rFonts w:ascii="Arial" w:hAnsi="Arial" w:cs="Arial"/>
          <w:b/>
          <w:bCs/>
        </w:rPr>
        <w:t>TERCERO:</w:t>
      </w:r>
      <w:r>
        <w:rPr>
          <w:rFonts w:ascii="Arial" w:hAnsi="Arial" w:cs="Arial"/>
        </w:rPr>
        <w:t xml:space="preserve"> En el remoto e hipotético caso en que se profiera una sentencia en contra de los intereses de mi representada, solicito al despacho que cualquier condena impuesta a la aseguradora llamada en garantía se realice a través de la figura de reembolso.</w:t>
      </w:r>
    </w:p>
    <w:p w14:paraId="327DB632" w14:textId="23548057" w:rsidR="001436E6" w:rsidRPr="00BD7F61" w:rsidRDefault="001436E6" w:rsidP="00BD7F61">
      <w:pPr>
        <w:spacing w:line="360" w:lineRule="auto"/>
        <w:jc w:val="both"/>
        <w:rPr>
          <w:rFonts w:ascii="Arial" w:hAnsi="Arial" w:cs="Arial"/>
        </w:rPr>
      </w:pPr>
    </w:p>
    <w:p w14:paraId="0D7F0F6E" w14:textId="77777777" w:rsidR="00AA5BFF" w:rsidRPr="00BD7F61" w:rsidRDefault="00AA5BFF" w:rsidP="00BD7F61">
      <w:pPr>
        <w:tabs>
          <w:tab w:val="left" w:pos="9356"/>
        </w:tabs>
        <w:spacing w:line="360" w:lineRule="auto"/>
        <w:ind w:right="142"/>
        <w:jc w:val="center"/>
        <w:rPr>
          <w:rFonts w:ascii="Arial" w:hAnsi="Arial" w:cs="Arial"/>
          <w:b/>
          <w:bCs/>
          <w:u w:val="single"/>
        </w:rPr>
      </w:pPr>
      <w:r w:rsidRPr="00BD7F61">
        <w:rPr>
          <w:rFonts w:ascii="Arial" w:hAnsi="Arial" w:cs="Arial"/>
          <w:b/>
          <w:bCs/>
          <w:u w:val="single"/>
        </w:rPr>
        <w:t>CAPÍTULO V. NOTIFICACIONES</w:t>
      </w:r>
    </w:p>
    <w:p w14:paraId="5E7FB7DD" w14:textId="77777777" w:rsidR="00AA5BFF" w:rsidRPr="00BD7F61" w:rsidRDefault="00AA5BFF" w:rsidP="00BD7F61">
      <w:pPr>
        <w:tabs>
          <w:tab w:val="left" w:pos="9356"/>
        </w:tabs>
        <w:spacing w:line="360" w:lineRule="auto"/>
        <w:ind w:left="-5" w:right="142"/>
        <w:jc w:val="both"/>
        <w:rPr>
          <w:rFonts w:ascii="Arial" w:hAnsi="Arial" w:cs="Arial"/>
        </w:rPr>
      </w:pPr>
    </w:p>
    <w:p w14:paraId="5732138A" w14:textId="231569BB" w:rsidR="00AA5BFF" w:rsidRPr="00BD7F61" w:rsidRDefault="00AA5BFF" w:rsidP="00BD7F61">
      <w:pPr>
        <w:tabs>
          <w:tab w:val="left" w:pos="9356"/>
        </w:tabs>
        <w:spacing w:line="360" w:lineRule="auto"/>
        <w:ind w:left="-5" w:right="142"/>
        <w:jc w:val="both"/>
        <w:rPr>
          <w:rFonts w:ascii="Arial" w:hAnsi="Arial" w:cs="Arial"/>
          <w:b/>
          <w:bCs/>
          <w:u w:val="single"/>
        </w:rPr>
      </w:pPr>
      <w:r w:rsidRPr="00BD7F61">
        <w:rPr>
          <w:rFonts w:ascii="Arial" w:hAnsi="Arial" w:cs="Arial"/>
        </w:rPr>
        <w:t xml:space="preserve">Al suscrito, en la Avenida 6 A Bis No. 35N-100 oficina 212 de la Ciudad de Cali (V), correo electrónico: </w:t>
      </w:r>
      <w:hyperlink r:id="rId14" w:history="1">
        <w:r w:rsidRPr="00BD7F61">
          <w:rPr>
            <w:rStyle w:val="Hipervnculo"/>
            <w:rFonts w:ascii="Arial" w:hAnsi="Arial" w:cs="Arial"/>
            <w:b/>
            <w:bCs/>
            <w:color w:val="auto"/>
          </w:rPr>
          <w:t>notificaciones@gha.com.co</w:t>
        </w:r>
      </w:hyperlink>
    </w:p>
    <w:p w14:paraId="443CC6D2" w14:textId="0785F3C5" w:rsidR="009451E5" w:rsidRDefault="009451E5" w:rsidP="00BD7F61">
      <w:pPr>
        <w:tabs>
          <w:tab w:val="left" w:pos="9356"/>
        </w:tabs>
        <w:spacing w:line="360" w:lineRule="auto"/>
        <w:ind w:right="142"/>
        <w:jc w:val="both"/>
        <w:rPr>
          <w:rFonts w:ascii="Arial" w:hAnsi="Arial" w:cs="Arial"/>
        </w:rPr>
      </w:pPr>
      <w:r w:rsidRPr="00BD7F61">
        <w:rPr>
          <w:rFonts w:ascii="Arial" w:hAnsi="Arial" w:cs="Arial"/>
          <w:noProof/>
          <w:lang w:val="es-CO" w:eastAsia="es-CO"/>
        </w:rPr>
        <w:drawing>
          <wp:anchor distT="0" distB="0" distL="114300" distR="114300" simplePos="0" relativeHeight="251659264" behindDoc="1" locked="0" layoutInCell="1" allowOverlap="0" wp14:anchorId="5FBB3432" wp14:editId="1769C329">
            <wp:simplePos x="0" y="0"/>
            <wp:positionH relativeFrom="margin">
              <wp:posOffset>152400</wp:posOffset>
            </wp:positionH>
            <wp:positionV relativeFrom="paragraph">
              <wp:posOffset>128270</wp:posOffset>
            </wp:positionV>
            <wp:extent cx="1874520" cy="1371600"/>
            <wp:effectExtent l="0" t="0" r="0" b="0"/>
            <wp:wrapNone/>
            <wp:docPr id="6512" name="Picture 6512"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6512" name="Picture 6512" descr="Texto, Carta&#10;&#10;Descripción generada automáticamente"/>
                    <pic:cNvPicPr/>
                  </pic:nvPicPr>
                  <pic:blipFill>
                    <a:blip r:embed="rId15"/>
                    <a:stretch>
                      <a:fillRect/>
                    </a:stretch>
                  </pic:blipFill>
                  <pic:spPr>
                    <a:xfrm>
                      <a:off x="0" y="0"/>
                      <a:ext cx="1874520" cy="1371600"/>
                    </a:xfrm>
                    <a:prstGeom prst="rect">
                      <a:avLst/>
                    </a:prstGeom>
                  </pic:spPr>
                </pic:pic>
              </a:graphicData>
            </a:graphic>
          </wp:anchor>
        </w:drawing>
      </w:r>
    </w:p>
    <w:p w14:paraId="13675FFD" w14:textId="08D73C9B" w:rsidR="002D23F7" w:rsidRPr="00BD7F61" w:rsidRDefault="00AA5BFF" w:rsidP="00BD7F61">
      <w:pPr>
        <w:tabs>
          <w:tab w:val="left" w:pos="9356"/>
        </w:tabs>
        <w:spacing w:line="360" w:lineRule="auto"/>
        <w:ind w:right="142"/>
        <w:jc w:val="both"/>
        <w:rPr>
          <w:rFonts w:ascii="Arial" w:hAnsi="Arial" w:cs="Arial"/>
          <w:b/>
        </w:rPr>
      </w:pPr>
      <w:r w:rsidRPr="00BD7F61">
        <w:rPr>
          <w:rFonts w:ascii="Arial" w:hAnsi="Arial" w:cs="Arial"/>
        </w:rPr>
        <w:t>Cordialmente,</w:t>
      </w:r>
    </w:p>
    <w:p w14:paraId="06E109BA" w14:textId="77777777" w:rsidR="002D23F7" w:rsidRPr="00BD7F61" w:rsidRDefault="002D23F7" w:rsidP="00BD7F61">
      <w:pPr>
        <w:spacing w:line="360" w:lineRule="auto"/>
        <w:jc w:val="both"/>
        <w:rPr>
          <w:rFonts w:ascii="Arial" w:hAnsi="Arial" w:cs="Arial"/>
          <w:b/>
        </w:rPr>
      </w:pPr>
    </w:p>
    <w:p w14:paraId="26A5A6B6" w14:textId="698C323A" w:rsidR="00E4056A" w:rsidRPr="00BD7F61" w:rsidRDefault="00E4056A" w:rsidP="00BD7F61">
      <w:pPr>
        <w:spacing w:line="360" w:lineRule="auto"/>
        <w:jc w:val="both"/>
        <w:rPr>
          <w:rFonts w:ascii="Arial" w:hAnsi="Arial" w:cs="Arial"/>
          <w:b/>
        </w:rPr>
      </w:pPr>
    </w:p>
    <w:p w14:paraId="4E17270A" w14:textId="77777777" w:rsidR="00AA5BFF" w:rsidRPr="00BD7F61" w:rsidRDefault="00AA5BFF" w:rsidP="00BD7F61">
      <w:pPr>
        <w:jc w:val="both"/>
        <w:rPr>
          <w:rFonts w:ascii="Arial" w:hAnsi="Arial" w:cs="Arial"/>
        </w:rPr>
      </w:pPr>
      <w:r w:rsidRPr="00BD7F61">
        <w:rPr>
          <w:rFonts w:ascii="Arial" w:hAnsi="Arial" w:cs="Arial"/>
          <w:b/>
        </w:rPr>
        <w:t xml:space="preserve">GUSTAVO ALBERTO HERRERA ÁVILA </w:t>
      </w:r>
    </w:p>
    <w:p w14:paraId="69419554" w14:textId="77777777" w:rsidR="00AA5BFF" w:rsidRPr="00BD7F61" w:rsidRDefault="00AA5BFF" w:rsidP="00BD7F61">
      <w:pPr>
        <w:jc w:val="both"/>
        <w:rPr>
          <w:rFonts w:ascii="Arial" w:hAnsi="Arial" w:cs="Arial"/>
        </w:rPr>
      </w:pPr>
      <w:r w:rsidRPr="00BD7F61">
        <w:rPr>
          <w:rFonts w:ascii="Arial" w:hAnsi="Arial" w:cs="Arial"/>
        </w:rPr>
        <w:t xml:space="preserve">C.C.  No. 19.395.114 de Bogotá </w:t>
      </w:r>
    </w:p>
    <w:p w14:paraId="79F4C27D" w14:textId="00BC85BC" w:rsidR="00B27113" w:rsidRPr="00BD7F61" w:rsidRDefault="00AA5BFF" w:rsidP="00BD7F61">
      <w:pPr>
        <w:jc w:val="both"/>
        <w:rPr>
          <w:rFonts w:ascii="Arial" w:hAnsi="Arial" w:cs="Arial"/>
        </w:rPr>
      </w:pPr>
      <w:r w:rsidRPr="00BD7F61">
        <w:rPr>
          <w:rFonts w:ascii="Arial" w:hAnsi="Arial" w:cs="Arial"/>
        </w:rPr>
        <w:t>T.P. No. 39.116 del C. S. de la J.</w:t>
      </w:r>
    </w:p>
    <w:sectPr w:rsidR="00B27113" w:rsidRPr="00BD7F61" w:rsidSect="00227B4A">
      <w:headerReference w:type="default" r:id="rId16"/>
      <w:footerReference w:type="default" r:id="rId17"/>
      <w:pgSz w:w="12240" w:h="20160" w:code="5"/>
      <w:pgMar w:top="1985" w:right="1304" w:bottom="2835" w:left="1304" w:header="709" w:footer="397"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30212" w14:textId="77777777" w:rsidR="00152CA3" w:rsidRDefault="00152CA3" w:rsidP="0025591F">
      <w:r>
        <w:separator/>
      </w:r>
    </w:p>
  </w:endnote>
  <w:endnote w:type="continuationSeparator" w:id="0">
    <w:p w14:paraId="753E8FD6" w14:textId="77777777" w:rsidR="00152CA3" w:rsidRDefault="00152CA3"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1189" w14:textId="0A8C820B" w:rsidR="00227B4A" w:rsidRPr="00957ECF" w:rsidRDefault="00E4056A" w:rsidP="00227B4A">
    <w:pPr>
      <w:rPr>
        <w:color w:val="222A35" w:themeColor="text2" w:themeShade="80"/>
      </w:rPr>
    </w:pPr>
    <w:r>
      <w:rPr>
        <w:noProof/>
      </w:rPr>
      <w:drawing>
        <wp:anchor distT="0" distB="0" distL="114300" distR="114300" simplePos="0" relativeHeight="251663360" behindDoc="0" locked="0" layoutInCell="1" allowOverlap="1" wp14:anchorId="17D53CFD" wp14:editId="08443634">
          <wp:simplePos x="0" y="0"/>
          <wp:positionH relativeFrom="margin">
            <wp:posOffset>5744210</wp:posOffset>
          </wp:positionH>
          <wp:positionV relativeFrom="paragraph">
            <wp:posOffset>-916305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7B4A">
      <w:rPr>
        <w:noProof/>
      </w:rPr>
      <mc:AlternateContent>
        <mc:Choice Requires="wps">
          <w:drawing>
            <wp:anchor distT="0" distB="0" distL="114300" distR="114300" simplePos="0" relativeHeight="251661312" behindDoc="1" locked="0" layoutInCell="1" allowOverlap="1" wp14:anchorId="680626D1" wp14:editId="0290D6CA">
              <wp:simplePos x="0" y="0"/>
              <wp:positionH relativeFrom="margin">
                <wp:posOffset>471842</wp:posOffset>
              </wp:positionH>
              <wp:positionV relativeFrom="bottomMargin">
                <wp:posOffset>536201</wp:posOffset>
              </wp:positionV>
              <wp:extent cx="704850" cy="304502"/>
              <wp:effectExtent l="0" t="0" r="0" b="635"/>
              <wp:wrapNone/>
              <wp:docPr id="5" name="Rectángulo 5"/>
              <wp:cNvGraphicFramePr/>
              <a:graphic xmlns:a="http://schemas.openxmlformats.org/drawingml/2006/main">
                <a:graphicData uri="http://schemas.microsoft.com/office/word/2010/wordprocessingShape">
                  <wps:wsp>
                    <wps:cNvSpPr/>
                    <wps:spPr>
                      <a:xfrm>
                        <a:off x="0" y="0"/>
                        <a:ext cx="704850" cy="3045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23272" w14:textId="64983A45" w:rsidR="00227B4A" w:rsidRPr="00DF71AF" w:rsidRDefault="00227B4A" w:rsidP="00227B4A">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EMC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626D1" id="Rectángulo 5" o:spid="_x0000_s1026" style="position:absolute;margin-left:37.15pt;margin-top:42.2pt;width:55.5pt;height:2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" filled="f" stroked="f" strokeweight="1pt">
              <v:textbox>
                <w:txbxContent>
                  <w:p w14:paraId="3A623272" w14:textId="64983A45" w:rsidR="00227B4A" w:rsidRPr="00DF71AF" w:rsidRDefault="00227B4A" w:rsidP="00227B4A">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EMC</w:t>
                    </w:r>
                  </w:p>
                </w:txbxContent>
              </v:textbox>
              <w10:wrap anchorx="margin" anchory="margin"/>
            </v:rect>
          </w:pict>
        </mc:Fallback>
      </mc:AlternateContent>
    </w:r>
    <w:r w:rsidR="00227B4A">
      <w:rPr>
        <w:noProof/>
      </w:rPr>
      <mc:AlternateContent>
        <mc:Choice Requires="wps">
          <w:drawing>
            <wp:anchor distT="0" distB="0" distL="114300" distR="114300" simplePos="0" relativeHeight="251662336" behindDoc="1" locked="0" layoutInCell="1" allowOverlap="1" wp14:anchorId="094B919C" wp14:editId="742E8715">
              <wp:simplePos x="0" y="0"/>
              <wp:positionH relativeFrom="margin">
                <wp:posOffset>3842572</wp:posOffset>
              </wp:positionH>
              <wp:positionV relativeFrom="bottomMargin">
                <wp:posOffset>455518</wp:posOffset>
              </wp:positionV>
              <wp:extent cx="1872615" cy="645235"/>
              <wp:effectExtent l="0" t="0" r="0" b="2540"/>
              <wp:wrapNone/>
              <wp:docPr id="4" name="Rectángulo 4"/>
              <wp:cNvGraphicFramePr/>
              <a:graphic xmlns:a="http://schemas.openxmlformats.org/drawingml/2006/main">
                <a:graphicData uri="http://schemas.microsoft.com/office/word/2010/wordprocessingShape">
                  <wps:wsp>
                    <wps:cNvSpPr/>
                    <wps:spPr>
                      <a:xfrm>
                        <a:off x="0" y="0"/>
                        <a:ext cx="1872615" cy="6452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240F1" w14:textId="77777777" w:rsidR="00227B4A" w:rsidRPr="00A20704" w:rsidRDefault="00227B4A" w:rsidP="00227B4A">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227B4A">
                            <w:rPr>
                              <w:rFonts w:ascii="Arial" w:hAnsi="Arial" w:cs="Arial"/>
                              <w:color w:val="11213B"/>
                              <w:w w:val="105"/>
                              <w:sz w:val="12"/>
                              <w:szCs w:val="12"/>
                              <w:lang w:val="pt-PT"/>
                            </w:rPr>
                            <w:t xml:space="preserve">Centro Empresarial Chipichape </w:t>
                          </w:r>
                          <w:r w:rsidRPr="00227B4A">
                            <w:rPr>
                              <w:rFonts w:ascii="Arial" w:hAnsi="Arial" w:cs="Arial"/>
                              <w:color w:val="11213B"/>
                              <w:w w:val="105"/>
                              <w:sz w:val="12"/>
                              <w:szCs w:val="12"/>
                              <w:lang w:val="pt-PT"/>
                            </w:rPr>
                            <w:b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B919C" id="Rectángulo 4" o:spid="_x0000_s1027" style="position:absolute;margin-left:302.55pt;margin-top:35.85pt;width:147.45pt;height:50.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" filled="f" stroked="f" strokeweight="1pt">
              <v:textbox>
                <w:txbxContent>
                  <w:p w14:paraId="1E6240F1" w14:textId="77777777" w:rsidR="00227B4A" w:rsidRPr="00A20704" w:rsidRDefault="00227B4A" w:rsidP="00227B4A">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Cra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227B4A">
                      <w:rPr>
                        <w:rFonts w:ascii="Arial" w:hAnsi="Arial" w:cs="Arial"/>
                        <w:color w:val="11213B"/>
                        <w:w w:val="105"/>
                        <w:sz w:val="12"/>
                        <w:szCs w:val="12"/>
                        <w:lang w:val="pt-PT"/>
                      </w:rPr>
                      <w:t xml:space="preserve">Centro Empresarial Chipichape </w:t>
                    </w:r>
                    <w:r w:rsidRPr="00227B4A">
                      <w:rPr>
                        <w:rFonts w:ascii="Arial" w:hAnsi="Arial" w:cs="Arial"/>
                        <w:color w:val="11213B"/>
                        <w:w w:val="105"/>
                        <w:sz w:val="12"/>
                        <w:szCs w:val="12"/>
                        <w:lang w:val="pt-PT"/>
                      </w:rPr>
                      <w:br/>
                      <w:t>+57 315 577 6200 - 602-6594075</w:t>
                    </w:r>
                  </w:p>
                </w:txbxContent>
              </v:textbox>
              <w10:wrap anchorx="margin" anchory="margin"/>
            </v:rect>
          </w:pict>
        </mc:Fallback>
      </mc:AlternateContent>
    </w:r>
    <w:r w:rsidR="00227B4A">
      <w:rPr>
        <w:color w:val="222A35" w:themeColor="text2" w:themeShade="80"/>
      </w:rPr>
      <w:t xml:space="preserve">                                         </w:t>
    </w:r>
    <w:r w:rsidR="00227B4A">
      <w:rPr>
        <w:color w:val="222A35" w:themeColor="text2" w:themeShade="80"/>
      </w:rPr>
      <w:tab/>
    </w:r>
    <w:r w:rsidR="00227B4A">
      <w:rPr>
        <w:color w:val="222A35" w:themeColor="text2" w:themeShade="80"/>
      </w:rPr>
      <w:tab/>
    </w:r>
    <w:r w:rsidR="00227B4A">
      <w:rPr>
        <w:color w:val="222A35" w:themeColor="text2" w:themeShade="80"/>
      </w:rPr>
      <w:tab/>
    </w:r>
    <w:r w:rsidR="00227B4A">
      <w:rPr>
        <w:color w:val="222A35" w:themeColor="text2" w:themeShade="80"/>
      </w:rPr>
      <w:tab/>
    </w:r>
    <w:r w:rsidR="00227B4A">
      <w:rPr>
        <w:color w:val="222A35" w:themeColor="text2" w:themeShade="80"/>
      </w:rPr>
      <w:tab/>
    </w:r>
    <w:r w:rsidR="00227B4A">
      <w:rPr>
        <w:color w:val="222A35" w:themeColor="text2" w:themeShade="80"/>
      </w:rPr>
      <w:tab/>
    </w:r>
    <w:r w:rsidR="00227B4A">
      <w:rPr>
        <w:color w:val="222A35" w:themeColor="text2" w:themeShade="80"/>
      </w:rPr>
      <w:tab/>
    </w:r>
    <w:r w:rsidR="00227B4A">
      <w:rPr>
        <w:color w:val="222A35" w:themeColor="text2" w:themeShade="80"/>
      </w:rPr>
      <w:tab/>
    </w:r>
    <w:r w:rsidR="00227B4A">
      <w:rPr>
        <w:color w:val="222A35" w:themeColor="text2" w:themeShade="80"/>
      </w:rPr>
      <w:tab/>
      <w:t xml:space="preserve">          </w:t>
    </w:r>
    <w:r w:rsidR="00227B4A" w:rsidRPr="00194DAC">
      <w:rPr>
        <w:rFonts w:ascii="Raleway" w:hAnsi="Raleway"/>
        <w:b/>
        <w:bCs/>
        <w:color w:val="222A35" w:themeColor="text2" w:themeShade="80"/>
        <w:sz w:val="16"/>
        <w:szCs w:val="16"/>
      </w:rPr>
      <w:t xml:space="preserve">  </w:t>
    </w:r>
    <w:r w:rsidR="00227B4A" w:rsidRPr="000B00A8">
      <w:rPr>
        <w:rFonts w:ascii="Arial" w:hAnsi="Arial" w:cs="Arial"/>
        <w:b/>
        <w:bCs/>
        <w:color w:val="222A35" w:themeColor="text2" w:themeShade="80"/>
        <w:sz w:val="14"/>
        <w:szCs w:val="14"/>
      </w:rPr>
      <w:t xml:space="preserve">Página </w:t>
    </w:r>
    <w:r w:rsidR="00227B4A" w:rsidRPr="000B00A8">
      <w:rPr>
        <w:rFonts w:ascii="Arial" w:hAnsi="Arial" w:cs="Arial"/>
        <w:b/>
        <w:bCs/>
        <w:color w:val="222A35" w:themeColor="text2" w:themeShade="80"/>
        <w:sz w:val="14"/>
        <w:szCs w:val="14"/>
      </w:rPr>
      <w:fldChar w:fldCharType="begin"/>
    </w:r>
    <w:r w:rsidR="00227B4A" w:rsidRPr="000B00A8">
      <w:rPr>
        <w:rFonts w:ascii="Arial" w:hAnsi="Arial" w:cs="Arial"/>
        <w:b/>
        <w:bCs/>
        <w:color w:val="222A35" w:themeColor="text2" w:themeShade="80"/>
        <w:sz w:val="14"/>
        <w:szCs w:val="14"/>
      </w:rPr>
      <w:instrText>PAGE   \* MERGEFORMAT</w:instrText>
    </w:r>
    <w:r w:rsidR="00227B4A" w:rsidRPr="000B00A8">
      <w:rPr>
        <w:rFonts w:ascii="Arial" w:hAnsi="Arial" w:cs="Arial"/>
        <w:b/>
        <w:bCs/>
        <w:color w:val="222A35" w:themeColor="text2" w:themeShade="80"/>
        <w:sz w:val="14"/>
        <w:szCs w:val="14"/>
      </w:rPr>
      <w:fldChar w:fldCharType="separate"/>
    </w:r>
    <w:r w:rsidR="00227B4A">
      <w:rPr>
        <w:rFonts w:ascii="Arial" w:hAnsi="Arial" w:cs="Arial"/>
        <w:b/>
        <w:bCs/>
        <w:color w:val="222A35" w:themeColor="text2" w:themeShade="80"/>
        <w:sz w:val="14"/>
        <w:szCs w:val="14"/>
      </w:rPr>
      <w:t>1</w:t>
    </w:r>
    <w:r w:rsidR="00227B4A" w:rsidRPr="000B00A8">
      <w:rPr>
        <w:rFonts w:ascii="Arial" w:hAnsi="Arial" w:cs="Arial"/>
        <w:b/>
        <w:bCs/>
        <w:color w:val="222A35" w:themeColor="text2" w:themeShade="80"/>
        <w:sz w:val="14"/>
        <w:szCs w:val="14"/>
      </w:rPr>
      <w:fldChar w:fldCharType="end"/>
    </w:r>
    <w:r w:rsidR="00227B4A" w:rsidRPr="000B00A8">
      <w:rPr>
        <w:rFonts w:ascii="Arial" w:hAnsi="Arial" w:cs="Arial"/>
        <w:b/>
        <w:bCs/>
        <w:color w:val="222A35" w:themeColor="text2" w:themeShade="80"/>
        <w:sz w:val="14"/>
        <w:szCs w:val="14"/>
      </w:rPr>
      <w:t xml:space="preserve"> | </w:t>
    </w:r>
    <w:r w:rsidR="00227B4A" w:rsidRPr="000B00A8">
      <w:rPr>
        <w:rFonts w:ascii="Arial" w:hAnsi="Arial" w:cs="Arial"/>
        <w:b/>
        <w:bCs/>
        <w:color w:val="222A35" w:themeColor="text2" w:themeShade="80"/>
        <w:sz w:val="14"/>
        <w:szCs w:val="14"/>
      </w:rPr>
      <w:fldChar w:fldCharType="begin"/>
    </w:r>
    <w:r w:rsidR="00227B4A" w:rsidRPr="000B00A8">
      <w:rPr>
        <w:rFonts w:ascii="Arial" w:hAnsi="Arial" w:cs="Arial"/>
        <w:b/>
        <w:bCs/>
        <w:color w:val="222A35" w:themeColor="text2" w:themeShade="80"/>
        <w:sz w:val="14"/>
        <w:szCs w:val="14"/>
      </w:rPr>
      <w:instrText>NUMPAGES  \* Arabic  \* MERGEFORMAT</w:instrText>
    </w:r>
    <w:r w:rsidR="00227B4A" w:rsidRPr="000B00A8">
      <w:rPr>
        <w:rFonts w:ascii="Arial" w:hAnsi="Arial" w:cs="Arial"/>
        <w:b/>
        <w:bCs/>
        <w:color w:val="222A35" w:themeColor="text2" w:themeShade="80"/>
        <w:sz w:val="14"/>
        <w:szCs w:val="14"/>
      </w:rPr>
      <w:fldChar w:fldCharType="separate"/>
    </w:r>
    <w:r w:rsidR="00227B4A">
      <w:rPr>
        <w:rFonts w:ascii="Arial" w:hAnsi="Arial" w:cs="Arial"/>
        <w:b/>
        <w:bCs/>
        <w:color w:val="222A35" w:themeColor="text2" w:themeShade="80"/>
        <w:sz w:val="14"/>
        <w:szCs w:val="14"/>
      </w:rPr>
      <w:t>3</w:t>
    </w:r>
    <w:r w:rsidR="00227B4A" w:rsidRPr="000B00A8">
      <w:rPr>
        <w:rFonts w:ascii="Arial" w:hAnsi="Arial" w:cs="Arial"/>
        <w:b/>
        <w:bCs/>
        <w:color w:val="222A35" w:themeColor="text2" w:themeShade="80"/>
        <w:sz w:val="14"/>
        <w:szCs w:val="14"/>
      </w:rPr>
      <w:fldChar w:fldCharType="end"/>
    </w:r>
  </w:p>
  <w:p w14:paraId="2148D06E" w14:textId="0097C11B" w:rsidR="00AC4D61" w:rsidRDefault="00AC4D61" w:rsidP="00C544B3">
    <w:pPr>
      <w:pStyle w:val="Piedepgina"/>
      <w:tabs>
        <w:tab w:val="clear" w:pos="4419"/>
        <w:tab w:val="clear" w:pos="8838"/>
        <w:tab w:val="left" w:pos="59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582E8" w14:textId="77777777" w:rsidR="00152CA3" w:rsidRDefault="00152CA3" w:rsidP="0025591F">
      <w:r>
        <w:separator/>
      </w:r>
    </w:p>
  </w:footnote>
  <w:footnote w:type="continuationSeparator" w:id="0">
    <w:p w14:paraId="7A62DE43" w14:textId="77777777" w:rsidR="00152CA3" w:rsidRDefault="00152CA3" w:rsidP="0025591F">
      <w:r>
        <w:continuationSeparator/>
      </w:r>
    </w:p>
  </w:footnote>
  <w:footnote w:id="1">
    <w:p w14:paraId="239A3D3E" w14:textId="08E5B084" w:rsidR="00AC4D61" w:rsidRPr="002D55A1" w:rsidRDefault="00AC4D61" w:rsidP="00A9541E">
      <w:pPr>
        <w:pStyle w:val="Textonotapie"/>
        <w:jc w:val="both"/>
        <w:rPr>
          <w:rFonts w:ascii="Arial" w:hAnsi="Arial" w:cs="Arial"/>
          <w:sz w:val="16"/>
          <w:szCs w:val="16"/>
          <w:lang w:val="es-ES"/>
        </w:rPr>
      </w:pPr>
      <w:r w:rsidRPr="002D55A1">
        <w:rPr>
          <w:rStyle w:val="Refdenotaalpie"/>
          <w:rFonts w:ascii="Arial" w:hAnsi="Arial" w:cs="Arial"/>
          <w:sz w:val="16"/>
          <w:szCs w:val="16"/>
        </w:rPr>
        <w:footnoteRef/>
      </w:r>
      <w:r w:rsidRPr="002D55A1">
        <w:rPr>
          <w:rFonts w:ascii="Arial" w:hAnsi="Arial" w:cs="Arial"/>
          <w:sz w:val="16"/>
          <w:szCs w:val="16"/>
        </w:rPr>
        <w:t xml:space="preserve"> </w:t>
      </w:r>
      <w:r w:rsidRPr="002D55A1">
        <w:rPr>
          <w:rFonts w:ascii="Arial" w:hAnsi="Arial" w:cs="Arial"/>
          <w:sz w:val="16"/>
          <w:szCs w:val="16"/>
          <w:lang w:val="es-ES"/>
        </w:rPr>
        <w:t xml:space="preserve">Acta de audiencia inicial </w:t>
      </w:r>
      <w:r w:rsidR="0057139D" w:rsidRPr="0057139D">
        <w:rPr>
          <w:rFonts w:ascii="Arial" w:hAnsi="Arial" w:cs="Arial"/>
          <w:sz w:val="16"/>
          <w:szCs w:val="16"/>
          <w:lang w:val="es-ES"/>
        </w:rPr>
        <w:t xml:space="preserve">No. </w:t>
      </w:r>
      <w:r w:rsidR="00EF7FC0">
        <w:rPr>
          <w:rFonts w:ascii="Arial" w:hAnsi="Arial" w:cs="Arial"/>
          <w:sz w:val="16"/>
          <w:szCs w:val="16"/>
          <w:lang w:val="es-ES"/>
        </w:rPr>
        <w:t>011</w:t>
      </w:r>
      <w:r w:rsidR="0057139D">
        <w:rPr>
          <w:rFonts w:ascii="Arial" w:hAnsi="Arial" w:cs="Arial"/>
          <w:sz w:val="16"/>
          <w:szCs w:val="16"/>
          <w:lang w:val="es-ES"/>
        </w:rPr>
        <w:t xml:space="preserve"> </w:t>
      </w:r>
      <w:r w:rsidR="00451AC0">
        <w:rPr>
          <w:rFonts w:ascii="Arial" w:hAnsi="Arial" w:cs="Arial"/>
          <w:sz w:val="16"/>
          <w:szCs w:val="16"/>
          <w:lang w:val="es-ES"/>
        </w:rPr>
        <w:t xml:space="preserve">de fecha </w:t>
      </w:r>
      <w:r w:rsidR="00EF7FC0">
        <w:rPr>
          <w:rFonts w:ascii="Arial" w:hAnsi="Arial" w:cs="Arial"/>
          <w:sz w:val="16"/>
          <w:szCs w:val="16"/>
          <w:lang w:val="es-ES"/>
        </w:rPr>
        <w:t>13 de febrero de 2025</w:t>
      </w:r>
      <w:r w:rsidR="00451AC0">
        <w:rPr>
          <w:rFonts w:ascii="Arial" w:hAnsi="Arial" w:cs="Arial"/>
          <w:sz w:val="16"/>
          <w:szCs w:val="16"/>
          <w:lang w:val="es-ES"/>
        </w:rPr>
        <w:t>.</w:t>
      </w:r>
    </w:p>
  </w:footnote>
  <w:footnote w:id="2">
    <w:p w14:paraId="3399CE82" w14:textId="5979D893" w:rsidR="005F4CBB" w:rsidRDefault="005F4CBB">
      <w:pPr>
        <w:pStyle w:val="Textonotapie"/>
      </w:pPr>
      <w:r>
        <w:rPr>
          <w:rStyle w:val="Refdenotaalpie"/>
        </w:rPr>
        <w:footnoteRef/>
      </w:r>
      <w:r>
        <w:t xml:space="preserve"> </w:t>
      </w:r>
      <w:r w:rsidRPr="005F4CBB">
        <w:rPr>
          <w:rFonts w:ascii="Arial" w:hAnsi="Arial" w:cs="Arial"/>
          <w:sz w:val="16"/>
          <w:szCs w:val="16"/>
        </w:rPr>
        <w:t>Consejo de Estado, Sección Tercera, sentencia del 14 de julio de 2016, Rad. 76001-23-31-000-2008-00179-01(41631)).</w:t>
      </w:r>
    </w:p>
  </w:footnote>
  <w:footnote w:id="3">
    <w:p w14:paraId="64F2BA5E" w14:textId="7D61A6A5" w:rsidR="00A157A9" w:rsidRDefault="00A157A9">
      <w:pPr>
        <w:pStyle w:val="Textonotapie"/>
      </w:pPr>
      <w:r>
        <w:rPr>
          <w:rStyle w:val="Refdenotaalpie"/>
        </w:rPr>
        <w:footnoteRef/>
      </w:r>
      <w:r>
        <w:t xml:space="preserve"> </w:t>
      </w:r>
      <w:r w:rsidRPr="00A157A9">
        <w:rPr>
          <w:rFonts w:ascii="Arial" w:hAnsi="Arial" w:cs="Arial"/>
          <w:sz w:val="16"/>
          <w:szCs w:val="16"/>
        </w:rPr>
        <w:t xml:space="preserve">Consejo de Estado, Sección Tercera, sentencia del 25 de julio de 2002, </w:t>
      </w:r>
      <w:proofErr w:type="spellStart"/>
      <w:r w:rsidRPr="00A157A9">
        <w:rPr>
          <w:rFonts w:ascii="Arial" w:hAnsi="Arial" w:cs="Arial"/>
          <w:sz w:val="16"/>
          <w:szCs w:val="16"/>
        </w:rPr>
        <w:t>Exp</w:t>
      </w:r>
      <w:proofErr w:type="spellEnd"/>
      <w:r w:rsidRPr="00A157A9">
        <w:rPr>
          <w:rFonts w:ascii="Arial" w:hAnsi="Arial" w:cs="Arial"/>
          <w:sz w:val="16"/>
          <w:szCs w:val="16"/>
        </w:rPr>
        <w:t>. 13.744</w:t>
      </w:r>
    </w:p>
  </w:footnote>
  <w:footnote w:id="4">
    <w:p w14:paraId="58A8017B" w14:textId="77777777" w:rsidR="006E735C" w:rsidRDefault="006E735C" w:rsidP="006E735C">
      <w:pPr>
        <w:pStyle w:val="Textonotapie"/>
        <w:jc w:val="both"/>
      </w:pPr>
      <w:r>
        <w:rPr>
          <w:rStyle w:val="Refdenotaalpie"/>
        </w:rPr>
        <w:footnoteRef/>
      </w:r>
      <w:r>
        <w:t xml:space="preserve"> </w:t>
      </w:r>
      <w:r w:rsidRPr="00AA76AB">
        <w:rPr>
          <w:rFonts w:ascii="Arial" w:hAnsi="Arial" w:cs="Arial"/>
          <w:b/>
          <w:bCs/>
          <w:color w:val="000000"/>
          <w:sz w:val="16"/>
          <w:szCs w:val="16"/>
        </w:rPr>
        <w:t>Consejo de Estado, Sección Tercera, Sentencia de 2013, Radicado 25000-23-26-000-2000-02019-01(25472)</w:t>
      </w:r>
      <w:r w:rsidRPr="00AA76AB">
        <w:rPr>
          <w:rFonts w:ascii="Arial" w:hAnsi="Arial" w:cs="Arial"/>
          <w:color w:val="000000"/>
          <w:sz w:val="16"/>
          <w:szCs w:val="16"/>
        </w:rPr>
        <w:t>)</w:t>
      </w:r>
    </w:p>
  </w:footnote>
  <w:footnote w:id="5">
    <w:p w14:paraId="7801F188" w14:textId="6271EE55" w:rsidR="00E938F6" w:rsidRDefault="00E938F6">
      <w:pPr>
        <w:pStyle w:val="Textonotapie"/>
      </w:pPr>
      <w:r>
        <w:rPr>
          <w:rStyle w:val="Refdenotaalpie"/>
        </w:rPr>
        <w:footnoteRef/>
      </w:r>
      <w:r>
        <w:t xml:space="preserve"> </w:t>
      </w:r>
      <w:r w:rsidRPr="00E938F6">
        <w:rPr>
          <w:rFonts w:ascii="Arial" w:hAnsi="Arial" w:cs="Arial"/>
          <w:color w:val="000000"/>
          <w:sz w:val="18"/>
          <w:szCs w:val="18"/>
        </w:rPr>
        <w:t>Consejo de Estado, 2022, 25000232600020110122201 (50.698)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CD16A" w14:textId="4BEB0401" w:rsidR="00AC4D61" w:rsidRDefault="00227B4A">
    <w:pPr>
      <w:pStyle w:val="Encabezado"/>
    </w:pPr>
    <w:r>
      <w:rPr>
        <w:noProof/>
      </w:rPr>
      <w:drawing>
        <wp:anchor distT="0" distB="0" distL="114300" distR="114300" simplePos="0" relativeHeight="251659264" behindDoc="0" locked="0" layoutInCell="1" allowOverlap="1" wp14:anchorId="12057F72" wp14:editId="50E72749">
          <wp:simplePos x="0" y="0"/>
          <wp:positionH relativeFrom="margin">
            <wp:align>right</wp:align>
          </wp:positionH>
          <wp:positionV relativeFrom="paragraph">
            <wp:posOffset>-274955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D61">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577BF9"/>
    <w:multiLevelType w:val="multilevel"/>
    <w:tmpl w:val="82BC0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E02C02"/>
    <w:multiLevelType w:val="hybridMultilevel"/>
    <w:tmpl w:val="4E72D4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0450A0D"/>
    <w:multiLevelType w:val="multilevel"/>
    <w:tmpl w:val="8CF4F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CE20ED"/>
    <w:multiLevelType w:val="hybridMultilevel"/>
    <w:tmpl w:val="1E88BCA8"/>
    <w:lvl w:ilvl="0" w:tplc="CFB02D9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99C4EB0"/>
    <w:multiLevelType w:val="multilevel"/>
    <w:tmpl w:val="DEB20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BC245A"/>
    <w:multiLevelType w:val="multilevel"/>
    <w:tmpl w:val="707CA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1F6597"/>
    <w:multiLevelType w:val="hybridMultilevel"/>
    <w:tmpl w:val="60BED8CA"/>
    <w:lvl w:ilvl="0" w:tplc="599C446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71616A13"/>
    <w:multiLevelType w:val="multilevel"/>
    <w:tmpl w:val="3BD0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6D1E53"/>
    <w:multiLevelType w:val="multilevel"/>
    <w:tmpl w:val="3F5C2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99419706">
    <w:abstractNumId w:val="3"/>
  </w:num>
  <w:num w:numId="2" w16cid:durableId="2041010724">
    <w:abstractNumId w:val="6"/>
  </w:num>
  <w:num w:numId="3" w16cid:durableId="519665956">
    <w:abstractNumId w:val="1"/>
  </w:num>
  <w:num w:numId="4" w16cid:durableId="1994210986">
    <w:abstractNumId w:val="8"/>
  </w:num>
  <w:num w:numId="5" w16cid:durableId="628050611">
    <w:abstractNumId w:val="4"/>
  </w:num>
  <w:num w:numId="6" w16cid:durableId="1034422284">
    <w:abstractNumId w:val="7"/>
  </w:num>
  <w:num w:numId="7" w16cid:durableId="1936094129">
    <w:abstractNumId w:val="2"/>
  </w:num>
  <w:num w:numId="8" w16cid:durableId="759834437">
    <w:abstractNumId w:val="5"/>
  </w:num>
  <w:num w:numId="9" w16cid:durableId="1461802237">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9F6"/>
    <w:rsid w:val="000023BE"/>
    <w:rsid w:val="00003C2E"/>
    <w:rsid w:val="00010D6A"/>
    <w:rsid w:val="00016C32"/>
    <w:rsid w:val="000201E6"/>
    <w:rsid w:val="00020F63"/>
    <w:rsid w:val="00023DC5"/>
    <w:rsid w:val="0003111F"/>
    <w:rsid w:val="00034870"/>
    <w:rsid w:val="000350E8"/>
    <w:rsid w:val="00035F33"/>
    <w:rsid w:val="0004147F"/>
    <w:rsid w:val="000415C1"/>
    <w:rsid w:val="0004223C"/>
    <w:rsid w:val="00042740"/>
    <w:rsid w:val="000446C7"/>
    <w:rsid w:val="00051B41"/>
    <w:rsid w:val="00055303"/>
    <w:rsid w:val="00056B3F"/>
    <w:rsid w:val="00060728"/>
    <w:rsid w:val="00063C7B"/>
    <w:rsid w:val="00063FE2"/>
    <w:rsid w:val="000662E8"/>
    <w:rsid w:val="00066CDD"/>
    <w:rsid w:val="00074C9B"/>
    <w:rsid w:val="0007726B"/>
    <w:rsid w:val="0007799A"/>
    <w:rsid w:val="00085E9D"/>
    <w:rsid w:val="00086254"/>
    <w:rsid w:val="00086FDF"/>
    <w:rsid w:val="00097C81"/>
    <w:rsid w:val="000A0D01"/>
    <w:rsid w:val="000A246B"/>
    <w:rsid w:val="000A2574"/>
    <w:rsid w:val="000A285B"/>
    <w:rsid w:val="000A5CD4"/>
    <w:rsid w:val="000A7846"/>
    <w:rsid w:val="000B0F45"/>
    <w:rsid w:val="000B2558"/>
    <w:rsid w:val="000B2A64"/>
    <w:rsid w:val="000B3913"/>
    <w:rsid w:val="000B4DDB"/>
    <w:rsid w:val="000B70BD"/>
    <w:rsid w:val="000C1330"/>
    <w:rsid w:val="000C2815"/>
    <w:rsid w:val="000C58EB"/>
    <w:rsid w:val="000C7196"/>
    <w:rsid w:val="000C7C04"/>
    <w:rsid w:val="000D0307"/>
    <w:rsid w:val="000D053D"/>
    <w:rsid w:val="000D2647"/>
    <w:rsid w:val="000D306A"/>
    <w:rsid w:val="000D3908"/>
    <w:rsid w:val="000D54A6"/>
    <w:rsid w:val="000D6C81"/>
    <w:rsid w:val="000E09FB"/>
    <w:rsid w:val="000E1EC0"/>
    <w:rsid w:val="000E5768"/>
    <w:rsid w:val="000E6CA3"/>
    <w:rsid w:val="000E6D82"/>
    <w:rsid w:val="000F0A35"/>
    <w:rsid w:val="000F1F69"/>
    <w:rsid w:val="000F1FB2"/>
    <w:rsid w:val="000F5EFA"/>
    <w:rsid w:val="000F685B"/>
    <w:rsid w:val="00103A4A"/>
    <w:rsid w:val="00104043"/>
    <w:rsid w:val="001051EA"/>
    <w:rsid w:val="00105544"/>
    <w:rsid w:val="00105562"/>
    <w:rsid w:val="001079AD"/>
    <w:rsid w:val="001107A1"/>
    <w:rsid w:val="00112024"/>
    <w:rsid w:val="0011253F"/>
    <w:rsid w:val="00112BF1"/>
    <w:rsid w:val="0011470B"/>
    <w:rsid w:val="001227E2"/>
    <w:rsid w:val="0012361D"/>
    <w:rsid w:val="001272A3"/>
    <w:rsid w:val="00127575"/>
    <w:rsid w:val="0013138A"/>
    <w:rsid w:val="001315A7"/>
    <w:rsid w:val="00133EB1"/>
    <w:rsid w:val="0013615F"/>
    <w:rsid w:val="00142BE3"/>
    <w:rsid w:val="00142EFB"/>
    <w:rsid w:val="001436E6"/>
    <w:rsid w:val="00143DF4"/>
    <w:rsid w:val="00151067"/>
    <w:rsid w:val="00152CA3"/>
    <w:rsid w:val="0015318D"/>
    <w:rsid w:val="00153890"/>
    <w:rsid w:val="001544A8"/>
    <w:rsid w:val="00160755"/>
    <w:rsid w:val="00162197"/>
    <w:rsid w:val="001622D6"/>
    <w:rsid w:val="001645D1"/>
    <w:rsid w:val="00164AFC"/>
    <w:rsid w:val="00173090"/>
    <w:rsid w:val="00175D03"/>
    <w:rsid w:val="0018079D"/>
    <w:rsid w:val="00180C4A"/>
    <w:rsid w:val="00182ECA"/>
    <w:rsid w:val="00185AC5"/>
    <w:rsid w:val="001878D3"/>
    <w:rsid w:val="0019153E"/>
    <w:rsid w:val="001925A0"/>
    <w:rsid w:val="001929DF"/>
    <w:rsid w:val="00194DAC"/>
    <w:rsid w:val="001960FD"/>
    <w:rsid w:val="001963F8"/>
    <w:rsid w:val="001964B7"/>
    <w:rsid w:val="001A3052"/>
    <w:rsid w:val="001A4CFC"/>
    <w:rsid w:val="001B0B95"/>
    <w:rsid w:val="001B3189"/>
    <w:rsid w:val="001B6075"/>
    <w:rsid w:val="001B6B38"/>
    <w:rsid w:val="001C0FC6"/>
    <w:rsid w:val="001C65F0"/>
    <w:rsid w:val="001D29ED"/>
    <w:rsid w:val="001D49D9"/>
    <w:rsid w:val="001D5103"/>
    <w:rsid w:val="001D5C6A"/>
    <w:rsid w:val="001D67DF"/>
    <w:rsid w:val="001D72F4"/>
    <w:rsid w:val="001E2A1C"/>
    <w:rsid w:val="001E5DD9"/>
    <w:rsid w:val="001E747B"/>
    <w:rsid w:val="001F3E0B"/>
    <w:rsid w:val="001F4801"/>
    <w:rsid w:val="001F5621"/>
    <w:rsid w:val="001F6AC0"/>
    <w:rsid w:val="00201F5A"/>
    <w:rsid w:val="00203B2D"/>
    <w:rsid w:val="00205437"/>
    <w:rsid w:val="00205AF5"/>
    <w:rsid w:val="00206941"/>
    <w:rsid w:val="00211047"/>
    <w:rsid w:val="00211674"/>
    <w:rsid w:val="00212AAD"/>
    <w:rsid w:val="00212EBE"/>
    <w:rsid w:val="0022036A"/>
    <w:rsid w:val="00221150"/>
    <w:rsid w:val="0022339F"/>
    <w:rsid w:val="0022542E"/>
    <w:rsid w:val="00227B4A"/>
    <w:rsid w:val="0023027E"/>
    <w:rsid w:val="002322E4"/>
    <w:rsid w:val="002324EE"/>
    <w:rsid w:val="0023303F"/>
    <w:rsid w:val="00234F3F"/>
    <w:rsid w:val="00251F4E"/>
    <w:rsid w:val="0025476D"/>
    <w:rsid w:val="00254E27"/>
    <w:rsid w:val="0025591F"/>
    <w:rsid w:val="002678B3"/>
    <w:rsid w:val="00267DDC"/>
    <w:rsid w:val="00270574"/>
    <w:rsid w:val="00270591"/>
    <w:rsid w:val="002721E8"/>
    <w:rsid w:val="00273A21"/>
    <w:rsid w:val="00277BF8"/>
    <w:rsid w:val="00281D90"/>
    <w:rsid w:val="00282773"/>
    <w:rsid w:val="00283C59"/>
    <w:rsid w:val="0028528E"/>
    <w:rsid w:val="00293441"/>
    <w:rsid w:val="00295E70"/>
    <w:rsid w:val="002A1262"/>
    <w:rsid w:val="002A1277"/>
    <w:rsid w:val="002A27EB"/>
    <w:rsid w:val="002A3D76"/>
    <w:rsid w:val="002A5E23"/>
    <w:rsid w:val="002B0DD8"/>
    <w:rsid w:val="002B4B92"/>
    <w:rsid w:val="002B4ED1"/>
    <w:rsid w:val="002B5764"/>
    <w:rsid w:val="002B5E76"/>
    <w:rsid w:val="002B7B6C"/>
    <w:rsid w:val="002C029E"/>
    <w:rsid w:val="002C160C"/>
    <w:rsid w:val="002C1FF4"/>
    <w:rsid w:val="002C2DA7"/>
    <w:rsid w:val="002C301C"/>
    <w:rsid w:val="002C33F7"/>
    <w:rsid w:val="002C399F"/>
    <w:rsid w:val="002C3E4F"/>
    <w:rsid w:val="002D02EF"/>
    <w:rsid w:val="002D1AE4"/>
    <w:rsid w:val="002D23F7"/>
    <w:rsid w:val="002D55A1"/>
    <w:rsid w:val="002D6CCC"/>
    <w:rsid w:val="002E2702"/>
    <w:rsid w:val="002E32D6"/>
    <w:rsid w:val="002E53BA"/>
    <w:rsid w:val="002F2039"/>
    <w:rsid w:val="002F3381"/>
    <w:rsid w:val="002F4D21"/>
    <w:rsid w:val="002F740F"/>
    <w:rsid w:val="0030257B"/>
    <w:rsid w:val="00311F47"/>
    <w:rsid w:val="00322482"/>
    <w:rsid w:val="00323619"/>
    <w:rsid w:val="00323E42"/>
    <w:rsid w:val="00327992"/>
    <w:rsid w:val="00333590"/>
    <w:rsid w:val="00337093"/>
    <w:rsid w:val="00345F88"/>
    <w:rsid w:val="00350C96"/>
    <w:rsid w:val="00353FCF"/>
    <w:rsid w:val="003555BE"/>
    <w:rsid w:val="00360FC3"/>
    <w:rsid w:val="00361D5F"/>
    <w:rsid w:val="00362586"/>
    <w:rsid w:val="00367689"/>
    <w:rsid w:val="00375AFE"/>
    <w:rsid w:val="00376D3B"/>
    <w:rsid w:val="00377B6B"/>
    <w:rsid w:val="00383BE6"/>
    <w:rsid w:val="003877EF"/>
    <w:rsid w:val="00391AD0"/>
    <w:rsid w:val="003969EC"/>
    <w:rsid w:val="00397D74"/>
    <w:rsid w:val="003A0BE1"/>
    <w:rsid w:val="003A1F10"/>
    <w:rsid w:val="003A2625"/>
    <w:rsid w:val="003A46DC"/>
    <w:rsid w:val="003A6992"/>
    <w:rsid w:val="003B31F3"/>
    <w:rsid w:val="003B4890"/>
    <w:rsid w:val="003C15CD"/>
    <w:rsid w:val="003C2785"/>
    <w:rsid w:val="003C5231"/>
    <w:rsid w:val="003C5BCE"/>
    <w:rsid w:val="003C6951"/>
    <w:rsid w:val="003C78BF"/>
    <w:rsid w:val="003D2E9C"/>
    <w:rsid w:val="003D3E6A"/>
    <w:rsid w:val="003D659B"/>
    <w:rsid w:val="003D6ADD"/>
    <w:rsid w:val="003D6DCA"/>
    <w:rsid w:val="003E0F47"/>
    <w:rsid w:val="003E249A"/>
    <w:rsid w:val="003E41A7"/>
    <w:rsid w:val="003E4F00"/>
    <w:rsid w:val="003E66A9"/>
    <w:rsid w:val="003E7169"/>
    <w:rsid w:val="003E7188"/>
    <w:rsid w:val="003E7886"/>
    <w:rsid w:val="003F26B0"/>
    <w:rsid w:val="003F65D2"/>
    <w:rsid w:val="004009FD"/>
    <w:rsid w:val="00404727"/>
    <w:rsid w:val="00404A7C"/>
    <w:rsid w:val="00411ED0"/>
    <w:rsid w:val="00416F84"/>
    <w:rsid w:val="00417798"/>
    <w:rsid w:val="00417CE6"/>
    <w:rsid w:val="0042095D"/>
    <w:rsid w:val="0042497F"/>
    <w:rsid w:val="00431618"/>
    <w:rsid w:val="00440720"/>
    <w:rsid w:val="004421D1"/>
    <w:rsid w:val="00442712"/>
    <w:rsid w:val="00443F36"/>
    <w:rsid w:val="0044575D"/>
    <w:rsid w:val="004507A5"/>
    <w:rsid w:val="00451AC0"/>
    <w:rsid w:val="004545CE"/>
    <w:rsid w:val="0045497E"/>
    <w:rsid w:val="00456A9A"/>
    <w:rsid w:val="00457AE1"/>
    <w:rsid w:val="004625F6"/>
    <w:rsid w:val="00470810"/>
    <w:rsid w:val="0047326F"/>
    <w:rsid w:val="00473785"/>
    <w:rsid w:val="00485CE6"/>
    <w:rsid w:val="004870BE"/>
    <w:rsid w:val="00492562"/>
    <w:rsid w:val="00495D29"/>
    <w:rsid w:val="004A0E18"/>
    <w:rsid w:val="004A356B"/>
    <w:rsid w:val="004A657E"/>
    <w:rsid w:val="004A67C4"/>
    <w:rsid w:val="004B1503"/>
    <w:rsid w:val="004B1C75"/>
    <w:rsid w:val="004B1F1C"/>
    <w:rsid w:val="004B3E1D"/>
    <w:rsid w:val="004B42CD"/>
    <w:rsid w:val="004B64CB"/>
    <w:rsid w:val="004C01CE"/>
    <w:rsid w:val="004C129F"/>
    <w:rsid w:val="004C133F"/>
    <w:rsid w:val="004C248B"/>
    <w:rsid w:val="004C44EE"/>
    <w:rsid w:val="004D1CFA"/>
    <w:rsid w:val="004D3306"/>
    <w:rsid w:val="004D350E"/>
    <w:rsid w:val="004D36C3"/>
    <w:rsid w:val="004D422E"/>
    <w:rsid w:val="004E60BB"/>
    <w:rsid w:val="004E641B"/>
    <w:rsid w:val="004E7B1F"/>
    <w:rsid w:val="004F04CF"/>
    <w:rsid w:val="004F0F5F"/>
    <w:rsid w:val="004F2149"/>
    <w:rsid w:val="004F2F14"/>
    <w:rsid w:val="004F59A6"/>
    <w:rsid w:val="004F5E22"/>
    <w:rsid w:val="0050090E"/>
    <w:rsid w:val="00502511"/>
    <w:rsid w:val="005031BF"/>
    <w:rsid w:val="00503730"/>
    <w:rsid w:val="00503F45"/>
    <w:rsid w:val="00505F3C"/>
    <w:rsid w:val="00507FE8"/>
    <w:rsid w:val="00510296"/>
    <w:rsid w:val="0051599F"/>
    <w:rsid w:val="0052064A"/>
    <w:rsid w:val="00522AC2"/>
    <w:rsid w:val="00522B2F"/>
    <w:rsid w:val="00522EEE"/>
    <w:rsid w:val="00530F84"/>
    <w:rsid w:val="00532FE5"/>
    <w:rsid w:val="005342E3"/>
    <w:rsid w:val="005355FC"/>
    <w:rsid w:val="005359D1"/>
    <w:rsid w:val="005362AA"/>
    <w:rsid w:val="0054031B"/>
    <w:rsid w:val="00543AA0"/>
    <w:rsid w:val="00543F6F"/>
    <w:rsid w:val="00543F90"/>
    <w:rsid w:val="00544C7C"/>
    <w:rsid w:val="005454D3"/>
    <w:rsid w:val="00550F65"/>
    <w:rsid w:val="0056013B"/>
    <w:rsid w:val="00566628"/>
    <w:rsid w:val="00567337"/>
    <w:rsid w:val="00570A25"/>
    <w:rsid w:val="0057139D"/>
    <w:rsid w:val="005756B0"/>
    <w:rsid w:val="00576285"/>
    <w:rsid w:val="00586F94"/>
    <w:rsid w:val="005916E2"/>
    <w:rsid w:val="0059368E"/>
    <w:rsid w:val="00595406"/>
    <w:rsid w:val="005A2E88"/>
    <w:rsid w:val="005A302E"/>
    <w:rsid w:val="005A3B53"/>
    <w:rsid w:val="005A3F2C"/>
    <w:rsid w:val="005A4BAF"/>
    <w:rsid w:val="005A5142"/>
    <w:rsid w:val="005A6B58"/>
    <w:rsid w:val="005B124A"/>
    <w:rsid w:val="005B2CC7"/>
    <w:rsid w:val="005B6A19"/>
    <w:rsid w:val="005C4608"/>
    <w:rsid w:val="005C4B3A"/>
    <w:rsid w:val="005C7FF3"/>
    <w:rsid w:val="005D35CD"/>
    <w:rsid w:val="005D52FC"/>
    <w:rsid w:val="005D5D86"/>
    <w:rsid w:val="005D6679"/>
    <w:rsid w:val="005D7117"/>
    <w:rsid w:val="005E1420"/>
    <w:rsid w:val="005E1BF6"/>
    <w:rsid w:val="005E2968"/>
    <w:rsid w:val="005E3E09"/>
    <w:rsid w:val="005E40F3"/>
    <w:rsid w:val="005E43DF"/>
    <w:rsid w:val="005F1E5B"/>
    <w:rsid w:val="005F44B5"/>
    <w:rsid w:val="005F4CBB"/>
    <w:rsid w:val="00600132"/>
    <w:rsid w:val="00600F1F"/>
    <w:rsid w:val="00601B1F"/>
    <w:rsid w:val="00601EF1"/>
    <w:rsid w:val="00612CA8"/>
    <w:rsid w:val="00615322"/>
    <w:rsid w:val="00620581"/>
    <w:rsid w:val="006205C0"/>
    <w:rsid w:val="00621D1B"/>
    <w:rsid w:val="00622A95"/>
    <w:rsid w:val="00622BFD"/>
    <w:rsid w:val="00625037"/>
    <w:rsid w:val="00626AB9"/>
    <w:rsid w:val="00626B91"/>
    <w:rsid w:val="0063033E"/>
    <w:rsid w:val="00630D89"/>
    <w:rsid w:val="00634CC6"/>
    <w:rsid w:val="00637020"/>
    <w:rsid w:val="0063715B"/>
    <w:rsid w:val="0063719F"/>
    <w:rsid w:val="00640197"/>
    <w:rsid w:val="0064033C"/>
    <w:rsid w:val="00640FEF"/>
    <w:rsid w:val="0064403E"/>
    <w:rsid w:val="006563BD"/>
    <w:rsid w:val="00656D70"/>
    <w:rsid w:val="00656DFE"/>
    <w:rsid w:val="00662F75"/>
    <w:rsid w:val="00663088"/>
    <w:rsid w:val="0066372B"/>
    <w:rsid w:val="006717BD"/>
    <w:rsid w:val="00672953"/>
    <w:rsid w:val="0067765C"/>
    <w:rsid w:val="00680B4A"/>
    <w:rsid w:val="006810AB"/>
    <w:rsid w:val="00681C3A"/>
    <w:rsid w:val="00684258"/>
    <w:rsid w:val="006846A9"/>
    <w:rsid w:val="006868E7"/>
    <w:rsid w:val="00692629"/>
    <w:rsid w:val="0069313A"/>
    <w:rsid w:val="00697509"/>
    <w:rsid w:val="006A1175"/>
    <w:rsid w:val="006A2E0C"/>
    <w:rsid w:val="006A5CC6"/>
    <w:rsid w:val="006B309B"/>
    <w:rsid w:val="006B444F"/>
    <w:rsid w:val="006C190A"/>
    <w:rsid w:val="006D2658"/>
    <w:rsid w:val="006D312B"/>
    <w:rsid w:val="006D3D58"/>
    <w:rsid w:val="006E68C5"/>
    <w:rsid w:val="006E68FF"/>
    <w:rsid w:val="006E735C"/>
    <w:rsid w:val="006E774D"/>
    <w:rsid w:val="006F19CD"/>
    <w:rsid w:val="006F3504"/>
    <w:rsid w:val="006F3F7B"/>
    <w:rsid w:val="006F494B"/>
    <w:rsid w:val="006F6464"/>
    <w:rsid w:val="00702E9B"/>
    <w:rsid w:val="007111C2"/>
    <w:rsid w:val="0071317A"/>
    <w:rsid w:val="007146D6"/>
    <w:rsid w:val="007164D1"/>
    <w:rsid w:val="00717550"/>
    <w:rsid w:val="00724E33"/>
    <w:rsid w:val="00730623"/>
    <w:rsid w:val="00730E34"/>
    <w:rsid w:val="00731C54"/>
    <w:rsid w:val="007324E5"/>
    <w:rsid w:val="00742D10"/>
    <w:rsid w:val="00743E25"/>
    <w:rsid w:val="00743F8D"/>
    <w:rsid w:val="00760BE2"/>
    <w:rsid w:val="00761960"/>
    <w:rsid w:val="007619A7"/>
    <w:rsid w:val="0076241C"/>
    <w:rsid w:val="0076297B"/>
    <w:rsid w:val="00764778"/>
    <w:rsid w:val="00765924"/>
    <w:rsid w:val="00766DC5"/>
    <w:rsid w:val="0076711F"/>
    <w:rsid w:val="00770D53"/>
    <w:rsid w:val="00771CF1"/>
    <w:rsid w:val="00792167"/>
    <w:rsid w:val="00793A37"/>
    <w:rsid w:val="00793C8E"/>
    <w:rsid w:val="007A19C5"/>
    <w:rsid w:val="007A5DB4"/>
    <w:rsid w:val="007B142E"/>
    <w:rsid w:val="007B1D94"/>
    <w:rsid w:val="007B3B7E"/>
    <w:rsid w:val="007B56E1"/>
    <w:rsid w:val="007B7F33"/>
    <w:rsid w:val="007C0301"/>
    <w:rsid w:val="007C1A65"/>
    <w:rsid w:val="007C401E"/>
    <w:rsid w:val="007C4EA9"/>
    <w:rsid w:val="007D074D"/>
    <w:rsid w:val="007D27AF"/>
    <w:rsid w:val="007D2BE7"/>
    <w:rsid w:val="007D3408"/>
    <w:rsid w:val="007D40FB"/>
    <w:rsid w:val="007D5E40"/>
    <w:rsid w:val="007E20F2"/>
    <w:rsid w:val="007E4CB0"/>
    <w:rsid w:val="007E4F38"/>
    <w:rsid w:val="007E52B6"/>
    <w:rsid w:val="007F0E7E"/>
    <w:rsid w:val="007F29C3"/>
    <w:rsid w:val="007F632D"/>
    <w:rsid w:val="007F638D"/>
    <w:rsid w:val="007F6A39"/>
    <w:rsid w:val="007F7FE2"/>
    <w:rsid w:val="0080167D"/>
    <w:rsid w:val="00803741"/>
    <w:rsid w:val="00805521"/>
    <w:rsid w:val="0080645B"/>
    <w:rsid w:val="00807E0F"/>
    <w:rsid w:val="0081387B"/>
    <w:rsid w:val="00813CBF"/>
    <w:rsid w:val="0081613C"/>
    <w:rsid w:val="00823018"/>
    <w:rsid w:val="0082392D"/>
    <w:rsid w:val="00824A73"/>
    <w:rsid w:val="00825F1C"/>
    <w:rsid w:val="0082651F"/>
    <w:rsid w:val="00826F09"/>
    <w:rsid w:val="0082770B"/>
    <w:rsid w:val="008303A1"/>
    <w:rsid w:val="0083587C"/>
    <w:rsid w:val="008360AA"/>
    <w:rsid w:val="0084159B"/>
    <w:rsid w:val="00842305"/>
    <w:rsid w:val="008475E2"/>
    <w:rsid w:val="00850139"/>
    <w:rsid w:val="00851B07"/>
    <w:rsid w:val="00855746"/>
    <w:rsid w:val="00856F2A"/>
    <w:rsid w:val="008570F5"/>
    <w:rsid w:val="00857645"/>
    <w:rsid w:val="00860488"/>
    <w:rsid w:val="008714A8"/>
    <w:rsid w:val="00873E86"/>
    <w:rsid w:val="008830A7"/>
    <w:rsid w:val="0088636B"/>
    <w:rsid w:val="00893350"/>
    <w:rsid w:val="0089435B"/>
    <w:rsid w:val="0089472E"/>
    <w:rsid w:val="00897EC4"/>
    <w:rsid w:val="008A0BFF"/>
    <w:rsid w:val="008A15EE"/>
    <w:rsid w:val="008A1C7B"/>
    <w:rsid w:val="008A2023"/>
    <w:rsid w:val="008A3EE5"/>
    <w:rsid w:val="008A4B45"/>
    <w:rsid w:val="008A5669"/>
    <w:rsid w:val="008A733F"/>
    <w:rsid w:val="008B109E"/>
    <w:rsid w:val="008B4C78"/>
    <w:rsid w:val="008B71D8"/>
    <w:rsid w:val="008B768B"/>
    <w:rsid w:val="008C03F6"/>
    <w:rsid w:val="008C57EB"/>
    <w:rsid w:val="008C68A2"/>
    <w:rsid w:val="008C7E44"/>
    <w:rsid w:val="008D0149"/>
    <w:rsid w:val="008D0373"/>
    <w:rsid w:val="008D0BF2"/>
    <w:rsid w:val="008D28EF"/>
    <w:rsid w:val="008D2DF6"/>
    <w:rsid w:val="008D6430"/>
    <w:rsid w:val="008D685F"/>
    <w:rsid w:val="008E4E08"/>
    <w:rsid w:val="008E769F"/>
    <w:rsid w:val="008F1E2F"/>
    <w:rsid w:val="008F6CEB"/>
    <w:rsid w:val="008F7DDF"/>
    <w:rsid w:val="009116F6"/>
    <w:rsid w:val="00911717"/>
    <w:rsid w:val="009154B9"/>
    <w:rsid w:val="00916BAA"/>
    <w:rsid w:val="00916BDA"/>
    <w:rsid w:val="009207B8"/>
    <w:rsid w:val="00926B46"/>
    <w:rsid w:val="009309F6"/>
    <w:rsid w:val="00935E38"/>
    <w:rsid w:val="009401BC"/>
    <w:rsid w:val="00941759"/>
    <w:rsid w:val="00943ECF"/>
    <w:rsid w:val="009451E5"/>
    <w:rsid w:val="00951F03"/>
    <w:rsid w:val="009525BB"/>
    <w:rsid w:val="0095362F"/>
    <w:rsid w:val="00954F46"/>
    <w:rsid w:val="00954FA9"/>
    <w:rsid w:val="0095624B"/>
    <w:rsid w:val="00963E1D"/>
    <w:rsid w:val="00964759"/>
    <w:rsid w:val="009650EE"/>
    <w:rsid w:val="0097048A"/>
    <w:rsid w:val="009747D3"/>
    <w:rsid w:val="0098399D"/>
    <w:rsid w:val="00984230"/>
    <w:rsid w:val="009857CE"/>
    <w:rsid w:val="009857E2"/>
    <w:rsid w:val="00986156"/>
    <w:rsid w:val="009878C8"/>
    <w:rsid w:val="00995E38"/>
    <w:rsid w:val="00997C0E"/>
    <w:rsid w:val="009A19A5"/>
    <w:rsid w:val="009A4F30"/>
    <w:rsid w:val="009A55D1"/>
    <w:rsid w:val="009A5D8E"/>
    <w:rsid w:val="009B24FD"/>
    <w:rsid w:val="009B29C6"/>
    <w:rsid w:val="009B3313"/>
    <w:rsid w:val="009B3518"/>
    <w:rsid w:val="009C5730"/>
    <w:rsid w:val="009C70E4"/>
    <w:rsid w:val="009D1225"/>
    <w:rsid w:val="009D18A1"/>
    <w:rsid w:val="009D1EE7"/>
    <w:rsid w:val="009D3436"/>
    <w:rsid w:val="009D764C"/>
    <w:rsid w:val="009E057E"/>
    <w:rsid w:val="009E593D"/>
    <w:rsid w:val="009E5DD2"/>
    <w:rsid w:val="009E5F57"/>
    <w:rsid w:val="009E6CE1"/>
    <w:rsid w:val="009E74B7"/>
    <w:rsid w:val="009F3290"/>
    <w:rsid w:val="009F5A47"/>
    <w:rsid w:val="009F5C44"/>
    <w:rsid w:val="00A01097"/>
    <w:rsid w:val="00A02F72"/>
    <w:rsid w:val="00A04829"/>
    <w:rsid w:val="00A05F9B"/>
    <w:rsid w:val="00A1266F"/>
    <w:rsid w:val="00A152DF"/>
    <w:rsid w:val="00A157A9"/>
    <w:rsid w:val="00A15A2F"/>
    <w:rsid w:val="00A15BEF"/>
    <w:rsid w:val="00A200C4"/>
    <w:rsid w:val="00A21F90"/>
    <w:rsid w:val="00A25081"/>
    <w:rsid w:val="00A269A5"/>
    <w:rsid w:val="00A328EA"/>
    <w:rsid w:val="00A35164"/>
    <w:rsid w:val="00A3614C"/>
    <w:rsid w:val="00A36AB8"/>
    <w:rsid w:val="00A40C06"/>
    <w:rsid w:val="00A42C22"/>
    <w:rsid w:val="00A45212"/>
    <w:rsid w:val="00A473B3"/>
    <w:rsid w:val="00A50151"/>
    <w:rsid w:val="00A61086"/>
    <w:rsid w:val="00A70794"/>
    <w:rsid w:val="00A7176C"/>
    <w:rsid w:val="00A760BB"/>
    <w:rsid w:val="00A80BFC"/>
    <w:rsid w:val="00A81205"/>
    <w:rsid w:val="00A8133B"/>
    <w:rsid w:val="00A81C2B"/>
    <w:rsid w:val="00A854EC"/>
    <w:rsid w:val="00A877E6"/>
    <w:rsid w:val="00A9541E"/>
    <w:rsid w:val="00A964F5"/>
    <w:rsid w:val="00AA0A86"/>
    <w:rsid w:val="00AA11C2"/>
    <w:rsid w:val="00AA1CAC"/>
    <w:rsid w:val="00AA3052"/>
    <w:rsid w:val="00AA513C"/>
    <w:rsid w:val="00AA5BFF"/>
    <w:rsid w:val="00AA76AB"/>
    <w:rsid w:val="00AB0065"/>
    <w:rsid w:val="00AB1684"/>
    <w:rsid w:val="00AB38C1"/>
    <w:rsid w:val="00AB3A2C"/>
    <w:rsid w:val="00AB5312"/>
    <w:rsid w:val="00AC173C"/>
    <w:rsid w:val="00AC4D61"/>
    <w:rsid w:val="00AD03AA"/>
    <w:rsid w:val="00AD048F"/>
    <w:rsid w:val="00AD6D32"/>
    <w:rsid w:val="00AE0538"/>
    <w:rsid w:val="00AF11C4"/>
    <w:rsid w:val="00AF22B9"/>
    <w:rsid w:val="00AF3748"/>
    <w:rsid w:val="00B006F6"/>
    <w:rsid w:val="00B07C75"/>
    <w:rsid w:val="00B1273B"/>
    <w:rsid w:val="00B12DEB"/>
    <w:rsid w:val="00B14BF0"/>
    <w:rsid w:val="00B15EBE"/>
    <w:rsid w:val="00B1784A"/>
    <w:rsid w:val="00B20189"/>
    <w:rsid w:val="00B25598"/>
    <w:rsid w:val="00B265BB"/>
    <w:rsid w:val="00B27113"/>
    <w:rsid w:val="00B2775C"/>
    <w:rsid w:val="00B328E3"/>
    <w:rsid w:val="00B354AA"/>
    <w:rsid w:val="00B35CF3"/>
    <w:rsid w:val="00B362C3"/>
    <w:rsid w:val="00B378D1"/>
    <w:rsid w:val="00B41A93"/>
    <w:rsid w:val="00B42357"/>
    <w:rsid w:val="00B445D1"/>
    <w:rsid w:val="00B465D7"/>
    <w:rsid w:val="00B47C2C"/>
    <w:rsid w:val="00B539B1"/>
    <w:rsid w:val="00B53EA3"/>
    <w:rsid w:val="00B546FD"/>
    <w:rsid w:val="00B54DCC"/>
    <w:rsid w:val="00B5571F"/>
    <w:rsid w:val="00B55A62"/>
    <w:rsid w:val="00B56223"/>
    <w:rsid w:val="00B56A7A"/>
    <w:rsid w:val="00B60581"/>
    <w:rsid w:val="00B660D8"/>
    <w:rsid w:val="00B6676D"/>
    <w:rsid w:val="00B66D5D"/>
    <w:rsid w:val="00B71C8B"/>
    <w:rsid w:val="00B72A7C"/>
    <w:rsid w:val="00B7600D"/>
    <w:rsid w:val="00B8030D"/>
    <w:rsid w:val="00B83E06"/>
    <w:rsid w:val="00B871A7"/>
    <w:rsid w:val="00B87AE2"/>
    <w:rsid w:val="00B911E2"/>
    <w:rsid w:val="00B92F54"/>
    <w:rsid w:val="00B93438"/>
    <w:rsid w:val="00B954AD"/>
    <w:rsid w:val="00B97055"/>
    <w:rsid w:val="00B97A70"/>
    <w:rsid w:val="00BA161A"/>
    <w:rsid w:val="00BA1A63"/>
    <w:rsid w:val="00BA2376"/>
    <w:rsid w:val="00BA266C"/>
    <w:rsid w:val="00BA33E1"/>
    <w:rsid w:val="00BA5543"/>
    <w:rsid w:val="00BA610A"/>
    <w:rsid w:val="00BB14C9"/>
    <w:rsid w:val="00BB36D5"/>
    <w:rsid w:val="00BB50CD"/>
    <w:rsid w:val="00BB7105"/>
    <w:rsid w:val="00BC03AB"/>
    <w:rsid w:val="00BC4129"/>
    <w:rsid w:val="00BC43F9"/>
    <w:rsid w:val="00BC64A6"/>
    <w:rsid w:val="00BC6EC4"/>
    <w:rsid w:val="00BD000A"/>
    <w:rsid w:val="00BD378F"/>
    <w:rsid w:val="00BD6E17"/>
    <w:rsid w:val="00BD7F61"/>
    <w:rsid w:val="00BE6214"/>
    <w:rsid w:val="00BF0219"/>
    <w:rsid w:val="00BF1A90"/>
    <w:rsid w:val="00BF2EC0"/>
    <w:rsid w:val="00BF4306"/>
    <w:rsid w:val="00BF5892"/>
    <w:rsid w:val="00C0272C"/>
    <w:rsid w:val="00C03B9B"/>
    <w:rsid w:val="00C04D18"/>
    <w:rsid w:val="00C05D80"/>
    <w:rsid w:val="00C07757"/>
    <w:rsid w:val="00C110C8"/>
    <w:rsid w:val="00C1113D"/>
    <w:rsid w:val="00C1348F"/>
    <w:rsid w:val="00C202B0"/>
    <w:rsid w:val="00C33482"/>
    <w:rsid w:val="00C426C5"/>
    <w:rsid w:val="00C42A53"/>
    <w:rsid w:val="00C43B25"/>
    <w:rsid w:val="00C46448"/>
    <w:rsid w:val="00C50EAD"/>
    <w:rsid w:val="00C5305A"/>
    <w:rsid w:val="00C53500"/>
    <w:rsid w:val="00C544B3"/>
    <w:rsid w:val="00C57481"/>
    <w:rsid w:val="00C57715"/>
    <w:rsid w:val="00C6675E"/>
    <w:rsid w:val="00C6741F"/>
    <w:rsid w:val="00C705C1"/>
    <w:rsid w:val="00C70FF5"/>
    <w:rsid w:val="00C71177"/>
    <w:rsid w:val="00C808B7"/>
    <w:rsid w:val="00C849CD"/>
    <w:rsid w:val="00C86354"/>
    <w:rsid w:val="00CA0E35"/>
    <w:rsid w:val="00CB40F5"/>
    <w:rsid w:val="00CB6521"/>
    <w:rsid w:val="00CB6A05"/>
    <w:rsid w:val="00CC2A3A"/>
    <w:rsid w:val="00CC2EE1"/>
    <w:rsid w:val="00CC3FD4"/>
    <w:rsid w:val="00CC5670"/>
    <w:rsid w:val="00CD0D2C"/>
    <w:rsid w:val="00CD1DE7"/>
    <w:rsid w:val="00CD65C8"/>
    <w:rsid w:val="00CD75DD"/>
    <w:rsid w:val="00CE4725"/>
    <w:rsid w:val="00CE5820"/>
    <w:rsid w:val="00CE620B"/>
    <w:rsid w:val="00CF48DA"/>
    <w:rsid w:val="00CF4CB7"/>
    <w:rsid w:val="00CF539B"/>
    <w:rsid w:val="00CF6457"/>
    <w:rsid w:val="00D01163"/>
    <w:rsid w:val="00D02806"/>
    <w:rsid w:val="00D04B8E"/>
    <w:rsid w:val="00D04EC5"/>
    <w:rsid w:val="00D058C5"/>
    <w:rsid w:val="00D13575"/>
    <w:rsid w:val="00D1377F"/>
    <w:rsid w:val="00D20937"/>
    <w:rsid w:val="00D21187"/>
    <w:rsid w:val="00D21337"/>
    <w:rsid w:val="00D22B06"/>
    <w:rsid w:val="00D22CA4"/>
    <w:rsid w:val="00D23A48"/>
    <w:rsid w:val="00D27E21"/>
    <w:rsid w:val="00D30A60"/>
    <w:rsid w:val="00D3160B"/>
    <w:rsid w:val="00D35638"/>
    <w:rsid w:val="00D37338"/>
    <w:rsid w:val="00D42061"/>
    <w:rsid w:val="00D42AAC"/>
    <w:rsid w:val="00D43C64"/>
    <w:rsid w:val="00D441FB"/>
    <w:rsid w:val="00D47E07"/>
    <w:rsid w:val="00D521D9"/>
    <w:rsid w:val="00D5430E"/>
    <w:rsid w:val="00D54845"/>
    <w:rsid w:val="00D56443"/>
    <w:rsid w:val="00D5724C"/>
    <w:rsid w:val="00D6046E"/>
    <w:rsid w:val="00D614C8"/>
    <w:rsid w:val="00D66386"/>
    <w:rsid w:val="00D6721B"/>
    <w:rsid w:val="00D71B10"/>
    <w:rsid w:val="00D80AE0"/>
    <w:rsid w:val="00D80B46"/>
    <w:rsid w:val="00D80CDD"/>
    <w:rsid w:val="00D82E4C"/>
    <w:rsid w:val="00D82FA1"/>
    <w:rsid w:val="00D87AA7"/>
    <w:rsid w:val="00D87B3B"/>
    <w:rsid w:val="00D90D4D"/>
    <w:rsid w:val="00D90E6C"/>
    <w:rsid w:val="00D92B4D"/>
    <w:rsid w:val="00D95DD4"/>
    <w:rsid w:val="00D96DE8"/>
    <w:rsid w:val="00D97303"/>
    <w:rsid w:val="00DA0E88"/>
    <w:rsid w:val="00DA2ED8"/>
    <w:rsid w:val="00DA318D"/>
    <w:rsid w:val="00DA395F"/>
    <w:rsid w:val="00DA614A"/>
    <w:rsid w:val="00DB06C7"/>
    <w:rsid w:val="00DB224D"/>
    <w:rsid w:val="00DB3498"/>
    <w:rsid w:val="00DB36D4"/>
    <w:rsid w:val="00DB57DB"/>
    <w:rsid w:val="00DC02F3"/>
    <w:rsid w:val="00DC2F04"/>
    <w:rsid w:val="00DC704B"/>
    <w:rsid w:val="00DD03F6"/>
    <w:rsid w:val="00DD3378"/>
    <w:rsid w:val="00DD7E25"/>
    <w:rsid w:val="00DE0129"/>
    <w:rsid w:val="00DE179A"/>
    <w:rsid w:val="00DE19C2"/>
    <w:rsid w:val="00DE3A97"/>
    <w:rsid w:val="00DE7EDC"/>
    <w:rsid w:val="00DF1101"/>
    <w:rsid w:val="00DF1122"/>
    <w:rsid w:val="00DF11FF"/>
    <w:rsid w:val="00DF18AA"/>
    <w:rsid w:val="00DF5C9D"/>
    <w:rsid w:val="00DF74F5"/>
    <w:rsid w:val="00E0055F"/>
    <w:rsid w:val="00E01AF2"/>
    <w:rsid w:val="00E0292B"/>
    <w:rsid w:val="00E06F6B"/>
    <w:rsid w:val="00E0708D"/>
    <w:rsid w:val="00E07DCB"/>
    <w:rsid w:val="00E14B75"/>
    <w:rsid w:val="00E21086"/>
    <w:rsid w:val="00E21A42"/>
    <w:rsid w:val="00E23350"/>
    <w:rsid w:val="00E23490"/>
    <w:rsid w:val="00E23951"/>
    <w:rsid w:val="00E23DED"/>
    <w:rsid w:val="00E25191"/>
    <w:rsid w:val="00E262F5"/>
    <w:rsid w:val="00E268A7"/>
    <w:rsid w:val="00E26B02"/>
    <w:rsid w:val="00E2716A"/>
    <w:rsid w:val="00E277A8"/>
    <w:rsid w:val="00E27B1E"/>
    <w:rsid w:val="00E314A7"/>
    <w:rsid w:val="00E31913"/>
    <w:rsid w:val="00E325ED"/>
    <w:rsid w:val="00E376F1"/>
    <w:rsid w:val="00E4056A"/>
    <w:rsid w:val="00E422BB"/>
    <w:rsid w:val="00E43BA7"/>
    <w:rsid w:val="00E44AC3"/>
    <w:rsid w:val="00E50D3D"/>
    <w:rsid w:val="00E512B5"/>
    <w:rsid w:val="00E528E2"/>
    <w:rsid w:val="00E52C7C"/>
    <w:rsid w:val="00E545F3"/>
    <w:rsid w:val="00E55D32"/>
    <w:rsid w:val="00E563A7"/>
    <w:rsid w:val="00E623D8"/>
    <w:rsid w:val="00E63102"/>
    <w:rsid w:val="00E63723"/>
    <w:rsid w:val="00E63CC0"/>
    <w:rsid w:val="00E63F31"/>
    <w:rsid w:val="00E651CA"/>
    <w:rsid w:val="00E65DA5"/>
    <w:rsid w:val="00E6714A"/>
    <w:rsid w:val="00E672BA"/>
    <w:rsid w:val="00E72126"/>
    <w:rsid w:val="00E74F8F"/>
    <w:rsid w:val="00E77019"/>
    <w:rsid w:val="00E778C3"/>
    <w:rsid w:val="00E818B6"/>
    <w:rsid w:val="00E81B6B"/>
    <w:rsid w:val="00E83207"/>
    <w:rsid w:val="00E851C9"/>
    <w:rsid w:val="00E85305"/>
    <w:rsid w:val="00E86853"/>
    <w:rsid w:val="00E86FA0"/>
    <w:rsid w:val="00E87C01"/>
    <w:rsid w:val="00E90588"/>
    <w:rsid w:val="00E938F6"/>
    <w:rsid w:val="00E972F2"/>
    <w:rsid w:val="00EA02B2"/>
    <w:rsid w:val="00EA04D8"/>
    <w:rsid w:val="00EA280C"/>
    <w:rsid w:val="00EA6EE8"/>
    <w:rsid w:val="00EB06B6"/>
    <w:rsid w:val="00EB59AF"/>
    <w:rsid w:val="00EB60AE"/>
    <w:rsid w:val="00EC2BF7"/>
    <w:rsid w:val="00EC366C"/>
    <w:rsid w:val="00EC434B"/>
    <w:rsid w:val="00EC548E"/>
    <w:rsid w:val="00ED14A3"/>
    <w:rsid w:val="00ED2CDE"/>
    <w:rsid w:val="00ED5E23"/>
    <w:rsid w:val="00ED70B0"/>
    <w:rsid w:val="00EE2D77"/>
    <w:rsid w:val="00EE2EB4"/>
    <w:rsid w:val="00EE40E3"/>
    <w:rsid w:val="00EE77DB"/>
    <w:rsid w:val="00EF278F"/>
    <w:rsid w:val="00EF32F0"/>
    <w:rsid w:val="00EF34AF"/>
    <w:rsid w:val="00EF5A08"/>
    <w:rsid w:val="00EF7FC0"/>
    <w:rsid w:val="00F002CE"/>
    <w:rsid w:val="00F035F7"/>
    <w:rsid w:val="00F03B7F"/>
    <w:rsid w:val="00F057BE"/>
    <w:rsid w:val="00F06F00"/>
    <w:rsid w:val="00F1199F"/>
    <w:rsid w:val="00F15778"/>
    <w:rsid w:val="00F213D2"/>
    <w:rsid w:val="00F23251"/>
    <w:rsid w:val="00F24DA6"/>
    <w:rsid w:val="00F251E4"/>
    <w:rsid w:val="00F27885"/>
    <w:rsid w:val="00F27BA4"/>
    <w:rsid w:val="00F314A4"/>
    <w:rsid w:val="00F36A78"/>
    <w:rsid w:val="00F36EC4"/>
    <w:rsid w:val="00F40191"/>
    <w:rsid w:val="00F4292B"/>
    <w:rsid w:val="00F429DB"/>
    <w:rsid w:val="00F437F7"/>
    <w:rsid w:val="00F441B1"/>
    <w:rsid w:val="00F46998"/>
    <w:rsid w:val="00F46F79"/>
    <w:rsid w:val="00F53C05"/>
    <w:rsid w:val="00F55B69"/>
    <w:rsid w:val="00F603D2"/>
    <w:rsid w:val="00F61392"/>
    <w:rsid w:val="00F63D23"/>
    <w:rsid w:val="00F64C7E"/>
    <w:rsid w:val="00F66DC4"/>
    <w:rsid w:val="00F7241E"/>
    <w:rsid w:val="00F73F2B"/>
    <w:rsid w:val="00F76838"/>
    <w:rsid w:val="00F80638"/>
    <w:rsid w:val="00F80D22"/>
    <w:rsid w:val="00F83E14"/>
    <w:rsid w:val="00F84CE7"/>
    <w:rsid w:val="00F85BC3"/>
    <w:rsid w:val="00F86350"/>
    <w:rsid w:val="00F869B4"/>
    <w:rsid w:val="00F95354"/>
    <w:rsid w:val="00F96ED1"/>
    <w:rsid w:val="00F97536"/>
    <w:rsid w:val="00FA48D9"/>
    <w:rsid w:val="00FA4FFB"/>
    <w:rsid w:val="00FB5D0C"/>
    <w:rsid w:val="00FB70B7"/>
    <w:rsid w:val="00FC2E84"/>
    <w:rsid w:val="00FC62D8"/>
    <w:rsid w:val="00FC717B"/>
    <w:rsid w:val="00FC7F8A"/>
    <w:rsid w:val="00FD0193"/>
    <w:rsid w:val="00FD131B"/>
    <w:rsid w:val="00FD1FA5"/>
    <w:rsid w:val="00FE048B"/>
    <w:rsid w:val="00FE10B5"/>
    <w:rsid w:val="00FE1293"/>
    <w:rsid w:val="00FE1382"/>
    <w:rsid w:val="00FE399B"/>
    <w:rsid w:val="00FE4D8B"/>
    <w:rsid w:val="00FE5E2E"/>
    <w:rsid w:val="00FE7141"/>
    <w:rsid w:val="00FF204B"/>
    <w:rsid w:val="00FF4FDB"/>
    <w:rsid w:val="00FF7ADC"/>
    <w:rsid w:val="00FF7CCF"/>
    <w:rsid w:val="349B7FA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DE6B8"/>
  <w15:chartTrackingRefBased/>
  <w15:docId w15:val="{F29F8F1F-F0F8-47F7-9648-879A1544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35C"/>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2F4D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4F0F5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0B255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47326F"/>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locked/>
    <w:rsid w:val="00D42061"/>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D42061"/>
    <w:pPr>
      <w:widowControl/>
      <w:autoSpaceDE/>
      <w:autoSpaceDN/>
    </w:pPr>
    <w:rPr>
      <w:rFonts w:asciiTheme="minorHAnsi" w:eastAsiaTheme="minorHAnsi" w:hAnsiTheme="minorHAnsi" w:cstheme="minorBidi"/>
      <w:sz w:val="20"/>
      <w:szCs w:val="20"/>
      <w:lang w:val="es-CO"/>
    </w:rPr>
  </w:style>
  <w:style w:type="character" w:customStyle="1" w:styleId="TextonotapieCar1">
    <w:name w:val="Texto nota pie Car1"/>
    <w:basedOn w:val="Fuentedeprrafopredeter"/>
    <w:uiPriority w:val="99"/>
    <w:semiHidden/>
    <w:rsid w:val="00D42061"/>
    <w:rPr>
      <w:rFonts w:ascii="Arial MT" w:eastAsia="Arial MT" w:hAnsi="Arial MT" w:cs="Arial MT"/>
      <w:sz w:val="20"/>
      <w:szCs w:val="20"/>
      <w:lang w:val="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D4206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42061"/>
    <w:pPr>
      <w:widowControl/>
      <w:autoSpaceDE/>
      <w:autoSpaceDN/>
      <w:jc w:val="both"/>
    </w:pPr>
    <w:rPr>
      <w:rFonts w:asciiTheme="minorHAnsi" w:eastAsiaTheme="minorHAnsi" w:hAnsiTheme="minorHAnsi" w:cstheme="minorBidi"/>
      <w:vertAlign w:val="superscript"/>
      <w:lang w:val="es-CO"/>
    </w:rPr>
  </w:style>
  <w:style w:type="paragraph" w:styleId="Prrafodelista">
    <w:name w:val="List Paragraph"/>
    <w:aliases w:val="Bullets,titulo 3,List Paragraph,Ha,Nivel 1,Párrafo de lista1,Titulo 7,Párrafo de lista11"/>
    <w:basedOn w:val="Normal"/>
    <w:link w:val="PrrafodelistaCar"/>
    <w:uiPriority w:val="34"/>
    <w:qFormat/>
    <w:rsid w:val="00B27113"/>
    <w:pPr>
      <w:ind w:left="720"/>
      <w:contextualSpacing/>
    </w:pPr>
  </w:style>
  <w:style w:type="character" w:customStyle="1" w:styleId="footnotedescriptionChar">
    <w:name w:val="footnote description Char"/>
    <w:link w:val="footnotedescription"/>
    <w:locked/>
    <w:rsid w:val="00443F36"/>
    <w:rPr>
      <w:rFonts w:ascii="Arial" w:eastAsia="Arial" w:hAnsi="Arial" w:cs="Arial"/>
      <w:color w:val="000000"/>
      <w:sz w:val="16"/>
    </w:rPr>
  </w:style>
  <w:style w:type="paragraph" w:customStyle="1" w:styleId="footnotedescription">
    <w:name w:val="footnote description"/>
    <w:next w:val="Normal"/>
    <w:link w:val="footnotedescriptionChar"/>
    <w:rsid w:val="00443F36"/>
    <w:pPr>
      <w:spacing w:after="0" w:line="256" w:lineRule="auto"/>
      <w:jc w:val="both"/>
    </w:pPr>
    <w:rPr>
      <w:rFonts w:ascii="Arial" w:eastAsia="Arial" w:hAnsi="Arial" w:cs="Arial"/>
      <w:color w:val="000000"/>
      <w:sz w:val="16"/>
    </w:rPr>
  </w:style>
  <w:style w:type="character" w:customStyle="1" w:styleId="footnotemark">
    <w:name w:val="footnote mark"/>
    <w:rsid w:val="00443F36"/>
    <w:rPr>
      <w:rFonts w:ascii="Arial" w:eastAsia="Arial" w:hAnsi="Arial" w:cs="Arial" w:hint="default"/>
      <w:color w:val="000000"/>
      <w:sz w:val="16"/>
      <w:vertAlign w:val="superscript"/>
    </w:rPr>
  </w:style>
  <w:style w:type="character" w:customStyle="1" w:styleId="PrrafodelistaCar">
    <w:name w:val="Párrafo de lista Car"/>
    <w:aliases w:val="Bullets Car,titulo 3 Car,List Paragraph Car,Ha Car,Nivel 1 Car,Párrafo de lista1 Car,Titulo 7 Car,Párrafo de lista11 Car"/>
    <w:link w:val="Prrafodelista"/>
    <w:uiPriority w:val="34"/>
    <w:locked/>
    <w:rsid w:val="009D18A1"/>
    <w:rPr>
      <w:rFonts w:ascii="Arial MT" w:eastAsia="Arial MT" w:hAnsi="Arial MT" w:cs="Arial MT"/>
      <w:lang w:val="es-ES"/>
    </w:rPr>
  </w:style>
  <w:style w:type="paragraph" w:customStyle="1" w:styleId="paragraph">
    <w:name w:val="paragraph"/>
    <w:basedOn w:val="Normal"/>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9D18A1"/>
  </w:style>
  <w:style w:type="paragraph" w:styleId="NormalWeb">
    <w:name w:val="Normal (Web)"/>
    <w:basedOn w:val="Normal"/>
    <w:uiPriority w:val="99"/>
    <w:unhideWhenUsed/>
    <w:qFormat/>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eop">
    <w:name w:val="eop"/>
    <w:basedOn w:val="Fuentedeprrafopredeter"/>
    <w:rsid w:val="005D35CD"/>
  </w:style>
  <w:style w:type="character" w:customStyle="1" w:styleId="superscript">
    <w:name w:val="superscript"/>
    <w:basedOn w:val="Fuentedeprrafopredeter"/>
    <w:rsid w:val="005D35CD"/>
  </w:style>
  <w:style w:type="paragraph" w:customStyle="1" w:styleId="Estilo">
    <w:name w:val="Estilo"/>
    <w:rsid w:val="00AA5BFF"/>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styleId="Refdecomentario">
    <w:name w:val="annotation reference"/>
    <w:basedOn w:val="Fuentedeprrafopredeter"/>
    <w:uiPriority w:val="99"/>
    <w:semiHidden/>
    <w:unhideWhenUsed/>
    <w:rsid w:val="003F65D2"/>
    <w:rPr>
      <w:sz w:val="16"/>
      <w:szCs w:val="16"/>
    </w:rPr>
  </w:style>
  <w:style w:type="paragraph" w:styleId="Textocomentario">
    <w:name w:val="annotation text"/>
    <w:basedOn w:val="Normal"/>
    <w:link w:val="TextocomentarioCar"/>
    <w:uiPriority w:val="99"/>
    <w:unhideWhenUsed/>
    <w:rsid w:val="003F65D2"/>
    <w:rPr>
      <w:sz w:val="20"/>
      <w:szCs w:val="20"/>
    </w:rPr>
  </w:style>
  <w:style w:type="character" w:customStyle="1" w:styleId="TextocomentarioCar">
    <w:name w:val="Texto comentario Car"/>
    <w:basedOn w:val="Fuentedeprrafopredeter"/>
    <w:link w:val="Textocomentario"/>
    <w:uiPriority w:val="99"/>
    <w:rsid w:val="003F65D2"/>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3F65D2"/>
    <w:rPr>
      <w:b/>
      <w:bCs/>
    </w:rPr>
  </w:style>
  <w:style w:type="character" w:customStyle="1" w:styleId="AsuntodelcomentarioCar">
    <w:name w:val="Asunto del comentario Car"/>
    <w:basedOn w:val="TextocomentarioCar"/>
    <w:link w:val="Asuntodelcomentario"/>
    <w:uiPriority w:val="99"/>
    <w:semiHidden/>
    <w:rsid w:val="003F65D2"/>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3F65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65D2"/>
    <w:rPr>
      <w:rFonts w:ascii="Segoe UI" w:eastAsia="Arial MT" w:hAnsi="Segoe UI" w:cs="Segoe UI"/>
      <w:sz w:val="18"/>
      <w:szCs w:val="18"/>
      <w:lang w:val="es-ES"/>
    </w:rPr>
  </w:style>
  <w:style w:type="character" w:customStyle="1" w:styleId="Mencinsinresolver2">
    <w:name w:val="Mención sin resolver2"/>
    <w:basedOn w:val="Fuentedeprrafopredeter"/>
    <w:uiPriority w:val="99"/>
    <w:semiHidden/>
    <w:unhideWhenUsed/>
    <w:rsid w:val="00A61086"/>
    <w:rPr>
      <w:color w:val="605E5C"/>
      <w:shd w:val="clear" w:color="auto" w:fill="E1DFDD"/>
    </w:rPr>
  </w:style>
  <w:style w:type="paragraph" w:customStyle="1" w:styleId="Standard">
    <w:name w:val="Standard"/>
    <w:rsid w:val="00963E1D"/>
    <w:pPr>
      <w:suppressAutoHyphens/>
      <w:autoSpaceDN w:val="0"/>
      <w:spacing w:after="200" w:line="276" w:lineRule="auto"/>
    </w:pPr>
    <w:rPr>
      <w:rFonts w:ascii="Calibri" w:eastAsia="Calibri" w:hAnsi="Calibri" w:cs="Tahoma"/>
    </w:rPr>
  </w:style>
  <w:style w:type="character" w:customStyle="1" w:styleId="markvisxhh675">
    <w:name w:val="markvisxhh675"/>
    <w:basedOn w:val="Fuentedeprrafopredeter"/>
    <w:rsid w:val="00F97536"/>
  </w:style>
  <w:style w:type="character" w:customStyle="1" w:styleId="markxvice9ih3">
    <w:name w:val="markxvice9ih3"/>
    <w:basedOn w:val="Fuentedeprrafopredeter"/>
    <w:rsid w:val="00F97536"/>
  </w:style>
  <w:style w:type="character" w:customStyle="1" w:styleId="mark5jujh5a8i">
    <w:name w:val="mark5jujh5a8i"/>
    <w:basedOn w:val="Fuentedeprrafopredeter"/>
    <w:rsid w:val="00F97536"/>
  </w:style>
  <w:style w:type="paragraph" w:styleId="Revisin">
    <w:name w:val="Revision"/>
    <w:hidden/>
    <w:uiPriority w:val="99"/>
    <w:semiHidden/>
    <w:rsid w:val="00EA280C"/>
    <w:pPr>
      <w:spacing w:after="0" w:line="240" w:lineRule="auto"/>
    </w:pPr>
    <w:rPr>
      <w:rFonts w:ascii="Arial MT" w:eastAsia="Arial MT" w:hAnsi="Arial MT" w:cs="Arial MT"/>
      <w:lang w:val="es-ES"/>
    </w:rPr>
  </w:style>
  <w:style w:type="paragraph" w:customStyle="1" w:styleId="pf1">
    <w:name w:val="pf1"/>
    <w:basedOn w:val="Normal"/>
    <w:rsid w:val="006F19CD"/>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tulo2Car">
    <w:name w:val="Título 2 Car"/>
    <w:basedOn w:val="Fuentedeprrafopredeter"/>
    <w:link w:val="Ttulo2"/>
    <w:uiPriority w:val="9"/>
    <w:rsid w:val="002F4D21"/>
    <w:rPr>
      <w:rFonts w:asciiTheme="majorHAnsi" w:eastAsiaTheme="majorEastAsia" w:hAnsiTheme="majorHAnsi" w:cstheme="majorBidi"/>
      <w:color w:val="2F5496" w:themeColor="accent1" w:themeShade="BF"/>
      <w:sz w:val="26"/>
      <w:szCs w:val="26"/>
      <w:lang w:val="es-ES"/>
    </w:rPr>
  </w:style>
  <w:style w:type="paragraph" w:styleId="Lista2">
    <w:name w:val="List 2"/>
    <w:basedOn w:val="Normal"/>
    <w:uiPriority w:val="99"/>
    <w:unhideWhenUsed/>
    <w:rsid w:val="002F4D21"/>
    <w:pPr>
      <w:ind w:left="566" w:hanging="283"/>
      <w:contextualSpacing/>
    </w:pPr>
  </w:style>
  <w:style w:type="paragraph" w:styleId="Lista3">
    <w:name w:val="List 3"/>
    <w:basedOn w:val="Normal"/>
    <w:uiPriority w:val="99"/>
    <w:unhideWhenUsed/>
    <w:rsid w:val="002F4D21"/>
    <w:pPr>
      <w:ind w:left="849" w:hanging="283"/>
      <w:contextualSpacing/>
    </w:pPr>
  </w:style>
  <w:style w:type="paragraph" w:styleId="Saludo">
    <w:name w:val="Salutation"/>
    <w:basedOn w:val="Normal"/>
    <w:next w:val="Normal"/>
    <w:link w:val="SaludoCar"/>
    <w:uiPriority w:val="99"/>
    <w:unhideWhenUsed/>
    <w:rsid w:val="002F4D21"/>
  </w:style>
  <w:style w:type="character" w:customStyle="1" w:styleId="SaludoCar">
    <w:name w:val="Saludo Car"/>
    <w:basedOn w:val="Fuentedeprrafopredeter"/>
    <w:link w:val="Saludo"/>
    <w:uiPriority w:val="99"/>
    <w:rsid w:val="002F4D21"/>
    <w:rPr>
      <w:rFonts w:ascii="Arial MT" w:eastAsia="Arial MT" w:hAnsi="Arial MT" w:cs="Arial MT"/>
      <w:lang w:val="es-ES"/>
    </w:rPr>
  </w:style>
  <w:style w:type="paragraph" w:styleId="Cierre">
    <w:name w:val="Closing"/>
    <w:basedOn w:val="Normal"/>
    <w:link w:val="CierreCar"/>
    <w:uiPriority w:val="99"/>
    <w:unhideWhenUsed/>
    <w:rsid w:val="002F4D21"/>
    <w:pPr>
      <w:ind w:left="4252"/>
    </w:pPr>
  </w:style>
  <w:style w:type="character" w:customStyle="1" w:styleId="CierreCar">
    <w:name w:val="Cierre Car"/>
    <w:basedOn w:val="Fuentedeprrafopredeter"/>
    <w:link w:val="Cierre"/>
    <w:uiPriority w:val="99"/>
    <w:rsid w:val="002F4D21"/>
    <w:rPr>
      <w:rFonts w:ascii="Arial MT" w:eastAsia="Arial MT" w:hAnsi="Arial MT" w:cs="Arial MT"/>
      <w:lang w:val="es-ES"/>
    </w:rPr>
  </w:style>
  <w:style w:type="paragraph" w:customStyle="1" w:styleId="ListaCC">
    <w:name w:val="Lista CC."/>
    <w:basedOn w:val="Normal"/>
    <w:rsid w:val="002F4D21"/>
  </w:style>
  <w:style w:type="paragraph" w:styleId="Firma">
    <w:name w:val="Signature"/>
    <w:basedOn w:val="Normal"/>
    <w:link w:val="FirmaCar"/>
    <w:uiPriority w:val="99"/>
    <w:unhideWhenUsed/>
    <w:rsid w:val="002F4D21"/>
    <w:pPr>
      <w:ind w:left="4252"/>
    </w:pPr>
  </w:style>
  <w:style w:type="character" w:customStyle="1" w:styleId="FirmaCar">
    <w:name w:val="Firma Car"/>
    <w:basedOn w:val="Fuentedeprrafopredeter"/>
    <w:link w:val="Firma"/>
    <w:uiPriority w:val="99"/>
    <w:rsid w:val="002F4D21"/>
    <w:rPr>
      <w:rFonts w:ascii="Arial MT" w:eastAsia="Arial MT" w:hAnsi="Arial MT" w:cs="Arial MT"/>
      <w:lang w:val="es-ES"/>
    </w:rPr>
  </w:style>
  <w:style w:type="paragraph" w:styleId="Sangradetextonormal">
    <w:name w:val="Body Text Indent"/>
    <w:basedOn w:val="Normal"/>
    <w:link w:val="SangradetextonormalCar"/>
    <w:uiPriority w:val="99"/>
    <w:unhideWhenUsed/>
    <w:rsid w:val="002F4D21"/>
    <w:pPr>
      <w:spacing w:after="120"/>
      <w:ind w:left="283"/>
    </w:pPr>
  </w:style>
  <w:style w:type="character" w:customStyle="1" w:styleId="SangradetextonormalCar">
    <w:name w:val="Sangría de texto normal Car"/>
    <w:basedOn w:val="Fuentedeprrafopredeter"/>
    <w:link w:val="Sangradetextonormal"/>
    <w:uiPriority w:val="99"/>
    <w:rsid w:val="002F4D21"/>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2F4D2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F4D21"/>
    <w:rPr>
      <w:rFonts w:ascii="Arial MT" w:eastAsia="Arial MT" w:hAnsi="Arial MT" w:cs="Arial MT"/>
      <w:lang w:val="es-ES"/>
    </w:rPr>
  </w:style>
  <w:style w:type="character" w:customStyle="1" w:styleId="Ttulo3Car">
    <w:name w:val="Título 3 Car"/>
    <w:basedOn w:val="Fuentedeprrafopredeter"/>
    <w:link w:val="Ttulo3"/>
    <w:uiPriority w:val="9"/>
    <w:semiHidden/>
    <w:rsid w:val="004F0F5F"/>
    <w:rPr>
      <w:rFonts w:asciiTheme="majorHAnsi" w:eastAsiaTheme="majorEastAsia" w:hAnsiTheme="majorHAnsi" w:cstheme="majorBidi"/>
      <w:color w:val="1F3763" w:themeColor="accent1" w:themeShade="7F"/>
      <w:sz w:val="24"/>
      <w:szCs w:val="24"/>
      <w:lang w:val="es-ES"/>
    </w:rPr>
  </w:style>
  <w:style w:type="character" w:customStyle="1" w:styleId="Ttulo4Car">
    <w:name w:val="Título 4 Car"/>
    <w:basedOn w:val="Fuentedeprrafopredeter"/>
    <w:link w:val="Ttulo4"/>
    <w:uiPriority w:val="9"/>
    <w:semiHidden/>
    <w:rsid w:val="000B2558"/>
    <w:rPr>
      <w:rFonts w:asciiTheme="majorHAnsi" w:eastAsiaTheme="majorEastAsia" w:hAnsiTheme="majorHAnsi" w:cstheme="majorBidi"/>
      <w:i/>
      <w:iCs/>
      <w:color w:val="2F5496" w:themeColor="accent1" w:themeShade="BF"/>
      <w:lang w:val="es-ES"/>
    </w:rPr>
  </w:style>
  <w:style w:type="character" w:styleId="Mencinsinresolver">
    <w:name w:val="Unresolved Mention"/>
    <w:basedOn w:val="Fuentedeprrafopredeter"/>
    <w:uiPriority w:val="99"/>
    <w:semiHidden/>
    <w:unhideWhenUsed/>
    <w:rsid w:val="00F53C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31956">
      <w:bodyDiv w:val="1"/>
      <w:marLeft w:val="0"/>
      <w:marRight w:val="0"/>
      <w:marTop w:val="0"/>
      <w:marBottom w:val="0"/>
      <w:divBdr>
        <w:top w:val="none" w:sz="0" w:space="0" w:color="auto"/>
        <w:left w:val="none" w:sz="0" w:space="0" w:color="auto"/>
        <w:bottom w:val="none" w:sz="0" w:space="0" w:color="auto"/>
        <w:right w:val="none" w:sz="0" w:space="0" w:color="auto"/>
      </w:divBdr>
    </w:div>
    <w:div w:id="30113301">
      <w:bodyDiv w:val="1"/>
      <w:marLeft w:val="0"/>
      <w:marRight w:val="0"/>
      <w:marTop w:val="0"/>
      <w:marBottom w:val="0"/>
      <w:divBdr>
        <w:top w:val="none" w:sz="0" w:space="0" w:color="auto"/>
        <w:left w:val="none" w:sz="0" w:space="0" w:color="auto"/>
        <w:bottom w:val="none" w:sz="0" w:space="0" w:color="auto"/>
        <w:right w:val="none" w:sz="0" w:space="0" w:color="auto"/>
      </w:divBdr>
      <w:divsChild>
        <w:div w:id="50428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45466">
      <w:bodyDiv w:val="1"/>
      <w:marLeft w:val="0"/>
      <w:marRight w:val="0"/>
      <w:marTop w:val="0"/>
      <w:marBottom w:val="0"/>
      <w:divBdr>
        <w:top w:val="none" w:sz="0" w:space="0" w:color="auto"/>
        <w:left w:val="none" w:sz="0" w:space="0" w:color="auto"/>
        <w:bottom w:val="none" w:sz="0" w:space="0" w:color="auto"/>
        <w:right w:val="none" w:sz="0" w:space="0" w:color="auto"/>
      </w:divBdr>
    </w:div>
    <w:div w:id="60641869">
      <w:bodyDiv w:val="1"/>
      <w:marLeft w:val="0"/>
      <w:marRight w:val="0"/>
      <w:marTop w:val="0"/>
      <w:marBottom w:val="0"/>
      <w:divBdr>
        <w:top w:val="none" w:sz="0" w:space="0" w:color="auto"/>
        <w:left w:val="none" w:sz="0" w:space="0" w:color="auto"/>
        <w:bottom w:val="none" w:sz="0" w:space="0" w:color="auto"/>
        <w:right w:val="none" w:sz="0" w:space="0" w:color="auto"/>
      </w:divBdr>
    </w:div>
    <w:div w:id="80033922">
      <w:bodyDiv w:val="1"/>
      <w:marLeft w:val="0"/>
      <w:marRight w:val="0"/>
      <w:marTop w:val="0"/>
      <w:marBottom w:val="0"/>
      <w:divBdr>
        <w:top w:val="none" w:sz="0" w:space="0" w:color="auto"/>
        <w:left w:val="none" w:sz="0" w:space="0" w:color="auto"/>
        <w:bottom w:val="none" w:sz="0" w:space="0" w:color="auto"/>
        <w:right w:val="none" w:sz="0" w:space="0" w:color="auto"/>
      </w:divBdr>
      <w:divsChild>
        <w:div w:id="1062407516">
          <w:marLeft w:val="0"/>
          <w:marRight w:val="0"/>
          <w:marTop w:val="0"/>
          <w:marBottom w:val="0"/>
          <w:divBdr>
            <w:top w:val="none" w:sz="0" w:space="0" w:color="auto"/>
            <w:left w:val="none" w:sz="0" w:space="0" w:color="auto"/>
            <w:bottom w:val="none" w:sz="0" w:space="0" w:color="auto"/>
            <w:right w:val="none" w:sz="0" w:space="0" w:color="auto"/>
          </w:divBdr>
          <w:divsChild>
            <w:div w:id="996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7501">
      <w:bodyDiv w:val="1"/>
      <w:marLeft w:val="0"/>
      <w:marRight w:val="0"/>
      <w:marTop w:val="0"/>
      <w:marBottom w:val="0"/>
      <w:divBdr>
        <w:top w:val="none" w:sz="0" w:space="0" w:color="auto"/>
        <w:left w:val="none" w:sz="0" w:space="0" w:color="auto"/>
        <w:bottom w:val="none" w:sz="0" w:space="0" w:color="auto"/>
        <w:right w:val="none" w:sz="0" w:space="0" w:color="auto"/>
      </w:divBdr>
    </w:div>
    <w:div w:id="132605535">
      <w:bodyDiv w:val="1"/>
      <w:marLeft w:val="0"/>
      <w:marRight w:val="0"/>
      <w:marTop w:val="0"/>
      <w:marBottom w:val="0"/>
      <w:divBdr>
        <w:top w:val="none" w:sz="0" w:space="0" w:color="auto"/>
        <w:left w:val="none" w:sz="0" w:space="0" w:color="auto"/>
        <w:bottom w:val="none" w:sz="0" w:space="0" w:color="auto"/>
        <w:right w:val="none" w:sz="0" w:space="0" w:color="auto"/>
      </w:divBdr>
      <w:divsChild>
        <w:div w:id="2142459260">
          <w:marLeft w:val="0"/>
          <w:marRight w:val="0"/>
          <w:marTop w:val="0"/>
          <w:marBottom w:val="0"/>
          <w:divBdr>
            <w:top w:val="none" w:sz="0" w:space="0" w:color="auto"/>
            <w:left w:val="none" w:sz="0" w:space="0" w:color="auto"/>
            <w:bottom w:val="none" w:sz="0" w:space="0" w:color="auto"/>
            <w:right w:val="none" w:sz="0" w:space="0" w:color="auto"/>
          </w:divBdr>
          <w:divsChild>
            <w:div w:id="17879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4521">
      <w:bodyDiv w:val="1"/>
      <w:marLeft w:val="0"/>
      <w:marRight w:val="0"/>
      <w:marTop w:val="0"/>
      <w:marBottom w:val="0"/>
      <w:divBdr>
        <w:top w:val="none" w:sz="0" w:space="0" w:color="auto"/>
        <w:left w:val="none" w:sz="0" w:space="0" w:color="auto"/>
        <w:bottom w:val="none" w:sz="0" w:space="0" w:color="auto"/>
        <w:right w:val="none" w:sz="0" w:space="0" w:color="auto"/>
      </w:divBdr>
    </w:div>
    <w:div w:id="142090941">
      <w:bodyDiv w:val="1"/>
      <w:marLeft w:val="0"/>
      <w:marRight w:val="0"/>
      <w:marTop w:val="0"/>
      <w:marBottom w:val="0"/>
      <w:divBdr>
        <w:top w:val="none" w:sz="0" w:space="0" w:color="auto"/>
        <w:left w:val="none" w:sz="0" w:space="0" w:color="auto"/>
        <w:bottom w:val="none" w:sz="0" w:space="0" w:color="auto"/>
        <w:right w:val="none" w:sz="0" w:space="0" w:color="auto"/>
      </w:divBdr>
      <w:divsChild>
        <w:div w:id="39787992">
          <w:marLeft w:val="0"/>
          <w:marRight w:val="0"/>
          <w:marTop w:val="0"/>
          <w:marBottom w:val="0"/>
          <w:divBdr>
            <w:top w:val="none" w:sz="0" w:space="0" w:color="auto"/>
            <w:left w:val="none" w:sz="0" w:space="0" w:color="auto"/>
            <w:bottom w:val="none" w:sz="0" w:space="0" w:color="auto"/>
            <w:right w:val="none" w:sz="0" w:space="0" w:color="auto"/>
          </w:divBdr>
          <w:divsChild>
            <w:div w:id="1409229166">
              <w:marLeft w:val="0"/>
              <w:marRight w:val="0"/>
              <w:marTop w:val="0"/>
              <w:marBottom w:val="0"/>
              <w:divBdr>
                <w:top w:val="none" w:sz="0" w:space="0" w:color="auto"/>
                <w:left w:val="none" w:sz="0" w:space="0" w:color="auto"/>
                <w:bottom w:val="none" w:sz="0" w:space="0" w:color="auto"/>
                <w:right w:val="none" w:sz="0" w:space="0" w:color="auto"/>
              </w:divBdr>
              <w:divsChild>
                <w:div w:id="504365231">
                  <w:marLeft w:val="0"/>
                  <w:marRight w:val="0"/>
                  <w:marTop w:val="0"/>
                  <w:marBottom w:val="0"/>
                  <w:divBdr>
                    <w:top w:val="none" w:sz="0" w:space="0" w:color="auto"/>
                    <w:left w:val="none" w:sz="0" w:space="0" w:color="auto"/>
                    <w:bottom w:val="none" w:sz="0" w:space="0" w:color="auto"/>
                    <w:right w:val="none" w:sz="0" w:space="0" w:color="auto"/>
                  </w:divBdr>
                  <w:divsChild>
                    <w:div w:id="166377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11514">
      <w:bodyDiv w:val="1"/>
      <w:marLeft w:val="0"/>
      <w:marRight w:val="0"/>
      <w:marTop w:val="0"/>
      <w:marBottom w:val="0"/>
      <w:divBdr>
        <w:top w:val="none" w:sz="0" w:space="0" w:color="auto"/>
        <w:left w:val="none" w:sz="0" w:space="0" w:color="auto"/>
        <w:bottom w:val="none" w:sz="0" w:space="0" w:color="auto"/>
        <w:right w:val="none" w:sz="0" w:space="0" w:color="auto"/>
      </w:divBdr>
      <w:divsChild>
        <w:div w:id="13915339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330255">
          <w:blockQuote w:val="1"/>
          <w:marLeft w:val="720"/>
          <w:marRight w:val="720"/>
          <w:marTop w:val="100"/>
          <w:marBottom w:val="100"/>
          <w:divBdr>
            <w:top w:val="none" w:sz="0" w:space="0" w:color="auto"/>
            <w:left w:val="none" w:sz="0" w:space="0" w:color="auto"/>
            <w:bottom w:val="none" w:sz="0" w:space="0" w:color="auto"/>
            <w:right w:val="none" w:sz="0" w:space="0" w:color="auto"/>
          </w:divBdr>
        </w:div>
        <w:div w:id="540938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133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306812">
      <w:bodyDiv w:val="1"/>
      <w:marLeft w:val="0"/>
      <w:marRight w:val="0"/>
      <w:marTop w:val="0"/>
      <w:marBottom w:val="0"/>
      <w:divBdr>
        <w:top w:val="none" w:sz="0" w:space="0" w:color="auto"/>
        <w:left w:val="none" w:sz="0" w:space="0" w:color="auto"/>
        <w:bottom w:val="none" w:sz="0" w:space="0" w:color="auto"/>
        <w:right w:val="none" w:sz="0" w:space="0" w:color="auto"/>
      </w:divBdr>
    </w:div>
    <w:div w:id="178013561">
      <w:bodyDiv w:val="1"/>
      <w:marLeft w:val="0"/>
      <w:marRight w:val="0"/>
      <w:marTop w:val="0"/>
      <w:marBottom w:val="0"/>
      <w:divBdr>
        <w:top w:val="none" w:sz="0" w:space="0" w:color="auto"/>
        <w:left w:val="none" w:sz="0" w:space="0" w:color="auto"/>
        <w:bottom w:val="none" w:sz="0" w:space="0" w:color="auto"/>
        <w:right w:val="none" w:sz="0" w:space="0" w:color="auto"/>
      </w:divBdr>
    </w:div>
    <w:div w:id="182287192">
      <w:bodyDiv w:val="1"/>
      <w:marLeft w:val="0"/>
      <w:marRight w:val="0"/>
      <w:marTop w:val="0"/>
      <w:marBottom w:val="0"/>
      <w:divBdr>
        <w:top w:val="none" w:sz="0" w:space="0" w:color="auto"/>
        <w:left w:val="none" w:sz="0" w:space="0" w:color="auto"/>
        <w:bottom w:val="none" w:sz="0" w:space="0" w:color="auto"/>
        <w:right w:val="none" w:sz="0" w:space="0" w:color="auto"/>
      </w:divBdr>
    </w:div>
    <w:div w:id="189027507">
      <w:bodyDiv w:val="1"/>
      <w:marLeft w:val="0"/>
      <w:marRight w:val="0"/>
      <w:marTop w:val="0"/>
      <w:marBottom w:val="0"/>
      <w:divBdr>
        <w:top w:val="none" w:sz="0" w:space="0" w:color="auto"/>
        <w:left w:val="none" w:sz="0" w:space="0" w:color="auto"/>
        <w:bottom w:val="none" w:sz="0" w:space="0" w:color="auto"/>
        <w:right w:val="none" w:sz="0" w:space="0" w:color="auto"/>
      </w:divBdr>
      <w:divsChild>
        <w:div w:id="2139447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59579">
      <w:bodyDiv w:val="1"/>
      <w:marLeft w:val="0"/>
      <w:marRight w:val="0"/>
      <w:marTop w:val="0"/>
      <w:marBottom w:val="0"/>
      <w:divBdr>
        <w:top w:val="none" w:sz="0" w:space="0" w:color="auto"/>
        <w:left w:val="none" w:sz="0" w:space="0" w:color="auto"/>
        <w:bottom w:val="none" w:sz="0" w:space="0" w:color="auto"/>
        <w:right w:val="none" w:sz="0" w:space="0" w:color="auto"/>
      </w:divBdr>
      <w:divsChild>
        <w:div w:id="20014229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1710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81694">
      <w:bodyDiv w:val="1"/>
      <w:marLeft w:val="0"/>
      <w:marRight w:val="0"/>
      <w:marTop w:val="0"/>
      <w:marBottom w:val="0"/>
      <w:divBdr>
        <w:top w:val="none" w:sz="0" w:space="0" w:color="auto"/>
        <w:left w:val="none" w:sz="0" w:space="0" w:color="auto"/>
        <w:bottom w:val="none" w:sz="0" w:space="0" w:color="auto"/>
        <w:right w:val="none" w:sz="0" w:space="0" w:color="auto"/>
      </w:divBdr>
      <w:divsChild>
        <w:div w:id="1184395394">
          <w:blockQuote w:val="1"/>
          <w:marLeft w:val="720"/>
          <w:marRight w:val="720"/>
          <w:marTop w:val="100"/>
          <w:marBottom w:val="100"/>
          <w:divBdr>
            <w:top w:val="none" w:sz="0" w:space="0" w:color="auto"/>
            <w:left w:val="none" w:sz="0" w:space="0" w:color="auto"/>
            <w:bottom w:val="none" w:sz="0" w:space="0" w:color="auto"/>
            <w:right w:val="none" w:sz="0" w:space="0" w:color="auto"/>
          </w:divBdr>
        </w:div>
        <w:div w:id="503280181">
          <w:marLeft w:val="0"/>
          <w:marRight w:val="0"/>
          <w:marTop w:val="0"/>
          <w:marBottom w:val="0"/>
          <w:divBdr>
            <w:top w:val="none" w:sz="0" w:space="0" w:color="auto"/>
            <w:left w:val="none" w:sz="0" w:space="0" w:color="auto"/>
            <w:bottom w:val="none" w:sz="0" w:space="0" w:color="auto"/>
            <w:right w:val="none" w:sz="0" w:space="0" w:color="auto"/>
          </w:divBdr>
          <w:divsChild>
            <w:div w:id="19539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04110">
      <w:bodyDiv w:val="1"/>
      <w:marLeft w:val="0"/>
      <w:marRight w:val="0"/>
      <w:marTop w:val="0"/>
      <w:marBottom w:val="0"/>
      <w:divBdr>
        <w:top w:val="none" w:sz="0" w:space="0" w:color="auto"/>
        <w:left w:val="none" w:sz="0" w:space="0" w:color="auto"/>
        <w:bottom w:val="none" w:sz="0" w:space="0" w:color="auto"/>
        <w:right w:val="none" w:sz="0" w:space="0" w:color="auto"/>
      </w:divBdr>
    </w:div>
    <w:div w:id="230505841">
      <w:bodyDiv w:val="1"/>
      <w:marLeft w:val="0"/>
      <w:marRight w:val="0"/>
      <w:marTop w:val="0"/>
      <w:marBottom w:val="0"/>
      <w:divBdr>
        <w:top w:val="none" w:sz="0" w:space="0" w:color="auto"/>
        <w:left w:val="none" w:sz="0" w:space="0" w:color="auto"/>
        <w:bottom w:val="none" w:sz="0" w:space="0" w:color="auto"/>
        <w:right w:val="none" w:sz="0" w:space="0" w:color="auto"/>
      </w:divBdr>
    </w:div>
    <w:div w:id="255328977">
      <w:bodyDiv w:val="1"/>
      <w:marLeft w:val="0"/>
      <w:marRight w:val="0"/>
      <w:marTop w:val="0"/>
      <w:marBottom w:val="0"/>
      <w:divBdr>
        <w:top w:val="none" w:sz="0" w:space="0" w:color="auto"/>
        <w:left w:val="none" w:sz="0" w:space="0" w:color="auto"/>
        <w:bottom w:val="none" w:sz="0" w:space="0" w:color="auto"/>
        <w:right w:val="none" w:sz="0" w:space="0" w:color="auto"/>
      </w:divBdr>
      <w:divsChild>
        <w:div w:id="1438671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8049694">
      <w:bodyDiv w:val="1"/>
      <w:marLeft w:val="0"/>
      <w:marRight w:val="0"/>
      <w:marTop w:val="0"/>
      <w:marBottom w:val="0"/>
      <w:divBdr>
        <w:top w:val="none" w:sz="0" w:space="0" w:color="auto"/>
        <w:left w:val="none" w:sz="0" w:space="0" w:color="auto"/>
        <w:bottom w:val="none" w:sz="0" w:space="0" w:color="auto"/>
        <w:right w:val="none" w:sz="0" w:space="0" w:color="auto"/>
      </w:divBdr>
    </w:div>
    <w:div w:id="281346169">
      <w:bodyDiv w:val="1"/>
      <w:marLeft w:val="0"/>
      <w:marRight w:val="0"/>
      <w:marTop w:val="0"/>
      <w:marBottom w:val="0"/>
      <w:divBdr>
        <w:top w:val="none" w:sz="0" w:space="0" w:color="auto"/>
        <w:left w:val="none" w:sz="0" w:space="0" w:color="auto"/>
        <w:bottom w:val="none" w:sz="0" w:space="0" w:color="auto"/>
        <w:right w:val="none" w:sz="0" w:space="0" w:color="auto"/>
      </w:divBdr>
    </w:div>
    <w:div w:id="301349647">
      <w:bodyDiv w:val="1"/>
      <w:marLeft w:val="0"/>
      <w:marRight w:val="0"/>
      <w:marTop w:val="0"/>
      <w:marBottom w:val="0"/>
      <w:divBdr>
        <w:top w:val="none" w:sz="0" w:space="0" w:color="auto"/>
        <w:left w:val="none" w:sz="0" w:space="0" w:color="auto"/>
        <w:bottom w:val="none" w:sz="0" w:space="0" w:color="auto"/>
        <w:right w:val="none" w:sz="0" w:space="0" w:color="auto"/>
      </w:divBdr>
      <w:divsChild>
        <w:div w:id="1422529514">
          <w:marLeft w:val="0"/>
          <w:marRight w:val="0"/>
          <w:marTop w:val="0"/>
          <w:marBottom w:val="0"/>
          <w:divBdr>
            <w:top w:val="none" w:sz="0" w:space="0" w:color="auto"/>
            <w:left w:val="none" w:sz="0" w:space="0" w:color="auto"/>
            <w:bottom w:val="none" w:sz="0" w:space="0" w:color="auto"/>
            <w:right w:val="none" w:sz="0" w:space="0" w:color="auto"/>
          </w:divBdr>
        </w:div>
      </w:divsChild>
    </w:div>
    <w:div w:id="313803713">
      <w:bodyDiv w:val="1"/>
      <w:marLeft w:val="0"/>
      <w:marRight w:val="0"/>
      <w:marTop w:val="0"/>
      <w:marBottom w:val="0"/>
      <w:divBdr>
        <w:top w:val="none" w:sz="0" w:space="0" w:color="auto"/>
        <w:left w:val="none" w:sz="0" w:space="0" w:color="auto"/>
        <w:bottom w:val="none" w:sz="0" w:space="0" w:color="auto"/>
        <w:right w:val="none" w:sz="0" w:space="0" w:color="auto"/>
      </w:divBdr>
    </w:div>
    <w:div w:id="327909270">
      <w:bodyDiv w:val="1"/>
      <w:marLeft w:val="0"/>
      <w:marRight w:val="0"/>
      <w:marTop w:val="0"/>
      <w:marBottom w:val="0"/>
      <w:divBdr>
        <w:top w:val="none" w:sz="0" w:space="0" w:color="auto"/>
        <w:left w:val="none" w:sz="0" w:space="0" w:color="auto"/>
        <w:bottom w:val="none" w:sz="0" w:space="0" w:color="auto"/>
        <w:right w:val="none" w:sz="0" w:space="0" w:color="auto"/>
      </w:divBdr>
      <w:divsChild>
        <w:div w:id="958219219">
          <w:blockQuote w:val="1"/>
          <w:marLeft w:val="720"/>
          <w:marRight w:val="720"/>
          <w:marTop w:val="100"/>
          <w:marBottom w:val="100"/>
          <w:divBdr>
            <w:top w:val="none" w:sz="0" w:space="0" w:color="auto"/>
            <w:left w:val="none" w:sz="0" w:space="0" w:color="auto"/>
            <w:bottom w:val="none" w:sz="0" w:space="0" w:color="auto"/>
            <w:right w:val="none" w:sz="0" w:space="0" w:color="auto"/>
          </w:divBdr>
        </w:div>
        <w:div w:id="23749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8874912">
      <w:bodyDiv w:val="1"/>
      <w:marLeft w:val="0"/>
      <w:marRight w:val="0"/>
      <w:marTop w:val="0"/>
      <w:marBottom w:val="0"/>
      <w:divBdr>
        <w:top w:val="none" w:sz="0" w:space="0" w:color="auto"/>
        <w:left w:val="none" w:sz="0" w:space="0" w:color="auto"/>
        <w:bottom w:val="none" w:sz="0" w:space="0" w:color="auto"/>
        <w:right w:val="none" w:sz="0" w:space="0" w:color="auto"/>
      </w:divBdr>
      <w:divsChild>
        <w:div w:id="1074857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035062">
      <w:bodyDiv w:val="1"/>
      <w:marLeft w:val="0"/>
      <w:marRight w:val="0"/>
      <w:marTop w:val="0"/>
      <w:marBottom w:val="0"/>
      <w:divBdr>
        <w:top w:val="none" w:sz="0" w:space="0" w:color="auto"/>
        <w:left w:val="none" w:sz="0" w:space="0" w:color="auto"/>
        <w:bottom w:val="none" w:sz="0" w:space="0" w:color="auto"/>
        <w:right w:val="none" w:sz="0" w:space="0" w:color="auto"/>
      </w:divBdr>
      <w:divsChild>
        <w:div w:id="1493595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234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1127234">
      <w:bodyDiv w:val="1"/>
      <w:marLeft w:val="0"/>
      <w:marRight w:val="0"/>
      <w:marTop w:val="0"/>
      <w:marBottom w:val="0"/>
      <w:divBdr>
        <w:top w:val="none" w:sz="0" w:space="0" w:color="auto"/>
        <w:left w:val="none" w:sz="0" w:space="0" w:color="auto"/>
        <w:bottom w:val="none" w:sz="0" w:space="0" w:color="auto"/>
        <w:right w:val="none" w:sz="0" w:space="0" w:color="auto"/>
      </w:divBdr>
    </w:div>
    <w:div w:id="353726086">
      <w:bodyDiv w:val="1"/>
      <w:marLeft w:val="0"/>
      <w:marRight w:val="0"/>
      <w:marTop w:val="0"/>
      <w:marBottom w:val="0"/>
      <w:divBdr>
        <w:top w:val="none" w:sz="0" w:space="0" w:color="auto"/>
        <w:left w:val="none" w:sz="0" w:space="0" w:color="auto"/>
        <w:bottom w:val="none" w:sz="0" w:space="0" w:color="auto"/>
        <w:right w:val="none" w:sz="0" w:space="0" w:color="auto"/>
      </w:divBdr>
    </w:div>
    <w:div w:id="358774971">
      <w:bodyDiv w:val="1"/>
      <w:marLeft w:val="0"/>
      <w:marRight w:val="0"/>
      <w:marTop w:val="0"/>
      <w:marBottom w:val="0"/>
      <w:divBdr>
        <w:top w:val="none" w:sz="0" w:space="0" w:color="auto"/>
        <w:left w:val="none" w:sz="0" w:space="0" w:color="auto"/>
        <w:bottom w:val="none" w:sz="0" w:space="0" w:color="auto"/>
        <w:right w:val="none" w:sz="0" w:space="0" w:color="auto"/>
      </w:divBdr>
      <w:divsChild>
        <w:div w:id="1614940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9640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853658">
      <w:bodyDiv w:val="1"/>
      <w:marLeft w:val="0"/>
      <w:marRight w:val="0"/>
      <w:marTop w:val="0"/>
      <w:marBottom w:val="0"/>
      <w:divBdr>
        <w:top w:val="none" w:sz="0" w:space="0" w:color="auto"/>
        <w:left w:val="none" w:sz="0" w:space="0" w:color="auto"/>
        <w:bottom w:val="none" w:sz="0" w:space="0" w:color="auto"/>
        <w:right w:val="none" w:sz="0" w:space="0" w:color="auto"/>
      </w:divBdr>
    </w:div>
    <w:div w:id="418214897">
      <w:bodyDiv w:val="1"/>
      <w:marLeft w:val="0"/>
      <w:marRight w:val="0"/>
      <w:marTop w:val="0"/>
      <w:marBottom w:val="0"/>
      <w:divBdr>
        <w:top w:val="none" w:sz="0" w:space="0" w:color="auto"/>
        <w:left w:val="none" w:sz="0" w:space="0" w:color="auto"/>
        <w:bottom w:val="none" w:sz="0" w:space="0" w:color="auto"/>
        <w:right w:val="none" w:sz="0" w:space="0" w:color="auto"/>
      </w:divBdr>
    </w:div>
    <w:div w:id="422848138">
      <w:bodyDiv w:val="1"/>
      <w:marLeft w:val="0"/>
      <w:marRight w:val="0"/>
      <w:marTop w:val="0"/>
      <w:marBottom w:val="0"/>
      <w:divBdr>
        <w:top w:val="none" w:sz="0" w:space="0" w:color="auto"/>
        <w:left w:val="none" w:sz="0" w:space="0" w:color="auto"/>
        <w:bottom w:val="none" w:sz="0" w:space="0" w:color="auto"/>
        <w:right w:val="none" w:sz="0" w:space="0" w:color="auto"/>
      </w:divBdr>
      <w:divsChild>
        <w:div w:id="1852526071">
          <w:blockQuote w:val="1"/>
          <w:marLeft w:val="720"/>
          <w:marRight w:val="720"/>
          <w:marTop w:val="100"/>
          <w:marBottom w:val="100"/>
          <w:divBdr>
            <w:top w:val="none" w:sz="0" w:space="0" w:color="auto"/>
            <w:left w:val="none" w:sz="0" w:space="0" w:color="auto"/>
            <w:bottom w:val="none" w:sz="0" w:space="0" w:color="auto"/>
            <w:right w:val="none" w:sz="0" w:space="0" w:color="auto"/>
          </w:divBdr>
        </w:div>
        <w:div w:id="651636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3354289">
      <w:bodyDiv w:val="1"/>
      <w:marLeft w:val="0"/>
      <w:marRight w:val="0"/>
      <w:marTop w:val="0"/>
      <w:marBottom w:val="0"/>
      <w:divBdr>
        <w:top w:val="none" w:sz="0" w:space="0" w:color="auto"/>
        <w:left w:val="none" w:sz="0" w:space="0" w:color="auto"/>
        <w:bottom w:val="none" w:sz="0" w:space="0" w:color="auto"/>
        <w:right w:val="none" w:sz="0" w:space="0" w:color="auto"/>
      </w:divBdr>
      <w:divsChild>
        <w:div w:id="1859077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5151189">
      <w:bodyDiv w:val="1"/>
      <w:marLeft w:val="0"/>
      <w:marRight w:val="0"/>
      <w:marTop w:val="0"/>
      <w:marBottom w:val="0"/>
      <w:divBdr>
        <w:top w:val="none" w:sz="0" w:space="0" w:color="auto"/>
        <w:left w:val="none" w:sz="0" w:space="0" w:color="auto"/>
        <w:bottom w:val="none" w:sz="0" w:space="0" w:color="auto"/>
        <w:right w:val="none" w:sz="0" w:space="0" w:color="auto"/>
      </w:divBdr>
    </w:div>
    <w:div w:id="445393918">
      <w:bodyDiv w:val="1"/>
      <w:marLeft w:val="0"/>
      <w:marRight w:val="0"/>
      <w:marTop w:val="0"/>
      <w:marBottom w:val="0"/>
      <w:divBdr>
        <w:top w:val="none" w:sz="0" w:space="0" w:color="auto"/>
        <w:left w:val="none" w:sz="0" w:space="0" w:color="auto"/>
        <w:bottom w:val="none" w:sz="0" w:space="0" w:color="auto"/>
        <w:right w:val="none" w:sz="0" w:space="0" w:color="auto"/>
      </w:divBdr>
      <w:divsChild>
        <w:div w:id="2010449698">
          <w:marLeft w:val="0"/>
          <w:marRight w:val="0"/>
          <w:marTop w:val="0"/>
          <w:marBottom w:val="0"/>
          <w:divBdr>
            <w:top w:val="none" w:sz="0" w:space="0" w:color="auto"/>
            <w:left w:val="none" w:sz="0" w:space="0" w:color="auto"/>
            <w:bottom w:val="none" w:sz="0" w:space="0" w:color="auto"/>
            <w:right w:val="none" w:sz="0" w:space="0" w:color="auto"/>
          </w:divBdr>
          <w:divsChild>
            <w:div w:id="865951280">
              <w:marLeft w:val="0"/>
              <w:marRight w:val="0"/>
              <w:marTop w:val="0"/>
              <w:marBottom w:val="0"/>
              <w:divBdr>
                <w:top w:val="none" w:sz="0" w:space="0" w:color="auto"/>
                <w:left w:val="none" w:sz="0" w:space="0" w:color="auto"/>
                <w:bottom w:val="none" w:sz="0" w:space="0" w:color="auto"/>
                <w:right w:val="none" w:sz="0" w:space="0" w:color="auto"/>
              </w:divBdr>
              <w:divsChild>
                <w:div w:id="1064723461">
                  <w:marLeft w:val="0"/>
                  <w:marRight w:val="0"/>
                  <w:marTop w:val="0"/>
                  <w:marBottom w:val="0"/>
                  <w:divBdr>
                    <w:top w:val="none" w:sz="0" w:space="0" w:color="auto"/>
                    <w:left w:val="none" w:sz="0" w:space="0" w:color="auto"/>
                    <w:bottom w:val="none" w:sz="0" w:space="0" w:color="auto"/>
                    <w:right w:val="none" w:sz="0" w:space="0" w:color="auto"/>
                  </w:divBdr>
                  <w:divsChild>
                    <w:div w:id="4968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99525">
      <w:bodyDiv w:val="1"/>
      <w:marLeft w:val="0"/>
      <w:marRight w:val="0"/>
      <w:marTop w:val="0"/>
      <w:marBottom w:val="0"/>
      <w:divBdr>
        <w:top w:val="none" w:sz="0" w:space="0" w:color="auto"/>
        <w:left w:val="none" w:sz="0" w:space="0" w:color="auto"/>
        <w:bottom w:val="none" w:sz="0" w:space="0" w:color="auto"/>
        <w:right w:val="none" w:sz="0" w:space="0" w:color="auto"/>
      </w:divBdr>
      <w:divsChild>
        <w:div w:id="737746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857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020356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6994495">
      <w:bodyDiv w:val="1"/>
      <w:marLeft w:val="0"/>
      <w:marRight w:val="0"/>
      <w:marTop w:val="0"/>
      <w:marBottom w:val="0"/>
      <w:divBdr>
        <w:top w:val="none" w:sz="0" w:space="0" w:color="auto"/>
        <w:left w:val="none" w:sz="0" w:space="0" w:color="auto"/>
        <w:bottom w:val="none" w:sz="0" w:space="0" w:color="auto"/>
        <w:right w:val="none" w:sz="0" w:space="0" w:color="auto"/>
      </w:divBdr>
    </w:div>
    <w:div w:id="478960857">
      <w:bodyDiv w:val="1"/>
      <w:marLeft w:val="0"/>
      <w:marRight w:val="0"/>
      <w:marTop w:val="0"/>
      <w:marBottom w:val="0"/>
      <w:divBdr>
        <w:top w:val="none" w:sz="0" w:space="0" w:color="auto"/>
        <w:left w:val="none" w:sz="0" w:space="0" w:color="auto"/>
        <w:bottom w:val="none" w:sz="0" w:space="0" w:color="auto"/>
        <w:right w:val="none" w:sz="0" w:space="0" w:color="auto"/>
      </w:divBdr>
    </w:div>
    <w:div w:id="482964068">
      <w:bodyDiv w:val="1"/>
      <w:marLeft w:val="0"/>
      <w:marRight w:val="0"/>
      <w:marTop w:val="0"/>
      <w:marBottom w:val="0"/>
      <w:divBdr>
        <w:top w:val="none" w:sz="0" w:space="0" w:color="auto"/>
        <w:left w:val="none" w:sz="0" w:space="0" w:color="auto"/>
        <w:bottom w:val="none" w:sz="0" w:space="0" w:color="auto"/>
        <w:right w:val="none" w:sz="0" w:space="0" w:color="auto"/>
      </w:divBdr>
      <w:divsChild>
        <w:div w:id="1365792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836714">
      <w:bodyDiv w:val="1"/>
      <w:marLeft w:val="0"/>
      <w:marRight w:val="0"/>
      <w:marTop w:val="0"/>
      <w:marBottom w:val="0"/>
      <w:divBdr>
        <w:top w:val="none" w:sz="0" w:space="0" w:color="auto"/>
        <w:left w:val="none" w:sz="0" w:space="0" w:color="auto"/>
        <w:bottom w:val="none" w:sz="0" w:space="0" w:color="auto"/>
        <w:right w:val="none" w:sz="0" w:space="0" w:color="auto"/>
      </w:divBdr>
    </w:div>
    <w:div w:id="489443057">
      <w:bodyDiv w:val="1"/>
      <w:marLeft w:val="0"/>
      <w:marRight w:val="0"/>
      <w:marTop w:val="0"/>
      <w:marBottom w:val="0"/>
      <w:divBdr>
        <w:top w:val="none" w:sz="0" w:space="0" w:color="auto"/>
        <w:left w:val="none" w:sz="0" w:space="0" w:color="auto"/>
        <w:bottom w:val="none" w:sz="0" w:space="0" w:color="auto"/>
        <w:right w:val="none" w:sz="0" w:space="0" w:color="auto"/>
      </w:divBdr>
    </w:div>
    <w:div w:id="491410484">
      <w:bodyDiv w:val="1"/>
      <w:marLeft w:val="0"/>
      <w:marRight w:val="0"/>
      <w:marTop w:val="0"/>
      <w:marBottom w:val="0"/>
      <w:divBdr>
        <w:top w:val="none" w:sz="0" w:space="0" w:color="auto"/>
        <w:left w:val="none" w:sz="0" w:space="0" w:color="auto"/>
        <w:bottom w:val="none" w:sz="0" w:space="0" w:color="auto"/>
        <w:right w:val="none" w:sz="0" w:space="0" w:color="auto"/>
      </w:divBdr>
    </w:div>
    <w:div w:id="492070589">
      <w:bodyDiv w:val="1"/>
      <w:marLeft w:val="0"/>
      <w:marRight w:val="0"/>
      <w:marTop w:val="0"/>
      <w:marBottom w:val="0"/>
      <w:divBdr>
        <w:top w:val="none" w:sz="0" w:space="0" w:color="auto"/>
        <w:left w:val="none" w:sz="0" w:space="0" w:color="auto"/>
        <w:bottom w:val="none" w:sz="0" w:space="0" w:color="auto"/>
        <w:right w:val="none" w:sz="0" w:space="0" w:color="auto"/>
      </w:divBdr>
      <w:divsChild>
        <w:div w:id="433864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4614412">
      <w:bodyDiv w:val="1"/>
      <w:marLeft w:val="0"/>
      <w:marRight w:val="0"/>
      <w:marTop w:val="0"/>
      <w:marBottom w:val="0"/>
      <w:divBdr>
        <w:top w:val="none" w:sz="0" w:space="0" w:color="auto"/>
        <w:left w:val="none" w:sz="0" w:space="0" w:color="auto"/>
        <w:bottom w:val="none" w:sz="0" w:space="0" w:color="auto"/>
        <w:right w:val="none" w:sz="0" w:space="0" w:color="auto"/>
      </w:divBdr>
      <w:divsChild>
        <w:div w:id="1044409883">
          <w:blockQuote w:val="1"/>
          <w:marLeft w:val="720"/>
          <w:marRight w:val="720"/>
          <w:marTop w:val="100"/>
          <w:marBottom w:val="100"/>
          <w:divBdr>
            <w:top w:val="none" w:sz="0" w:space="0" w:color="auto"/>
            <w:left w:val="none" w:sz="0" w:space="0" w:color="auto"/>
            <w:bottom w:val="none" w:sz="0" w:space="0" w:color="auto"/>
            <w:right w:val="none" w:sz="0" w:space="0" w:color="auto"/>
          </w:divBdr>
        </w:div>
        <w:div w:id="657731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4638993">
      <w:bodyDiv w:val="1"/>
      <w:marLeft w:val="0"/>
      <w:marRight w:val="0"/>
      <w:marTop w:val="0"/>
      <w:marBottom w:val="0"/>
      <w:divBdr>
        <w:top w:val="none" w:sz="0" w:space="0" w:color="auto"/>
        <w:left w:val="none" w:sz="0" w:space="0" w:color="auto"/>
        <w:bottom w:val="none" w:sz="0" w:space="0" w:color="auto"/>
        <w:right w:val="none" w:sz="0" w:space="0" w:color="auto"/>
      </w:divBdr>
    </w:div>
    <w:div w:id="507722175">
      <w:bodyDiv w:val="1"/>
      <w:marLeft w:val="0"/>
      <w:marRight w:val="0"/>
      <w:marTop w:val="0"/>
      <w:marBottom w:val="0"/>
      <w:divBdr>
        <w:top w:val="none" w:sz="0" w:space="0" w:color="auto"/>
        <w:left w:val="none" w:sz="0" w:space="0" w:color="auto"/>
        <w:bottom w:val="none" w:sz="0" w:space="0" w:color="auto"/>
        <w:right w:val="none" w:sz="0" w:space="0" w:color="auto"/>
      </w:divBdr>
    </w:div>
    <w:div w:id="511723269">
      <w:bodyDiv w:val="1"/>
      <w:marLeft w:val="0"/>
      <w:marRight w:val="0"/>
      <w:marTop w:val="0"/>
      <w:marBottom w:val="0"/>
      <w:divBdr>
        <w:top w:val="none" w:sz="0" w:space="0" w:color="auto"/>
        <w:left w:val="none" w:sz="0" w:space="0" w:color="auto"/>
        <w:bottom w:val="none" w:sz="0" w:space="0" w:color="auto"/>
        <w:right w:val="none" w:sz="0" w:space="0" w:color="auto"/>
      </w:divBdr>
    </w:div>
    <w:div w:id="528035447">
      <w:bodyDiv w:val="1"/>
      <w:marLeft w:val="0"/>
      <w:marRight w:val="0"/>
      <w:marTop w:val="0"/>
      <w:marBottom w:val="0"/>
      <w:divBdr>
        <w:top w:val="none" w:sz="0" w:space="0" w:color="auto"/>
        <w:left w:val="none" w:sz="0" w:space="0" w:color="auto"/>
        <w:bottom w:val="none" w:sz="0" w:space="0" w:color="auto"/>
        <w:right w:val="none" w:sz="0" w:space="0" w:color="auto"/>
      </w:divBdr>
    </w:div>
    <w:div w:id="541745951">
      <w:bodyDiv w:val="1"/>
      <w:marLeft w:val="0"/>
      <w:marRight w:val="0"/>
      <w:marTop w:val="0"/>
      <w:marBottom w:val="0"/>
      <w:divBdr>
        <w:top w:val="none" w:sz="0" w:space="0" w:color="auto"/>
        <w:left w:val="none" w:sz="0" w:space="0" w:color="auto"/>
        <w:bottom w:val="none" w:sz="0" w:space="0" w:color="auto"/>
        <w:right w:val="none" w:sz="0" w:space="0" w:color="auto"/>
      </w:divBdr>
    </w:div>
    <w:div w:id="555896725">
      <w:bodyDiv w:val="1"/>
      <w:marLeft w:val="0"/>
      <w:marRight w:val="0"/>
      <w:marTop w:val="0"/>
      <w:marBottom w:val="0"/>
      <w:divBdr>
        <w:top w:val="none" w:sz="0" w:space="0" w:color="auto"/>
        <w:left w:val="none" w:sz="0" w:space="0" w:color="auto"/>
        <w:bottom w:val="none" w:sz="0" w:space="0" w:color="auto"/>
        <w:right w:val="none" w:sz="0" w:space="0" w:color="auto"/>
      </w:divBdr>
      <w:divsChild>
        <w:div w:id="106864846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3286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9216302">
      <w:bodyDiv w:val="1"/>
      <w:marLeft w:val="0"/>
      <w:marRight w:val="0"/>
      <w:marTop w:val="0"/>
      <w:marBottom w:val="0"/>
      <w:divBdr>
        <w:top w:val="none" w:sz="0" w:space="0" w:color="auto"/>
        <w:left w:val="none" w:sz="0" w:space="0" w:color="auto"/>
        <w:bottom w:val="none" w:sz="0" w:space="0" w:color="auto"/>
        <w:right w:val="none" w:sz="0" w:space="0" w:color="auto"/>
      </w:divBdr>
    </w:div>
    <w:div w:id="608313820">
      <w:bodyDiv w:val="1"/>
      <w:marLeft w:val="0"/>
      <w:marRight w:val="0"/>
      <w:marTop w:val="0"/>
      <w:marBottom w:val="0"/>
      <w:divBdr>
        <w:top w:val="none" w:sz="0" w:space="0" w:color="auto"/>
        <w:left w:val="none" w:sz="0" w:space="0" w:color="auto"/>
        <w:bottom w:val="none" w:sz="0" w:space="0" w:color="auto"/>
        <w:right w:val="none" w:sz="0" w:space="0" w:color="auto"/>
      </w:divBdr>
      <w:divsChild>
        <w:div w:id="1017537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6451843">
      <w:bodyDiv w:val="1"/>
      <w:marLeft w:val="0"/>
      <w:marRight w:val="0"/>
      <w:marTop w:val="0"/>
      <w:marBottom w:val="0"/>
      <w:divBdr>
        <w:top w:val="none" w:sz="0" w:space="0" w:color="auto"/>
        <w:left w:val="none" w:sz="0" w:space="0" w:color="auto"/>
        <w:bottom w:val="none" w:sz="0" w:space="0" w:color="auto"/>
        <w:right w:val="none" w:sz="0" w:space="0" w:color="auto"/>
      </w:divBdr>
      <w:divsChild>
        <w:div w:id="897593266">
          <w:blockQuote w:val="1"/>
          <w:marLeft w:val="720"/>
          <w:marRight w:val="720"/>
          <w:marTop w:val="100"/>
          <w:marBottom w:val="100"/>
          <w:divBdr>
            <w:top w:val="none" w:sz="0" w:space="0" w:color="auto"/>
            <w:left w:val="none" w:sz="0" w:space="0" w:color="auto"/>
            <w:bottom w:val="none" w:sz="0" w:space="0" w:color="auto"/>
            <w:right w:val="none" w:sz="0" w:space="0" w:color="auto"/>
          </w:divBdr>
        </w:div>
        <w:div w:id="15439039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4101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7031520">
      <w:bodyDiv w:val="1"/>
      <w:marLeft w:val="0"/>
      <w:marRight w:val="0"/>
      <w:marTop w:val="0"/>
      <w:marBottom w:val="0"/>
      <w:divBdr>
        <w:top w:val="none" w:sz="0" w:space="0" w:color="auto"/>
        <w:left w:val="none" w:sz="0" w:space="0" w:color="auto"/>
        <w:bottom w:val="none" w:sz="0" w:space="0" w:color="auto"/>
        <w:right w:val="none" w:sz="0" w:space="0" w:color="auto"/>
      </w:divBdr>
    </w:div>
    <w:div w:id="659113821">
      <w:bodyDiv w:val="1"/>
      <w:marLeft w:val="0"/>
      <w:marRight w:val="0"/>
      <w:marTop w:val="0"/>
      <w:marBottom w:val="0"/>
      <w:divBdr>
        <w:top w:val="none" w:sz="0" w:space="0" w:color="auto"/>
        <w:left w:val="none" w:sz="0" w:space="0" w:color="auto"/>
        <w:bottom w:val="none" w:sz="0" w:space="0" w:color="auto"/>
        <w:right w:val="none" w:sz="0" w:space="0" w:color="auto"/>
      </w:divBdr>
      <w:divsChild>
        <w:div w:id="378364339">
          <w:marLeft w:val="0"/>
          <w:marRight w:val="0"/>
          <w:marTop w:val="0"/>
          <w:marBottom w:val="0"/>
          <w:divBdr>
            <w:top w:val="none" w:sz="0" w:space="0" w:color="auto"/>
            <w:left w:val="none" w:sz="0" w:space="0" w:color="auto"/>
            <w:bottom w:val="none" w:sz="0" w:space="0" w:color="auto"/>
            <w:right w:val="none" w:sz="0" w:space="0" w:color="auto"/>
          </w:divBdr>
        </w:div>
      </w:divsChild>
    </w:div>
    <w:div w:id="659506402">
      <w:bodyDiv w:val="1"/>
      <w:marLeft w:val="0"/>
      <w:marRight w:val="0"/>
      <w:marTop w:val="0"/>
      <w:marBottom w:val="0"/>
      <w:divBdr>
        <w:top w:val="none" w:sz="0" w:space="0" w:color="auto"/>
        <w:left w:val="none" w:sz="0" w:space="0" w:color="auto"/>
        <w:bottom w:val="none" w:sz="0" w:space="0" w:color="auto"/>
        <w:right w:val="none" w:sz="0" w:space="0" w:color="auto"/>
      </w:divBdr>
      <w:divsChild>
        <w:div w:id="1419209730">
          <w:blockQuote w:val="1"/>
          <w:marLeft w:val="720"/>
          <w:marRight w:val="720"/>
          <w:marTop w:val="100"/>
          <w:marBottom w:val="100"/>
          <w:divBdr>
            <w:top w:val="none" w:sz="0" w:space="0" w:color="auto"/>
            <w:left w:val="none" w:sz="0" w:space="0" w:color="auto"/>
            <w:bottom w:val="none" w:sz="0" w:space="0" w:color="auto"/>
            <w:right w:val="none" w:sz="0" w:space="0" w:color="auto"/>
          </w:divBdr>
        </w:div>
        <w:div w:id="910585060">
          <w:blockQuote w:val="1"/>
          <w:marLeft w:val="720"/>
          <w:marRight w:val="720"/>
          <w:marTop w:val="100"/>
          <w:marBottom w:val="100"/>
          <w:divBdr>
            <w:top w:val="none" w:sz="0" w:space="0" w:color="auto"/>
            <w:left w:val="none" w:sz="0" w:space="0" w:color="auto"/>
            <w:bottom w:val="none" w:sz="0" w:space="0" w:color="auto"/>
            <w:right w:val="none" w:sz="0" w:space="0" w:color="auto"/>
          </w:divBdr>
        </w:div>
        <w:div w:id="563950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3167916">
      <w:bodyDiv w:val="1"/>
      <w:marLeft w:val="0"/>
      <w:marRight w:val="0"/>
      <w:marTop w:val="0"/>
      <w:marBottom w:val="0"/>
      <w:divBdr>
        <w:top w:val="none" w:sz="0" w:space="0" w:color="auto"/>
        <w:left w:val="none" w:sz="0" w:space="0" w:color="auto"/>
        <w:bottom w:val="none" w:sz="0" w:space="0" w:color="auto"/>
        <w:right w:val="none" w:sz="0" w:space="0" w:color="auto"/>
      </w:divBdr>
      <w:divsChild>
        <w:div w:id="274364291">
          <w:blockQuote w:val="1"/>
          <w:marLeft w:val="720"/>
          <w:marRight w:val="720"/>
          <w:marTop w:val="100"/>
          <w:marBottom w:val="100"/>
          <w:divBdr>
            <w:top w:val="none" w:sz="0" w:space="0" w:color="auto"/>
            <w:left w:val="none" w:sz="0" w:space="0" w:color="auto"/>
            <w:bottom w:val="none" w:sz="0" w:space="0" w:color="auto"/>
            <w:right w:val="none" w:sz="0" w:space="0" w:color="auto"/>
          </w:divBdr>
        </w:div>
        <w:div w:id="30888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4355094">
      <w:bodyDiv w:val="1"/>
      <w:marLeft w:val="0"/>
      <w:marRight w:val="0"/>
      <w:marTop w:val="0"/>
      <w:marBottom w:val="0"/>
      <w:divBdr>
        <w:top w:val="none" w:sz="0" w:space="0" w:color="auto"/>
        <w:left w:val="none" w:sz="0" w:space="0" w:color="auto"/>
        <w:bottom w:val="none" w:sz="0" w:space="0" w:color="auto"/>
        <w:right w:val="none" w:sz="0" w:space="0" w:color="auto"/>
      </w:divBdr>
    </w:div>
    <w:div w:id="698239439">
      <w:bodyDiv w:val="1"/>
      <w:marLeft w:val="0"/>
      <w:marRight w:val="0"/>
      <w:marTop w:val="0"/>
      <w:marBottom w:val="0"/>
      <w:divBdr>
        <w:top w:val="none" w:sz="0" w:space="0" w:color="auto"/>
        <w:left w:val="none" w:sz="0" w:space="0" w:color="auto"/>
        <w:bottom w:val="none" w:sz="0" w:space="0" w:color="auto"/>
        <w:right w:val="none" w:sz="0" w:space="0" w:color="auto"/>
      </w:divBdr>
      <w:divsChild>
        <w:div w:id="551969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0666142">
      <w:bodyDiv w:val="1"/>
      <w:marLeft w:val="0"/>
      <w:marRight w:val="0"/>
      <w:marTop w:val="0"/>
      <w:marBottom w:val="0"/>
      <w:divBdr>
        <w:top w:val="none" w:sz="0" w:space="0" w:color="auto"/>
        <w:left w:val="none" w:sz="0" w:space="0" w:color="auto"/>
        <w:bottom w:val="none" w:sz="0" w:space="0" w:color="auto"/>
        <w:right w:val="none" w:sz="0" w:space="0" w:color="auto"/>
      </w:divBdr>
    </w:div>
    <w:div w:id="702561309">
      <w:bodyDiv w:val="1"/>
      <w:marLeft w:val="0"/>
      <w:marRight w:val="0"/>
      <w:marTop w:val="0"/>
      <w:marBottom w:val="0"/>
      <w:divBdr>
        <w:top w:val="none" w:sz="0" w:space="0" w:color="auto"/>
        <w:left w:val="none" w:sz="0" w:space="0" w:color="auto"/>
        <w:bottom w:val="none" w:sz="0" w:space="0" w:color="auto"/>
        <w:right w:val="none" w:sz="0" w:space="0" w:color="auto"/>
      </w:divBdr>
      <w:divsChild>
        <w:div w:id="10882353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2970533">
      <w:bodyDiv w:val="1"/>
      <w:marLeft w:val="0"/>
      <w:marRight w:val="0"/>
      <w:marTop w:val="0"/>
      <w:marBottom w:val="0"/>
      <w:divBdr>
        <w:top w:val="none" w:sz="0" w:space="0" w:color="auto"/>
        <w:left w:val="none" w:sz="0" w:space="0" w:color="auto"/>
        <w:bottom w:val="none" w:sz="0" w:space="0" w:color="auto"/>
        <w:right w:val="none" w:sz="0" w:space="0" w:color="auto"/>
      </w:divBdr>
      <w:divsChild>
        <w:div w:id="1165241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110649">
          <w:blockQuote w:val="1"/>
          <w:marLeft w:val="720"/>
          <w:marRight w:val="720"/>
          <w:marTop w:val="100"/>
          <w:marBottom w:val="100"/>
          <w:divBdr>
            <w:top w:val="none" w:sz="0" w:space="0" w:color="auto"/>
            <w:left w:val="none" w:sz="0" w:space="0" w:color="auto"/>
            <w:bottom w:val="none" w:sz="0" w:space="0" w:color="auto"/>
            <w:right w:val="none" w:sz="0" w:space="0" w:color="auto"/>
          </w:divBdr>
        </w:div>
        <w:div w:id="97678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2753248">
      <w:bodyDiv w:val="1"/>
      <w:marLeft w:val="0"/>
      <w:marRight w:val="0"/>
      <w:marTop w:val="0"/>
      <w:marBottom w:val="0"/>
      <w:divBdr>
        <w:top w:val="none" w:sz="0" w:space="0" w:color="auto"/>
        <w:left w:val="none" w:sz="0" w:space="0" w:color="auto"/>
        <w:bottom w:val="none" w:sz="0" w:space="0" w:color="auto"/>
        <w:right w:val="none" w:sz="0" w:space="0" w:color="auto"/>
      </w:divBdr>
    </w:div>
    <w:div w:id="729112120">
      <w:bodyDiv w:val="1"/>
      <w:marLeft w:val="0"/>
      <w:marRight w:val="0"/>
      <w:marTop w:val="0"/>
      <w:marBottom w:val="0"/>
      <w:divBdr>
        <w:top w:val="none" w:sz="0" w:space="0" w:color="auto"/>
        <w:left w:val="none" w:sz="0" w:space="0" w:color="auto"/>
        <w:bottom w:val="none" w:sz="0" w:space="0" w:color="auto"/>
        <w:right w:val="none" w:sz="0" w:space="0" w:color="auto"/>
      </w:divBdr>
      <w:divsChild>
        <w:div w:id="515466881">
          <w:blockQuote w:val="1"/>
          <w:marLeft w:val="720"/>
          <w:marRight w:val="720"/>
          <w:marTop w:val="100"/>
          <w:marBottom w:val="100"/>
          <w:divBdr>
            <w:top w:val="none" w:sz="0" w:space="0" w:color="auto"/>
            <w:left w:val="none" w:sz="0" w:space="0" w:color="auto"/>
            <w:bottom w:val="none" w:sz="0" w:space="0" w:color="auto"/>
            <w:right w:val="none" w:sz="0" w:space="0" w:color="auto"/>
          </w:divBdr>
        </w:div>
        <w:div w:id="2419608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4399022">
      <w:bodyDiv w:val="1"/>
      <w:marLeft w:val="0"/>
      <w:marRight w:val="0"/>
      <w:marTop w:val="0"/>
      <w:marBottom w:val="0"/>
      <w:divBdr>
        <w:top w:val="none" w:sz="0" w:space="0" w:color="auto"/>
        <w:left w:val="none" w:sz="0" w:space="0" w:color="auto"/>
        <w:bottom w:val="none" w:sz="0" w:space="0" w:color="auto"/>
        <w:right w:val="none" w:sz="0" w:space="0" w:color="auto"/>
      </w:divBdr>
    </w:div>
    <w:div w:id="735205882">
      <w:bodyDiv w:val="1"/>
      <w:marLeft w:val="0"/>
      <w:marRight w:val="0"/>
      <w:marTop w:val="0"/>
      <w:marBottom w:val="0"/>
      <w:divBdr>
        <w:top w:val="none" w:sz="0" w:space="0" w:color="auto"/>
        <w:left w:val="none" w:sz="0" w:space="0" w:color="auto"/>
        <w:bottom w:val="none" w:sz="0" w:space="0" w:color="auto"/>
        <w:right w:val="none" w:sz="0" w:space="0" w:color="auto"/>
      </w:divBdr>
      <w:divsChild>
        <w:div w:id="262618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8581976">
      <w:bodyDiv w:val="1"/>
      <w:marLeft w:val="0"/>
      <w:marRight w:val="0"/>
      <w:marTop w:val="0"/>
      <w:marBottom w:val="0"/>
      <w:divBdr>
        <w:top w:val="none" w:sz="0" w:space="0" w:color="auto"/>
        <w:left w:val="none" w:sz="0" w:space="0" w:color="auto"/>
        <w:bottom w:val="none" w:sz="0" w:space="0" w:color="auto"/>
        <w:right w:val="none" w:sz="0" w:space="0" w:color="auto"/>
      </w:divBdr>
    </w:div>
    <w:div w:id="752510051">
      <w:bodyDiv w:val="1"/>
      <w:marLeft w:val="0"/>
      <w:marRight w:val="0"/>
      <w:marTop w:val="0"/>
      <w:marBottom w:val="0"/>
      <w:divBdr>
        <w:top w:val="none" w:sz="0" w:space="0" w:color="auto"/>
        <w:left w:val="none" w:sz="0" w:space="0" w:color="auto"/>
        <w:bottom w:val="none" w:sz="0" w:space="0" w:color="auto"/>
        <w:right w:val="none" w:sz="0" w:space="0" w:color="auto"/>
      </w:divBdr>
    </w:div>
    <w:div w:id="765154700">
      <w:bodyDiv w:val="1"/>
      <w:marLeft w:val="0"/>
      <w:marRight w:val="0"/>
      <w:marTop w:val="0"/>
      <w:marBottom w:val="0"/>
      <w:divBdr>
        <w:top w:val="none" w:sz="0" w:space="0" w:color="auto"/>
        <w:left w:val="none" w:sz="0" w:space="0" w:color="auto"/>
        <w:bottom w:val="none" w:sz="0" w:space="0" w:color="auto"/>
        <w:right w:val="none" w:sz="0" w:space="0" w:color="auto"/>
      </w:divBdr>
      <w:divsChild>
        <w:div w:id="775371781">
          <w:marLeft w:val="0"/>
          <w:marRight w:val="0"/>
          <w:marTop w:val="0"/>
          <w:marBottom w:val="0"/>
          <w:divBdr>
            <w:top w:val="none" w:sz="0" w:space="0" w:color="auto"/>
            <w:left w:val="none" w:sz="0" w:space="0" w:color="auto"/>
            <w:bottom w:val="none" w:sz="0" w:space="0" w:color="auto"/>
            <w:right w:val="none" w:sz="0" w:space="0" w:color="auto"/>
          </w:divBdr>
          <w:divsChild>
            <w:div w:id="88502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41337">
      <w:bodyDiv w:val="1"/>
      <w:marLeft w:val="0"/>
      <w:marRight w:val="0"/>
      <w:marTop w:val="0"/>
      <w:marBottom w:val="0"/>
      <w:divBdr>
        <w:top w:val="none" w:sz="0" w:space="0" w:color="auto"/>
        <w:left w:val="none" w:sz="0" w:space="0" w:color="auto"/>
        <w:bottom w:val="none" w:sz="0" w:space="0" w:color="auto"/>
        <w:right w:val="none" w:sz="0" w:space="0" w:color="auto"/>
      </w:divBdr>
    </w:div>
    <w:div w:id="779879769">
      <w:bodyDiv w:val="1"/>
      <w:marLeft w:val="0"/>
      <w:marRight w:val="0"/>
      <w:marTop w:val="0"/>
      <w:marBottom w:val="0"/>
      <w:divBdr>
        <w:top w:val="none" w:sz="0" w:space="0" w:color="auto"/>
        <w:left w:val="none" w:sz="0" w:space="0" w:color="auto"/>
        <w:bottom w:val="none" w:sz="0" w:space="0" w:color="auto"/>
        <w:right w:val="none" w:sz="0" w:space="0" w:color="auto"/>
      </w:divBdr>
    </w:div>
    <w:div w:id="782505015">
      <w:bodyDiv w:val="1"/>
      <w:marLeft w:val="0"/>
      <w:marRight w:val="0"/>
      <w:marTop w:val="0"/>
      <w:marBottom w:val="0"/>
      <w:divBdr>
        <w:top w:val="none" w:sz="0" w:space="0" w:color="auto"/>
        <w:left w:val="none" w:sz="0" w:space="0" w:color="auto"/>
        <w:bottom w:val="none" w:sz="0" w:space="0" w:color="auto"/>
        <w:right w:val="none" w:sz="0" w:space="0" w:color="auto"/>
      </w:divBdr>
    </w:div>
    <w:div w:id="789663940">
      <w:bodyDiv w:val="1"/>
      <w:marLeft w:val="0"/>
      <w:marRight w:val="0"/>
      <w:marTop w:val="0"/>
      <w:marBottom w:val="0"/>
      <w:divBdr>
        <w:top w:val="none" w:sz="0" w:space="0" w:color="auto"/>
        <w:left w:val="none" w:sz="0" w:space="0" w:color="auto"/>
        <w:bottom w:val="none" w:sz="0" w:space="0" w:color="auto"/>
        <w:right w:val="none" w:sz="0" w:space="0" w:color="auto"/>
      </w:divBdr>
      <w:divsChild>
        <w:div w:id="1937789118">
          <w:marLeft w:val="0"/>
          <w:marRight w:val="0"/>
          <w:marTop w:val="0"/>
          <w:marBottom w:val="0"/>
          <w:divBdr>
            <w:top w:val="none" w:sz="0" w:space="0" w:color="auto"/>
            <w:left w:val="none" w:sz="0" w:space="0" w:color="auto"/>
            <w:bottom w:val="none" w:sz="0" w:space="0" w:color="auto"/>
            <w:right w:val="none" w:sz="0" w:space="0" w:color="auto"/>
          </w:divBdr>
          <w:divsChild>
            <w:div w:id="88429150">
              <w:marLeft w:val="0"/>
              <w:marRight w:val="0"/>
              <w:marTop w:val="0"/>
              <w:marBottom w:val="0"/>
              <w:divBdr>
                <w:top w:val="none" w:sz="0" w:space="0" w:color="auto"/>
                <w:left w:val="none" w:sz="0" w:space="0" w:color="auto"/>
                <w:bottom w:val="none" w:sz="0" w:space="0" w:color="auto"/>
                <w:right w:val="none" w:sz="0" w:space="0" w:color="auto"/>
              </w:divBdr>
              <w:divsChild>
                <w:div w:id="591817689">
                  <w:marLeft w:val="0"/>
                  <w:marRight w:val="0"/>
                  <w:marTop w:val="0"/>
                  <w:marBottom w:val="0"/>
                  <w:divBdr>
                    <w:top w:val="none" w:sz="0" w:space="0" w:color="auto"/>
                    <w:left w:val="none" w:sz="0" w:space="0" w:color="auto"/>
                    <w:bottom w:val="none" w:sz="0" w:space="0" w:color="auto"/>
                    <w:right w:val="none" w:sz="0" w:space="0" w:color="auto"/>
                  </w:divBdr>
                  <w:divsChild>
                    <w:div w:id="8846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301790">
      <w:bodyDiv w:val="1"/>
      <w:marLeft w:val="0"/>
      <w:marRight w:val="0"/>
      <w:marTop w:val="0"/>
      <w:marBottom w:val="0"/>
      <w:divBdr>
        <w:top w:val="none" w:sz="0" w:space="0" w:color="auto"/>
        <w:left w:val="none" w:sz="0" w:space="0" w:color="auto"/>
        <w:bottom w:val="none" w:sz="0" w:space="0" w:color="auto"/>
        <w:right w:val="none" w:sz="0" w:space="0" w:color="auto"/>
      </w:divBdr>
    </w:div>
    <w:div w:id="802970001">
      <w:bodyDiv w:val="1"/>
      <w:marLeft w:val="0"/>
      <w:marRight w:val="0"/>
      <w:marTop w:val="0"/>
      <w:marBottom w:val="0"/>
      <w:divBdr>
        <w:top w:val="none" w:sz="0" w:space="0" w:color="auto"/>
        <w:left w:val="none" w:sz="0" w:space="0" w:color="auto"/>
        <w:bottom w:val="none" w:sz="0" w:space="0" w:color="auto"/>
        <w:right w:val="none" w:sz="0" w:space="0" w:color="auto"/>
      </w:divBdr>
    </w:div>
    <w:div w:id="808786180">
      <w:bodyDiv w:val="1"/>
      <w:marLeft w:val="0"/>
      <w:marRight w:val="0"/>
      <w:marTop w:val="0"/>
      <w:marBottom w:val="0"/>
      <w:divBdr>
        <w:top w:val="none" w:sz="0" w:space="0" w:color="auto"/>
        <w:left w:val="none" w:sz="0" w:space="0" w:color="auto"/>
        <w:bottom w:val="none" w:sz="0" w:space="0" w:color="auto"/>
        <w:right w:val="none" w:sz="0" w:space="0" w:color="auto"/>
      </w:divBdr>
    </w:div>
    <w:div w:id="812254243">
      <w:bodyDiv w:val="1"/>
      <w:marLeft w:val="0"/>
      <w:marRight w:val="0"/>
      <w:marTop w:val="0"/>
      <w:marBottom w:val="0"/>
      <w:divBdr>
        <w:top w:val="none" w:sz="0" w:space="0" w:color="auto"/>
        <w:left w:val="none" w:sz="0" w:space="0" w:color="auto"/>
        <w:bottom w:val="none" w:sz="0" w:space="0" w:color="auto"/>
        <w:right w:val="none" w:sz="0" w:space="0" w:color="auto"/>
      </w:divBdr>
      <w:divsChild>
        <w:div w:id="1042175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49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1777239">
      <w:bodyDiv w:val="1"/>
      <w:marLeft w:val="0"/>
      <w:marRight w:val="0"/>
      <w:marTop w:val="0"/>
      <w:marBottom w:val="0"/>
      <w:divBdr>
        <w:top w:val="none" w:sz="0" w:space="0" w:color="auto"/>
        <w:left w:val="none" w:sz="0" w:space="0" w:color="auto"/>
        <w:bottom w:val="none" w:sz="0" w:space="0" w:color="auto"/>
        <w:right w:val="none" w:sz="0" w:space="0" w:color="auto"/>
      </w:divBdr>
      <w:divsChild>
        <w:div w:id="1416707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777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160943">
      <w:bodyDiv w:val="1"/>
      <w:marLeft w:val="0"/>
      <w:marRight w:val="0"/>
      <w:marTop w:val="0"/>
      <w:marBottom w:val="0"/>
      <w:divBdr>
        <w:top w:val="none" w:sz="0" w:space="0" w:color="auto"/>
        <w:left w:val="none" w:sz="0" w:space="0" w:color="auto"/>
        <w:bottom w:val="none" w:sz="0" w:space="0" w:color="auto"/>
        <w:right w:val="none" w:sz="0" w:space="0" w:color="auto"/>
      </w:divBdr>
    </w:div>
    <w:div w:id="839542190">
      <w:bodyDiv w:val="1"/>
      <w:marLeft w:val="0"/>
      <w:marRight w:val="0"/>
      <w:marTop w:val="0"/>
      <w:marBottom w:val="0"/>
      <w:divBdr>
        <w:top w:val="none" w:sz="0" w:space="0" w:color="auto"/>
        <w:left w:val="none" w:sz="0" w:space="0" w:color="auto"/>
        <w:bottom w:val="none" w:sz="0" w:space="0" w:color="auto"/>
        <w:right w:val="none" w:sz="0" w:space="0" w:color="auto"/>
      </w:divBdr>
    </w:div>
    <w:div w:id="841166568">
      <w:bodyDiv w:val="1"/>
      <w:marLeft w:val="0"/>
      <w:marRight w:val="0"/>
      <w:marTop w:val="0"/>
      <w:marBottom w:val="0"/>
      <w:divBdr>
        <w:top w:val="none" w:sz="0" w:space="0" w:color="auto"/>
        <w:left w:val="none" w:sz="0" w:space="0" w:color="auto"/>
        <w:bottom w:val="none" w:sz="0" w:space="0" w:color="auto"/>
        <w:right w:val="none" w:sz="0" w:space="0" w:color="auto"/>
      </w:divBdr>
    </w:div>
    <w:div w:id="845939695">
      <w:bodyDiv w:val="1"/>
      <w:marLeft w:val="0"/>
      <w:marRight w:val="0"/>
      <w:marTop w:val="0"/>
      <w:marBottom w:val="0"/>
      <w:divBdr>
        <w:top w:val="none" w:sz="0" w:space="0" w:color="auto"/>
        <w:left w:val="none" w:sz="0" w:space="0" w:color="auto"/>
        <w:bottom w:val="none" w:sz="0" w:space="0" w:color="auto"/>
        <w:right w:val="none" w:sz="0" w:space="0" w:color="auto"/>
      </w:divBdr>
    </w:div>
    <w:div w:id="882520033">
      <w:bodyDiv w:val="1"/>
      <w:marLeft w:val="0"/>
      <w:marRight w:val="0"/>
      <w:marTop w:val="0"/>
      <w:marBottom w:val="0"/>
      <w:divBdr>
        <w:top w:val="none" w:sz="0" w:space="0" w:color="auto"/>
        <w:left w:val="none" w:sz="0" w:space="0" w:color="auto"/>
        <w:bottom w:val="none" w:sz="0" w:space="0" w:color="auto"/>
        <w:right w:val="none" w:sz="0" w:space="0" w:color="auto"/>
      </w:divBdr>
      <w:divsChild>
        <w:div w:id="11884434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621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8998260">
      <w:bodyDiv w:val="1"/>
      <w:marLeft w:val="0"/>
      <w:marRight w:val="0"/>
      <w:marTop w:val="0"/>
      <w:marBottom w:val="0"/>
      <w:divBdr>
        <w:top w:val="none" w:sz="0" w:space="0" w:color="auto"/>
        <w:left w:val="none" w:sz="0" w:space="0" w:color="auto"/>
        <w:bottom w:val="none" w:sz="0" w:space="0" w:color="auto"/>
        <w:right w:val="none" w:sz="0" w:space="0" w:color="auto"/>
      </w:divBdr>
    </w:div>
    <w:div w:id="900751711">
      <w:bodyDiv w:val="1"/>
      <w:marLeft w:val="0"/>
      <w:marRight w:val="0"/>
      <w:marTop w:val="0"/>
      <w:marBottom w:val="0"/>
      <w:divBdr>
        <w:top w:val="none" w:sz="0" w:space="0" w:color="auto"/>
        <w:left w:val="none" w:sz="0" w:space="0" w:color="auto"/>
        <w:bottom w:val="none" w:sz="0" w:space="0" w:color="auto"/>
        <w:right w:val="none" w:sz="0" w:space="0" w:color="auto"/>
      </w:divBdr>
    </w:div>
    <w:div w:id="923730396">
      <w:bodyDiv w:val="1"/>
      <w:marLeft w:val="0"/>
      <w:marRight w:val="0"/>
      <w:marTop w:val="0"/>
      <w:marBottom w:val="0"/>
      <w:divBdr>
        <w:top w:val="none" w:sz="0" w:space="0" w:color="auto"/>
        <w:left w:val="none" w:sz="0" w:space="0" w:color="auto"/>
        <w:bottom w:val="none" w:sz="0" w:space="0" w:color="auto"/>
        <w:right w:val="none" w:sz="0" w:space="0" w:color="auto"/>
      </w:divBdr>
    </w:div>
    <w:div w:id="946044287">
      <w:bodyDiv w:val="1"/>
      <w:marLeft w:val="0"/>
      <w:marRight w:val="0"/>
      <w:marTop w:val="0"/>
      <w:marBottom w:val="0"/>
      <w:divBdr>
        <w:top w:val="none" w:sz="0" w:space="0" w:color="auto"/>
        <w:left w:val="none" w:sz="0" w:space="0" w:color="auto"/>
        <w:bottom w:val="none" w:sz="0" w:space="0" w:color="auto"/>
        <w:right w:val="none" w:sz="0" w:space="0" w:color="auto"/>
      </w:divBdr>
    </w:div>
    <w:div w:id="955872317">
      <w:bodyDiv w:val="1"/>
      <w:marLeft w:val="0"/>
      <w:marRight w:val="0"/>
      <w:marTop w:val="0"/>
      <w:marBottom w:val="0"/>
      <w:divBdr>
        <w:top w:val="none" w:sz="0" w:space="0" w:color="auto"/>
        <w:left w:val="none" w:sz="0" w:space="0" w:color="auto"/>
        <w:bottom w:val="none" w:sz="0" w:space="0" w:color="auto"/>
        <w:right w:val="none" w:sz="0" w:space="0" w:color="auto"/>
      </w:divBdr>
    </w:div>
    <w:div w:id="956523727">
      <w:bodyDiv w:val="1"/>
      <w:marLeft w:val="0"/>
      <w:marRight w:val="0"/>
      <w:marTop w:val="0"/>
      <w:marBottom w:val="0"/>
      <w:divBdr>
        <w:top w:val="none" w:sz="0" w:space="0" w:color="auto"/>
        <w:left w:val="none" w:sz="0" w:space="0" w:color="auto"/>
        <w:bottom w:val="none" w:sz="0" w:space="0" w:color="auto"/>
        <w:right w:val="none" w:sz="0" w:space="0" w:color="auto"/>
      </w:divBdr>
      <w:divsChild>
        <w:div w:id="932400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7757537">
      <w:bodyDiv w:val="1"/>
      <w:marLeft w:val="0"/>
      <w:marRight w:val="0"/>
      <w:marTop w:val="0"/>
      <w:marBottom w:val="0"/>
      <w:divBdr>
        <w:top w:val="none" w:sz="0" w:space="0" w:color="auto"/>
        <w:left w:val="none" w:sz="0" w:space="0" w:color="auto"/>
        <w:bottom w:val="none" w:sz="0" w:space="0" w:color="auto"/>
        <w:right w:val="none" w:sz="0" w:space="0" w:color="auto"/>
      </w:divBdr>
    </w:div>
    <w:div w:id="960498825">
      <w:bodyDiv w:val="1"/>
      <w:marLeft w:val="0"/>
      <w:marRight w:val="0"/>
      <w:marTop w:val="0"/>
      <w:marBottom w:val="0"/>
      <w:divBdr>
        <w:top w:val="none" w:sz="0" w:space="0" w:color="auto"/>
        <w:left w:val="none" w:sz="0" w:space="0" w:color="auto"/>
        <w:bottom w:val="none" w:sz="0" w:space="0" w:color="auto"/>
        <w:right w:val="none" w:sz="0" w:space="0" w:color="auto"/>
      </w:divBdr>
      <w:divsChild>
        <w:div w:id="1374886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521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8706318">
      <w:bodyDiv w:val="1"/>
      <w:marLeft w:val="0"/>
      <w:marRight w:val="0"/>
      <w:marTop w:val="0"/>
      <w:marBottom w:val="0"/>
      <w:divBdr>
        <w:top w:val="none" w:sz="0" w:space="0" w:color="auto"/>
        <w:left w:val="none" w:sz="0" w:space="0" w:color="auto"/>
        <w:bottom w:val="none" w:sz="0" w:space="0" w:color="auto"/>
        <w:right w:val="none" w:sz="0" w:space="0" w:color="auto"/>
      </w:divBdr>
    </w:div>
    <w:div w:id="968896149">
      <w:bodyDiv w:val="1"/>
      <w:marLeft w:val="0"/>
      <w:marRight w:val="0"/>
      <w:marTop w:val="0"/>
      <w:marBottom w:val="0"/>
      <w:divBdr>
        <w:top w:val="none" w:sz="0" w:space="0" w:color="auto"/>
        <w:left w:val="none" w:sz="0" w:space="0" w:color="auto"/>
        <w:bottom w:val="none" w:sz="0" w:space="0" w:color="auto"/>
        <w:right w:val="none" w:sz="0" w:space="0" w:color="auto"/>
      </w:divBdr>
    </w:div>
    <w:div w:id="976226628">
      <w:bodyDiv w:val="1"/>
      <w:marLeft w:val="0"/>
      <w:marRight w:val="0"/>
      <w:marTop w:val="0"/>
      <w:marBottom w:val="0"/>
      <w:divBdr>
        <w:top w:val="none" w:sz="0" w:space="0" w:color="auto"/>
        <w:left w:val="none" w:sz="0" w:space="0" w:color="auto"/>
        <w:bottom w:val="none" w:sz="0" w:space="0" w:color="auto"/>
        <w:right w:val="none" w:sz="0" w:space="0" w:color="auto"/>
      </w:divBdr>
    </w:div>
    <w:div w:id="978725412">
      <w:bodyDiv w:val="1"/>
      <w:marLeft w:val="0"/>
      <w:marRight w:val="0"/>
      <w:marTop w:val="0"/>
      <w:marBottom w:val="0"/>
      <w:divBdr>
        <w:top w:val="none" w:sz="0" w:space="0" w:color="auto"/>
        <w:left w:val="none" w:sz="0" w:space="0" w:color="auto"/>
        <w:bottom w:val="none" w:sz="0" w:space="0" w:color="auto"/>
        <w:right w:val="none" w:sz="0" w:space="0" w:color="auto"/>
      </w:divBdr>
      <w:divsChild>
        <w:div w:id="1545557677">
          <w:blockQuote w:val="1"/>
          <w:marLeft w:val="720"/>
          <w:marRight w:val="720"/>
          <w:marTop w:val="100"/>
          <w:marBottom w:val="100"/>
          <w:divBdr>
            <w:top w:val="none" w:sz="0" w:space="0" w:color="auto"/>
            <w:left w:val="none" w:sz="0" w:space="0" w:color="auto"/>
            <w:bottom w:val="none" w:sz="0" w:space="0" w:color="auto"/>
            <w:right w:val="none" w:sz="0" w:space="0" w:color="auto"/>
          </w:divBdr>
        </w:div>
        <w:div w:id="973874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9378781">
      <w:bodyDiv w:val="1"/>
      <w:marLeft w:val="0"/>
      <w:marRight w:val="0"/>
      <w:marTop w:val="0"/>
      <w:marBottom w:val="0"/>
      <w:divBdr>
        <w:top w:val="none" w:sz="0" w:space="0" w:color="auto"/>
        <w:left w:val="none" w:sz="0" w:space="0" w:color="auto"/>
        <w:bottom w:val="none" w:sz="0" w:space="0" w:color="auto"/>
        <w:right w:val="none" w:sz="0" w:space="0" w:color="auto"/>
      </w:divBdr>
      <w:divsChild>
        <w:div w:id="112041567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7475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1303232">
      <w:bodyDiv w:val="1"/>
      <w:marLeft w:val="0"/>
      <w:marRight w:val="0"/>
      <w:marTop w:val="0"/>
      <w:marBottom w:val="0"/>
      <w:divBdr>
        <w:top w:val="none" w:sz="0" w:space="0" w:color="auto"/>
        <w:left w:val="none" w:sz="0" w:space="0" w:color="auto"/>
        <w:bottom w:val="none" w:sz="0" w:space="0" w:color="auto"/>
        <w:right w:val="none" w:sz="0" w:space="0" w:color="auto"/>
      </w:divBdr>
      <w:divsChild>
        <w:div w:id="1108281021">
          <w:blockQuote w:val="1"/>
          <w:marLeft w:val="720"/>
          <w:marRight w:val="720"/>
          <w:marTop w:val="100"/>
          <w:marBottom w:val="100"/>
          <w:divBdr>
            <w:top w:val="none" w:sz="0" w:space="0" w:color="auto"/>
            <w:left w:val="none" w:sz="0" w:space="0" w:color="auto"/>
            <w:bottom w:val="none" w:sz="0" w:space="0" w:color="auto"/>
            <w:right w:val="none" w:sz="0" w:space="0" w:color="auto"/>
          </w:divBdr>
        </w:div>
        <w:div w:id="97261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0599033">
      <w:bodyDiv w:val="1"/>
      <w:marLeft w:val="0"/>
      <w:marRight w:val="0"/>
      <w:marTop w:val="0"/>
      <w:marBottom w:val="0"/>
      <w:divBdr>
        <w:top w:val="none" w:sz="0" w:space="0" w:color="auto"/>
        <w:left w:val="none" w:sz="0" w:space="0" w:color="auto"/>
        <w:bottom w:val="none" w:sz="0" w:space="0" w:color="auto"/>
        <w:right w:val="none" w:sz="0" w:space="0" w:color="auto"/>
      </w:divBdr>
    </w:div>
    <w:div w:id="1001857171">
      <w:bodyDiv w:val="1"/>
      <w:marLeft w:val="0"/>
      <w:marRight w:val="0"/>
      <w:marTop w:val="0"/>
      <w:marBottom w:val="0"/>
      <w:divBdr>
        <w:top w:val="none" w:sz="0" w:space="0" w:color="auto"/>
        <w:left w:val="none" w:sz="0" w:space="0" w:color="auto"/>
        <w:bottom w:val="none" w:sz="0" w:space="0" w:color="auto"/>
        <w:right w:val="none" w:sz="0" w:space="0" w:color="auto"/>
      </w:divBdr>
      <w:divsChild>
        <w:div w:id="185900136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317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0592356">
      <w:bodyDiv w:val="1"/>
      <w:marLeft w:val="0"/>
      <w:marRight w:val="0"/>
      <w:marTop w:val="0"/>
      <w:marBottom w:val="0"/>
      <w:divBdr>
        <w:top w:val="none" w:sz="0" w:space="0" w:color="auto"/>
        <w:left w:val="none" w:sz="0" w:space="0" w:color="auto"/>
        <w:bottom w:val="none" w:sz="0" w:space="0" w:color="auto"/>
        <w:right w:val="none" w:sz="0" w:space="0" w:color="auto"/>
      </w:divBdr>
    </w:div>
    <w:div w:id="1020619773">
      <w:bodyDiv w:val="1"/>
      <w:marLeft w:val="0"/>
      <w:marRight w:val="0"/>
      <w:marTop w:val="0"/>
      <w:marBottom w:val="0"/>
      <w:divBdr>
        <w:top w:val="none" w:sz="0" w:space="0" w:color="auto"/>
        <w:left w:val="none" w:sz="0" w:space="0" w:color="auto"/>
        <w:bottom w:val="none" w:sz="0" w:space="0" w:color="auto"/>
        <w:right w:val="none" w:sz="0" w:space="0" w:color="auto"/>
      </w:divBdr>
    </w:div>
    <w:div w:id="1021013760">
      <w:bodyDiv w:val="1"/>
      <w:marLeft w:val="0"/>
      <w:marRight w:val="0"/>
      <w:marTop w:val="0"/>
      <w:marBottom w:val="0"/>
      <w:divBdr>
        <w:top w:val="none" w:sz="0" w:space="0" w:color="auto"/>
        <w:left w:val="none" w:sz="0" w:space="0" w:color="auto"/>
        <w:bottom w:val="none" w:sz="0" w:space="0" w:color="auto"/>
        <w:right w:val="none" w:sz="0" w:space="0" w:color="auto"/>
      </w:divBdr>
    </w:div>
    <w:div w:id="1025062955">
      <w:bodyDiv w:val="1"/>
      <w:marLeft w:val="0"/>
      <w:marRight w:val="0"/>
      <w:marTop w:val="0"/>
      <w:marBottom w:val="0"/>
      <w:divBdr>
        <w:top w:val="none" w:sz="0" w:space="0" w:color="auto"/>
        <w:left w:val="none" w:sz="0" w:space="0" w:color="auto"/>
        <w:bottom w:val="none" w:sz="0" w:space="0" w:color="auto"/>
        <w:right w:val="none" w:sz="0" w:space="0" w:color="auto"/>
      </w:divBdr>
    </w:div>
    <w:div w:id="1025403292">
      <w:bodyDiv w:val="1"/>
      <w:marLeft w:val="0"/>
      <w:marRight w:val="0"/>
      <w:marTop w:val="0"/>
      <w:marBottom w:val="0"/>
      <w:divBdr>
        <w:top w:val="none" w:sz="0" w:space="0" w:color="auto"/>
        <w:left w:val="none" w:sz="0" w:space="0" w:color="auto"/>
        <w:bottom w:val="none" w:sz="0" w:space="0" w:color="auto"/>
        <w:right w:val="none" w:sz="0" w:space="0" w:color="auto"/>
      </w:divBdr>
    </w:div>
    <w:div w:id="1035816088">
      <w:bodyDiv w:val="1"/>
      <w:marLeft w:val="0"/>
      <w:marRight w:val="0"/>
      <w:marTop w:val="0"/>
      <w:marBottom w:val="0"/>
      <w:divBdr>
        <w:top w:val="none" w:sz="0" w:space="0" w:color="auto"/>
        <w:left w:val="none" w:sz="0" w:space="0" w:color="auto"/>
        <w:bottom w:val="none" w:sz="0" w:space="0" w:color="auto"/>
        <w:right w:val="none" w:sz="0" w:space="0" w:color="auto"/>
      </w:divBdr>
    </w:div>
    <w:div w:id="1046413671">
      <w:bodyDiv w:val="1"/>
      <w:marLeft w:val="0"/>
      <w:marRight w:val="0"/>
      <w:marTop w:val="0"/>
      <w:marBottom w:val="0"/>
      <w:divBdr>
        <w:top w:val="none" w:sz="0" w:space="0" w:color="auto"/>
        <w:left w:val="none" w:sz="0" w:space="0" w:color="auto"/>
        <w:bottom w:val="none" w:sz="0" w:space="0" w:color="auto"/>
        <w:right w:val="none" w:sz="0" w:space="0" w:color="auto"/>
      </w:divBdr>
      <w:divsChild>
        <w:div w:id="1842088654">
          <w:blockQuote w:val="1"/>
          <w:marLeft w:val="720"/>
          <w:marRight w:val="720"/>
          <w:marTop w:val="100"/>
          <w:marBottom w:val="100"/>
          <w:divBdr>
            <w:top w:val="none" w:sz="0" w:space="0" w:color="auto"/>
            <w:left w:val="none" w:sz="0" w:space="0" w:color="auto"/>
            <w:bottom w:val="none" w:sz="0" w:space="0" w:color="auto"/>
            <w:right w:val="none" w:sz="0" w:space="0" w:color="auto"/>
          </w:divBdr>
        </w:div>
        <w:div w:id="450442044">
          <w:blockQuote w:val="1"/>
          <w:marLeft w:val="720"/>
          <w:marRight w:val="720"/>
          <w:marTop w:val="100"/>
          <w:marBottom w:val="100"/>
          <w:divBdr>
            <w:top w:val="none" w:sz="0" w:space="0" w:color="auto"/>
            <w:left w:val="none" w:sz="0" w:space="0" w:color="auto"/>
            <w:bottom w:val="none" w:sz="0" w:space="0" w:color="auto"/>
            <w:right w:val="none" w:sz="0" w:space="0" w:color="auto"/>
          </w:divBdr>
        </w:div>
        <w:div w:id="6804020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1855028">
      <w:bodyDiv w:val="1"/>
      <w:marLeft w:val="0"/>
      <w:marRight w:val="0"/>
      <w:marTop w:val="0"/>
      <w:marBottom w:val="0"/>
      <w:divBdr>
        <w:top w:val="none" w:sz="0" w:space="0" w:color="auto"/>
        <w:left w:val="none" w:sz="0" w:space="0" w:color="auto"/>
        <w:bottom w:val="none" w:sz="0" w:space="0" w:color="auto"/>
        <w:right w:val="none" w:sz="0" w:space="0" w:color="auto"/>
      </w:divBdr>
    </w:div>
    <w:div w:id="1090084973">
      <w:bodyDiv w:val="1"/>
      <w:marLeft w:val="0"/>
      <w:marRight w:val="0"/>
      <w:marTop w:val="0"/>
      <w:marBottom w:val="0"/>
      <w:divBdr>
        <w:top w:val="none" w:sz="0" w:space="0" w:color="auto"/>
        <w:left w:val="none" w:sz="0" w:space="0" w:color="auto"/>
        <w:bottom w:val="none" w:sz="0" w:space="0" w:color="auto"/>
        <w:right w:val="none" w:sz="0" w:space="0" w:color="auto"/>
      </w:divBdr>
      <w:divsChild>
        <w:div w:id="1549679875">
          <w:blockQuote w:val="1"/>
          <w:marLeft w:val="720"/>
          <w:marRight w:val="720"/>
          <w:marTop w:val="100"/>
          <w:marBottom w:val="100"/>
          <w:divBdr>
            <w:top w:val="none" w:sz="0" w:space="0" w:color="auto"/>
            <w:left w:val="none" w:sz="0" w:space="0" w:color="auto"/>
            <w:bottom w:val="none" w:sz="0" w:space="0" w:color="auto"/>
            <w:right w:val="none" w:sz="0" w:space="0" w:color="auto"/>
          </w:divBdr>
        </w:div>
        <w:div w:id="3855702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820389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531246">
      <w:bodyDiv w:val="1"/>
      <w:marLeft w:val="0"/>
      <w:marRight w:val="0"/>
      <w:marTop w:val="0"/>
      <w:marBottom w:val="0"/>
      <w:divBdr>
        <w:top w:val="none" w:sz="0" w:space="0" w:color="auto"/>
        <w:left w:val="none" w:sz="0" w:space="0" w:color="auto"/>
        <w:bottom w:val="none" w:sz="0" w:space="0" w:color="auto"/>
        <w:right w:val="none" w:sz="0" w:space="0" w:color="auto"/>
      </w:divBdr>
      <w:divsChild>
        <w:div w:id="440027783">
          <w:marLeft w:val="0"/>
          <w:marRight w:val="0"/>
          <w:marTop w:val="0"/>
          <w:marBottom w:val="0"/>
          <w:divBdr>
            <w:top w:val="none" w:sz="0" w:space="0" w:color="auto"/>
            <w:left w:val="none" w:sz="0" w:space="0" w:color="auto"/>
            <w:bottom w:val="none" w:sz="0" w:space="0" w:color="auto"/>
            <w:right w:val="none" w:sz="0" w:space="0" w:color="auto"/>
          </w:divBdr>
          <w:divsChild>
            <w:div w:id="2036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00822">
      <w:bodyDiv w:val="1"/>
      <w:marLeft w:val="0"/>
      <w:marRight w:val="0"/>
      <w:marTop w:val="0"/>
      <w:marBottom w:val="0"/>
      <w:divBdr>
        <w:top w:val="none" w:sz="0" w:space="0" w:color="auto"/>
        <w:left w:val="none" w:sz="0" w:space="0" w:color="auto"/>
        <w:bottom w:val="none" w:sz="0" w:space="0" w:color="auto"/>
        <w:right w:val="none" w:sz="0" w:space="0" w:color="auto"/>
      </w:divBdr>
      <w:divsChild>
        <w:div w:id="1942831575">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0373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48504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7507090">
      <w:bodyDiv w:val="1"/>
      <w:marLeft w:val="0"/>
      <w:marRight w:val="0"/>
      <w:marTop w:val="0"/>
      <w:marBottom w:val="0"/>
      <w:divBdr>
        <w:top w:val="none" w:sz="0" w:space="0" w:color="auto"/>
        <w:left w:val="none" w:sz="0" w:space="0" w:color="auto"/>
        <w:bottom w:val="none" w:sz="0" w:space="0" w:color="auto"/>
        <w:right w:val="none" w:sz="0" w:space="0" w:color="auto"/>
      </w:divBdr>
      <w:divsChild>
        <w:div w:id="8134475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38860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8042689">
      <w:bodyDiv w:val="1"/>
      <w:marLeft w:val="0"/>
      <w:marRight w:val="0"/>
      <w:marTop w:val="0"/>
      <w:marBottom w:val="0"/>
      <w:divBdr>
        <w:top w:val="none" w:sz="0" w:space="0" w:color="auto"/>
        <w:left w:val="none" w:sz="0" w:space="0" w:color="auto"/>
        <w:bottom w:val="none" w:sz="0" w:space="0" w:color="auto"/>
        <w:right w:val="none" w:sz="0" w:space="0" w:color="auto"/>
      </w:divBdr>
      <w:divsChild>
        <w:div w:id="2064593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0339031">
      <w:bodyDiv w:val="1"/>
      <w:marLeft w:val="0"/>
      <w:marRight w:val="0"/>
      <w:marTop w:val="0"/>
      <w:marBottom w:val="0"/>
      <w:divBdr>
        <w:top w:val="none" w:sz="0" w:space="0" w:color="auto"/>
        <w:left w:val="none" w:sz="0" w:space="0" w:color="auto"/>
        <w:bottom w:val="none" w:sz="0" w:space="0" w:color="auto"/>
        <w:right w:val="none" w:sz="0" w:space="0" w:color="auto"/>
      </w:divBdr>
    </w:div>
    <w:div w:id="1140535865">
      <w:bodyDiv w:val="1"/>
      <w:marLeft w:val="0"/>
      <w:marRight w:val="0"/>
      <w:marTop w:val="0"/>
      <w:marBottom w:val="0"/>
      <w:divBdr>
        <w:top w:val="none" w:sz="0" w:space="0" w:color="auto"/>
        <w:left w:val="none" w:sz="0" w:space="0" w:color="auto"/>
        <w:bottom w:val="none" w:sz="0" w:space="0" w:color="auto"/>
        <w:right w:val="none" w:sz="0" w:space="0" w:color="auto"/>
      </w:divBdr>
    </w:div>
    <w:div w:id="1149782627">
      <w:bodyDiv w:val="1"/>
      <w:marLeft w:val="0"/>
      <w:marRight w:val="0"/>
      <w:marTop w:val="0"/>
      <w:marBottom w:val="0"/>
      <w:divBdr>
        <w:top w:val="none" w:sz="0" w:space="0" w:color="auto"/>
        <w:left w:val="none" w:sz="0" w:space="0" w:color="auto"/>
        <w:bottom w:val="none" w:sz="0" w:space="0" w:color="auto"/>
        <w:right w:val="none" w:sz="0" w:space="0" w:color="auto"/>
      </w:divBdr>
    </w:div>
    <w:div w:id="1156651108">
      <w:bodyDiv w:val="1"/>
      <w:marLeft w:val="0"/>
      <w:marRight w:val="0"/>
      <w:marTop w:val="0"/>
      <w:marBottom w:val="0"/>
      <w:divBdr>
        <w:top w:val="none" w:sz="0" w:space="0" w:color="auto"/>
        <w:left w:val="none" w:sz="0" w:space="0" w:color="auto"/>
        <w:bottom w:val="none" w:sz="0" w:space="0" w:color="auto"/>
        <w:right w:val="none" w:sz="0" w:space="0" w:color="auto"/>
      </w:divBdr>
    </w:div>
    <w:div w:id="1157527802">
      <w:bodyDiv w:val="1"/>
      <w:marLeft w:val="0"/>
      <w:marRight w:val="0"/>
      <w:marTop w:val="0"/>
      <w:marBottom w:val="0"/>
      <w:divBdr>
        <w:top w:val="none" w:sz="0" w:space="0" w:color="auto"/>
        <w:left w:val="none" w:sz="0" w:space="0" w:color="auto"/>
        <w:bottom w:val="none" w:sz="0" w:space="0" w:color="auto"/>
        <w:right w:val="none" w:sz="0" w:space="0" w:color="auto"/>
      </w:divBdr>
    </w:div>
    <w:div w:id="1164666310">
      <w:bodyDiv w:val="1"/>
      <w:marLeft w:val="0"/>
      <w:marRight w:val="0"/>
      <w:marTop w:val="0"/>
      <w:marBottom w:val="0"/>
      <w:divBdr>
        <w:top w:val="none" w:sz="0" w:space="0" w:color="auto"/>
        <w:left w:val="none" w:sz="0" w:space="0" w:color="auto"/>
        <w:bottom w:val="none" w:sz="0" w:space="0" w:color="auto"/>
        <w:right w:val="none" w:sz="0" w:space="0" w:color="auto"/>
      </w:divBdr>
      <w:divsChild>
        <w:div w:id="1966891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52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860155">
      <w:bodyDiv w:val="1"/>
      <w:marLeft w:val="0"/>
      <w:marRight w:val="0"/>
      <w:marTop w:val="0"/>
      <w:marBottom w:val="0"/>
      <w:divBdr>
        <w:top w:val="none" w:sz="0" w:space="0" w:color="auto"/>
        <w:left w:val="none" w:sz="0" w:space="0" w:color="auto"/>
        <w:bottom w:val="none" w:sz="0" w:space="0" w:color="auto"/>
        <w:right w:val="none" w:sz="0" w:space="0" w:color="auto"/>
      </w:divBdr>
    </w:div>
    <w:div w:id="1197082689">
      <w:bodyDiv w:val="1"/>
      <w:marLeft w:val="0"/>
      <w:marRight w:val="0"/>
      <w:marTop w:val="0"/>
      <w:marBottom w:val="0"/>
      <w:divBdr>
        <w:top w:val="none" w:sz="0" w:space="0" w:color="auto"/>
        <w:left w:val="none" w:sz="0" w:space="0" w:color="auto"/>
        <w:bottom w:val="none" w:sz="0" w:space="0" w:color="auto"/>
        <w:right w:val="none" w:sz="0" w:space="0" w:color="auto"/>
      </w:divBdr>
    </w:div>
    <w:div w:id="1199004897">
      <w:bodyDiv w:val="1"/>
      <w:marLeft w:val="0"/>
      <w:marRight w:val="0"/>
      <w:marTop w:val="0"/>
      <w:marBottom w:val="0"/>
      <w:divBdr>
        <w:top w:val="none" w:sz="0" w:space="0" w:color="auto"/>
        <w:left w:val="none" w:sz="0" w:space="0" w:color="auto"/>
        <w:bottom w:val="none" w:sz="0" w:space="0" w:color="auto"/>
        <w:right w:val="none" w:sz="0" w:space="0" w:color="auto"/>
      </w:divBdr>
    </w:div>
    <w:div w:id="1212351015">
      <w:bodyDiv w:val="1"/>
      <w:marLeft w:val="0"/>
      <w:marRight w:val="0"/>
      <w:marTop w:val="0"/>
      <w:marBottom w:val="0"/>
      <w:divBdr>
        <w:top w:val="none" w:sz="0" w:space="0" w:color="auto"/>
        <w:left w:val="none" w:sz="0" w:space="0" w:color="auto"/>
        <w:bottom w:val="none" w:sz="0" w:space="0" w:color="auto"/>
        <w:right w:val="none" w:sz="0" w:space="0" w:color="auto"/>
      </w:divBdr>
    </w:div>
    <w:div w:id="1234706543">
      <w:bodyDiv w:val="1"/>
      <w:marLeft w:val="0"/>
      <w:marRight w:val="0"/>
      <w:marTop w:val="0"/>
      <w:marBottom w:val="0"/>
      <w:divBdr>
        <w:top w:val="none" w:sz="0" w:space="0" w:color="auto"/>
        <w:left w:val="none" w:sz="0" w:space="0" w:color="auto"/>
        <w:bottom w:val="none" w:sz="0" w:space="0" w:color="auto"/>
        <w:right w:val="none" w:sz="0" w:space="0" w:color="auto"/>
      </w:divBdr>
    </w:div>
    <w:div w:id="1269701508">
      <w:bodyDiv w:val="1"/>
      <w:marLeft w:val="0"/>
      <w:marRight w:val="0"/>
      <w:marTop w:val="0"/>
      <w:marBottom w:val="0"/>
      <w:divBdr>
        <w:top w:val="none" w:sz="0" w:space="0" w:color="auto"/>
        <w:left w:val="none" w:sz="0" w:space="0" w:color="auto"/>
        <w:bottom w:val="none" w:sz="0" w:space="0" w:color="auto"/>
        <w:right w:val="none" w:sz="0" w:space="0" w:color="auto"/>
      </w:divBdr>
    </w:div>
    <w:div w:id="1304654550">
      <w:bodyDiv w:val="1"/>
      <w:marLeft w:val="0"/>
      <w:marRight w:val="0"/>
      <w:marTop w:val="0"/>
      <w:marBottom w:val="0"/>
      <w:divBdr>
        <w:top w:val="none" w:sz="0" w:space="0" w:color="auto"/>
        <w:left w:val="none" w:sz="0" w:space="0" w:color="auto"/>
        <w:bottom w:val="none" w:sz="0" w:space="0" w:color="auto"/>
        <w:right w:val="none" w:sz="0" w:space="0" w:color="auto"/>
      </w:divBdr>
      <w:divsChild>
        <w:div w:id="1804224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1635977">
      <w:bodyDiv w:val="1"/>
      <w:marLeft w:val="0"/>
      <w:marRight w:val="0"/>
      <w:marTop w:val="0"/>
      <w:marBottom w:val="0"/>
      <w:divBdr>
        <w:top w:val="none" w:sz="0" w:space="0" w:color="auto"/>
        <w:left w:val="none" w:sz="0" w:space="0" w:color="auto"/>
        <w:bottom w:val="none" w:sz="0" w:space="0" w:color="auto"/>
        <w:right w:val="none" w:sz="0" w:space="0" w:color="auto"/>
      </w:divBdr>
    </w:div>
    <w:div w:id="1346859066">
      <w:bodyDiv w:val="1"/>
      <w:marLeft w:val="0"/>
      <w:marRight w:val="0"/>
      <w:marTop w:val="0"/>
      <w:marBottom w:val="0"/>
      <w:divBdr>
        <w:top w:val="none" w:sz="0" w:space="0" w:color="auto"/>
        <w:left w:val="none" w:sz="0" w:space="0" w:color="auto"/>
        <w:bottom w:val="none" w:sz="0" w:space="0" w:color="auto"/>
        <w:right w:val="none" w:sz="0" w:space="0" w:color="auto"/>
      </w:divBdr>
    </w:div>
    <w:div w:id="1359350111">
      <w:bodyDiv w:val="1"/>
      <w:marLeft w:val="0"/>
      <w:marRight w:val="0"/>
      <w:marTop w:val="0"/>
      <w:marBottom w:val="0"/>
      <w:divBdr>
        <w:top w:val="none" w:sz="0" w:space="0" w:color="auto"/>
        <w:left w:val="none" w:sz="0" w:space="0" w:color="auto"/>
        <w:bottom w:val="none" w:sz="0" w:space="0" w:color="auto"/>
        <w:right w:val="none" w:sz="0" w:space="0" w:color="auto"/>
      </w:divBdr>
      <w:divsChild>
        <w:div w:id="996953041">
          <w:blockQuote w:val="1"/>
          <w:marLeft w:val="720"/>
          <w:marRight w:val="720"/>
          <w:marTop w:val="100"/>
          <w:marBottom w:val="100"/>
          <w:divBdr>
            <w:top w:val="none" w:sz="0" w:space="0" w:color="auto"/>
            <w:left w:val="none" w:sz="0" w:space="0" w:color="auto"/>
            <w:bottom w:val="none" w:sz="0" w:space="0" w:color="auto"/>
            <w:right w:val="none" w:sz="0" w:space="0" w:color="auto"/>
          </w:divBdr>
        </w:div>
        <w:div w:id="789670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1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9991661">
      <w:bodyDiv w:val="1"/>
      <w:marLeft w:val="0"/>
      <w:marRight w:val="0"/>
      <w:marTop w:val="0"/>
      <w:marBottom w:val="0"/>
      <w:divBdr>
        <w:top w:val="none" w:sz="0" w:space="0" w:color="auto"/>
        <w:left w:val="none" w:sz="0" w:space="0" w:color="auto"/>
        <w:bottom w:val="none" w:sz="0" w:space="0" w:color="auto"/>
        <w:right w:val="none" w:sz="0" w:space="0" w:color="auto"/>
      </w:divBdr>
      <w:divsChild>
        <w:div w:id="1139109216">
          <w:blockQuote w:val="1"/>
          <w:marLeft w:val="720"/>
          <w:marRight w:val="720"/>
          <w:marTop w:val="100"/>
          <w:marBottom w:val="100"/>
          <w:divBdr>
            <w:top w:val="none" w:sz="0" w:space="0" w:color="auto"/>
            <w:left w:val="none" w:sz="0" w:space="0" w:color="auto"/>
            <w:bottom w:val="none" w:sz="0" w:space="0" w:color="auto"/>
            <w:right w:val="none" w:sz="0" w:space="0" w:color="auto"/>
          </w:divBdr>
        </w:div>
        <w:div w:id="481119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3140479">
      <w:bodyDiv w:val="1"/>
      <w:marLeft w:val="0"/>
      <w:marRight w:val="0"/>
      <w:marTop w:val="0"/>
      <w:marBottom w:val="0"/>
      <w:divBdr>
        <w:top w:val="none" w:sz="0" w:space="0" w:color="auto"/>
        <w:left w:val="none" w:sz="0" w:space="0" w:color="auto"/>
        <w:bottom w:val="none" w:sz="0" w:space="0" w:color="auto"/>
        <w:right w:val="none" w:sz="0" w:space="0" w:color="auto"/>
      </w:divBdr>
      <w:divsChild>
        <w:div w:id="543324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8747892">
      <w:bodyDiv w:val="1"/>
      <w:marLeft w:val="0"/>
      <w:marRight w:val="0"/>
      <w:marTop w:val="0"/>
      <w:marBottom w:val="0"/>
      <w:divBdr>
        <w:top w:val="none" w:sz="0" w:space="0" w:color="auto"/>
        <w:left w:val="none" w:sz="0" w:space="0" w:color="auto"/>
        <w:bottom w:val="none" w:sz="0" w:space="0" w:color="auto"/>
        <w:right w:val="none" w:sz="0" w:space="0" w:color="auto"/>
      </w:divBdr>
    </w:div>
    <w:div w:id="1403678475">
      <w:bodyDiv w:val="1"/>
      <w:marLeft w:val="0"/>
      <w:marRight w:val="0"/>
      <w:marTop w:val="0"/>
      <w:marBottom w:val="0"/>
      <w:divBdr>
        <w:top w:val="none" w:sz="0" w:space="0" w:color="auto"/>
        <w:left w:val="none" w:sz="0" w:space="0" w:color="auto"/>
        <w:bottom w:val="none" w:sz="0" w:space="0" w:color="auto"/>
        <w:right w:val="none" w:sz="0" w:space="0" w:color="auto"/>
      </w:divBdr>
      <w:divsChild>
        <w:div w:id="7992993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2152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3940812">
      <w:bodyDiv w:val="1"/>
      <w:marLeft w:val="0"/>
      <w:marRight w:val="0"/>
      <w:marTop w:val="0"/>
      <w:marBottom w:val="0"/>
      <w:divBdr>
        <w:top w:val="none" w:sz="0" w:space="0" w:color="auto"/>
        <w:left w:val="none" w:sz="0" w:space="0" w:color="auto"/>
        <w:bottom w:val="none" w:sz="0" w:space="0" w:color="auto"/>
        <w:right w:val="none" w:sz="0" w:space="0" w:color="auto"/>
      </w:divBdr>
    </w:div>
    <w:div w:id="1406221301">
      <w:bodyDiv w:val="1"/>
      <w:marLeft w:val="0"/>
      <w:marRight w:val="0"/>
      <w:marTop w:val="0"/>
      <w:marBottom w:val="0"/>
      <w:divBdr>
        <w:top w:val="none" w:sz="0" w:space="0" w:color="auto"/>
        <w:left w:val="none" w:sz="0" w:space="0" w:color="auto"/>
        <w:bottom w:val="none" w:sz="0" w:space="0" w:color="auto"/>
        <w:right w:val="none" w:sz="0" w:space="0" w:color="auto"/>
      </w:divBdr>
      <w:divsChild>
        <w:div w:id="1998607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4034502">
      <w:bodyDiv w:val="1"/>
      <w:marLeft w:val="0"/>
      <w:marRight w:val="0"/>
      <w:marTop w:val="0"/>
      <w:marBottom w:val="0"/>
      <w:divBdr>
        <w:top w:val="none" w:sz="0" w:space="0" w:color="auto"/>
        <w:left w:val="none" w:sz="0" w:space="0" w:color="auto"/>
        <w:bottom w:val="none" w:sz="0" w:space="0" w:color="auto"/>
        <w:right w:val="none" w:sz="0" w:space="0" w:color="auto"/>
      </w:divBdr>
    </w:div>
    <w:div w:id="1426994637">
      <w:bodyDiv w:val="1"/>
      <w:marLeft w:val="0"/>
      <w:marRight w:val="0"/>
      <w:marTop w:val="0"/>
      <w:marBottom w:val="0"/>
      <w:divBdr>
        <w:top w:val="none" w:sz="0" w:space="0" w:color="auto"/>
        <w:left w:val="none" w:sz="0" w:space="0" w:color="auto"/>
        <w:bottom w:val="none" w:sz="0" w:space="0" w:color="auto"/>
        <w:right w:val="none" w:sz="0" w:space="0" w:color="auto"/>
      </w:divBdr>
    </w:div>
    <w:div w:id="1436751148">
      <w:bodyDiv w:val="1"/>
      <w:marLeft w:val="0"/>
      <w:marRight w:val="0"/>
      <w:marTop w:val="0"/>
      <w:marBottom w:val="0"/>
      <w:divBdr>
        <w:top w:val="none" w:sz="0" w:space="0" w:color="auto"/>
        <w:left w:val="none" w:sz="0" w:space="0" w:color="auto"/>
        <w:bottom w:val="none" w:sz="0" w:space="0" w:color="auto"/>
        <w:right w:val="none" w:sz="0" w:space="0" w:color="auto"/>
      </w:divBdr>
      <w:divsChild>
        <w:div w:id="20359579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7809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7354175">
      <w:bodyDiv w:val="1"/>
      <w:marLeft w:val="0"/>
      <w:marRight w:val="0"/>
      <w:marTop w:val="0"/>
      <w:marBottom w:val="0"/>
      <w:divBdr>
        <w:top w:val="none" w:sz="0" w:space="0" w:color="auto"/>
        <w:left w:val="none" w:sz="0" w:space="0" w:color="auto"/>
        <w:bottom w:val="none" w:sz="0" w:space="0" w:color="auto"/>
        <w:right w:val="none" w:sz="0" w:space="0" w:color="auto"/>
      </w:divBdr>
    </w:div>
    <w:div w:id="1478259335">
      <w:bodyDiv w:val="1"/>
      <w:marLeft w:val="0"/>
      <w:marRight w:val="0"/>
      <w:marTop w:val="0"/>
      <w:marBottom w:val="0"/>
      <w:divBdr>
        <w:top w:val="none" w:sz="0" w:space="0" w:color="auto"/>
        <w:left w:val="none" w:sz="0" w:space="0" w:color="auto"/>
        <w:bottom w:val="none" w:sz="0" w:space="0" w:color="auto"/>
        <w:right w:val="none" w:sz="0" w:space="0" w:color="auto"/>
      </w:divBdr>
      <w:divsChild>
        <w:div w:id="1558472990">
          <w:marLeft w:val="0"/>
          <w:marRight w:val="0"/>
          <w:marTop w:val="0"/>
          <w:marBottom w:val="0"/>
          <w:divBdr>
            <w:top w:val="none" w:sz="0" w:space="0" w:color="auto"/>
            <w:left w:val="none" w:sz="0" w:space="0" w:color="auto"/>
            <w:bottom w:val="none" w:sz="0" w:space="0" w:color="auto"/>
            <w:right w:val="none" w:sz="0" w:space="0" w:color="auto"/>
          </w:divBdr>
          <w:divsChild>
            <w:div w:id="123096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7260">
      <w:bodyDiv w:val="1"/>
      <w:marLeft w:val="0"/>
      <w:marRight w:val="0"/>
      <w:marTop w:val="0"/>
      <w:marBottom w:val="0"/>
      <w:divBdr>
        <w:top w:val="none" w:sz="0" w:space="0" w:color="auto"/>
        <w:left w:val="none" w:sz="0" w:space="0" w:color="auto"/>
        <w:bottom w:val="none" w:sz="0" w:space="0" w:color="auto"/>
        <w:right w:val="none" w:sz="0" w:space="0" w:color="auto"/>
      </w:divBdr>
    </w:div>
    <w:div w:id="1490247422">
      <w:bodyDiv w:val="1"/>
      <w:marLeft w:val="0"/>
      <w:marRight w:val="0"/>
      <w:marTop w:val="0"/>
      <w:marBottom w:val="0"/>
      <w:divBdr>
        <w:top w:val="none" w:sz="0" w:space="0" w:color="auto"/>
        <w:left w:val="none" w:sz="0" w:space="0" w:color="auto"/>
        <w:bottom w:val="none" w:sz="0" w:space="0" w:color="auto"/>
        <w:right w:val="none" w:sz="0" w:space="0" w:color="auto"/>
      </w:divBdr>
      <w:divsChild>
        <w:div w:id="1545868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7988002">
      <w:bodyDiv w:val="1"/>
      <w:marLeft w:val="0"/>
      <w:marRight w:val="0"/>
      <w:marTop w:val="0"/>
      <w:marBottom w:val="0"/>
      <w:divBdr>
        <w:top w:val="none" w:sz="0" w:space="0" w:color="auto"/>
        <w:left w:val="none" w:sz="0" w:space="0" w:color="auto"/>
        <w:bottom w:val="none" w:sz="0" w:space="0" w:color="auto"/>
        <w:right w:val="none" w:sz="0" w:space="0" w:color="auto"/>
      </w:divBdr>
      <w:divsChild>
        <w:div w:id="49695335">
          <w:blockQuote w:val="1"/>
          <w:marLeft w:val="720"/>
          <w:marRight w:val="720"/>
          <w:marTop w:val="100"/>
          <w:marBottom w:val="100"/>
          <w:divBdr>
            <w:top w:val="none" w:sz="0" w:space="0" w:color="auto"/>
            <w:left w:val="none" w:sz="0" w:space="0" w:color="auto"/>
            <w:bottom w:val="none" w:sz="0" w:space="0" w:color="auto"/>
            <w:right w:val="none" w:sz="0" w:space="0" w:color="auto"/>
          </w:divBdr>
        </w:div>
        <w:div w:id="89443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426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6388835">
      <w:bodyDiv w:val="1"/>
      <w:marLeft w:val="0"/>
      <w:marRight w:val="0"/>
      <w:marTop w:val="0"/>
      <w:marBottom w:val="0"/>
      <w:divBdr>
        <w:top w:val="none" w:sz="0" w:space="0" w:color="auto"/>
        <w:left w:val="none" w:sz="0" w:space="0" w:color="auto"/>
        <w:bottom w:val="none" w:sz="0" w:space="0" w:color="auto"/>
        <w:right w:val="none" w:sz="0" w:space="0" w:color="auto"/>
      </w:divBdr>
      <w:divsChild>
        <w:div w:id="1607233424">
          <w:blockQuote w:val="1"/>
          <w:marLeft w:val="720"/>
          <w:marRight w:val="720"/>
          <w:marTop w:val="100"/>
          <w:marBottom w:val="100"/>
          <w:divBdr>
            <w:top w:val="none" w:sz="0" w:space="0" w:color="auto"/>
            <w:left w:val="none" w:sz="0" w:space="0" w:color="auto"/>
            <w:bottom w:val="none" w:sz="0" w:space="0" w:color="auto"/>
            <w:right w:val="none" w:sz="0" w:space="0" w:color="auto"/>
          </w:divBdr>
        </w:div>
        <w:div w:id="474490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748683">
          <w:blockQuote w:val="1"/>
          <w:marLeft w:val="720"/>
          <w:marRight w:val="720"/>
          <w:marTop w:val="100"/>
          <w:marBottom w:val="100"/>
          <w:divBdr>
            <w:top w:val="none" w:sz="0" w:space="0" w:color="auto"/>
            <w:left w:val="none" w:sz="0" w:space="0" w:color="auto"/>
            <w:bottom w:val="none" w:sz="0" w:space="0" w:color="auto"/>
            <w:right w:val="none" w:sz="0" w:space="0" w:color="auto"/>
          </w:divBdr>
        </w:div>
        <w:div w:id="775827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0753870">
      <w:bodyDiv w:val="1"/>
      <w:marLeft w:val="0"/>
      <w:marRight w:val="0"/>
      <w:marTop w:val="0"/>
      <w:marBottom w:val="0"/>
      <w:divBdr>
        <w:top w:val="none" w:sz="0" w:space="0" w:color="auto"/>
        <w:left w:val="none" w:sz="0" w:space="0" w:color="auto"/>
        <w:bottom w:val="none" w:sz="0" w:space="0" w:color="auto"/>
        <w:right w:val="none" w:sz="0" w:space="0" w:color="auto"/>
      </w:divBdr>
    </w:div>
    <w:div w:id="1598757820">
      <w:bodyDiv w:val="1"/>
      <w:marLeft w:val="0"/>
      <w:marRight w:val="0"/>
      <w:marTop w:val="0"/>
      <w:marBottom w:val="0"/>
      <w:divBdr>
        <w:top w:val="none" w:sz="0" w:space="0" w:color="auto"/>
        <w:left w:val="none" w:sz="0" w:space="0" w:color="auto"/>
        <w:bottom w:val="none" w:sz="0" w:space="0" w:color="auto"/>
        <w:right w:val="none" w:sz="0" w:space="0" w:color="auto"/>
      </w:divBdr>
      <w:divsChild>
        <w:div w:id="361900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04108537">
          <w:marLeft w:val="0"/>
          <w:marRight w:val="0"/>
          <w:marTop w:val="0"/>
          <w:marBottom w:val="0"/>
          <w:divBdr>
            <w:top w:val="none" w:sz="0" w:space="0" w:color="auto"/>
            <w:left w:val="none" w:sz="0" w:space="0" w:color="auto"/>
            <w:bottom w:val="none" w:sz="0" w:space="0" w:color="auto"/>
            <w:right w:val="none" w:sz="0" w:space="0" w:color="auto"/>
          </w:divBdr>
          <w:divsChild>
            <w:div w:id="2980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0686">
      <w:bodyDiv w:val="1"/>
      <w:marLeft w:val="0"/>
      <w:marRight w:val="0"/>
      <w:marTop w:val="0"/>
      <w:marBottom w:val="0"/>
      <w:divBdr>
        <w:top w:val="none" w:sz="0" w:space="0" w:color="auto"/>
        <w:left w:val="none" w:sz="0" w:space="0" w:color="auto"/>
        <w:bottom w:val="none" w:sz="0" w:space="0" w:color="auto"/>
        <w:right w:val="none" w:sz="0" w:space="0" w:color="auto"/>
      </w:divBdr>
    </w:div>
    <w:div w:id="1634481324">
      <w:bodyDiv w:val="1"/>
      <w:marLeft w:val="0"/>
      <w:marRight w:val="0"/>
      <w:marTop w:val="0"/>
      <w:marBottom w:val="0"/>
      <w:divBdr>
        <w:top w:val="none" w:sz="0" w:space="0" w:color="auto"/>
        <w:left w:val="none" w:sz="0" w:space="0" w:color="auto"/>
        <w:bottom w:val="none" w:sz="0" w:space="0" w:color="auto"/>
        <w:right w:val="none" w:sz="0" w:space="0" w:color="auto"/>
      </w:divBdr>
    </w:div>
    <w:div w:id="1654719360">
      <w:bodyDiv w:val="1"/>
      <w:marLeft w:val="0"/>
      <w:marRight w:val="0"/>
      <w:marTop w:val="0"/>
      <w:marBottom w:val="0"/>
      <w:divBdr>
        <w:top w:val="none" w:sz="0" w:space="0" w:color="auto"/>
        <w:left w:val="none" w:sz="0" w:space="0" w:color="auto"/>
        <w:bottom w:val="none" w:sz="0" w:space="0" w:color="auto"/>
        <w:right w:val="none" w:sz="0" w:space="0" w:color="auto"/>
      </w:divBdr>
      <w:divsChild>
        <w:div w:id="1274942154">
          <w:marLeft w:val="0"/>
          <w:marRight w:val="0"/>
          <w:marTop w:val="0"/>
          <w:marBottom w:val="0"/>
          <w:divBdr>
            <w:top w:val="none" w:sz="0" w:space="0" w:color="auto"/>
            <w:left w:val="none" w:sz="0" w:space="0" w:color="auto"/>
            <w:bottom w:val="none" w:sz="0" w:space="0" w:color="auto"/>
            <w:right w:val="none" w:sz="0" w:space="0" w:color="auto"/>
          </w:divBdr>
        </w:div>
        <w:div w:id="1502550257">
          <w:marLeft w:val="0"/>
          <w:marRight w:val="0"/>
          <w:marTop w:val="0"/>
          <w:marBottom w:val="0"/>
          <w:divBdr>
            <w:top w:val="none" w:sz="0" w:space="0" w:color="auto"/>
            <w:left w:val="none" w:sz="0" w:space="0" w:color="auto"/>
            <w:bottom w:val="none" w:sz="0" w:space="0" w:color="auto"/>
            <w:right w:val="none" w:sz="0" w:space="0" w:color="auto"/>
          </w:divBdr>
        </w:div>
      </w:divsChild>
    </w:div>
    <w:div w:id="1655178361">
      <w:bodyDiv w:val="1"/>
      <w:marLeft w:val="0"/>
      <w:marRight w:val="0"/>
      <w:marTop w:val="0"/>
      <w:marBottom w:val="0"/>
      <w:divBdr>
        <w:top w:val="none" w:sz="0" w:space="0" w:color="auto"/>
        <w:left w:val="none" w:sz="0" w:space="0" w:color="auto"/>
        <w:bottom w:val="none" w:sz="0" w:space="0" w:color="auto"/>
        <w:right w:val="none" w:sz="0" w:space="0" w:color="auto"/>
      </w:divBdr>
    </w:div>
    <w:div w:id="1665860821">
      <w:bodyDiv w:val="1"/>
      <w:marLeft w:val="0"/>
      <w:marRight w:val="0"/>
      <w:marTop w:val="0"/>
      <w:marBottom w:val="0"/>
      <w:divBdr>
        <w:top w:val="none" w:sz="0" w:space="0" w:color="auto"/>
        <w:left w:val="none" w:sz="0" w:space="0" w:color="auto"/>
        <w:bottom w:val="none" w:sz="0" w:space="0" w:color="auto"/>
        <w:right w:val="none" w:sz="0" w:space="0" w:color="auto"/>
      </w:divBdr>
    </w:div>
    <w:div w:id="1668896450">
      <w:bodyDiv w:val="1"/>
      <w:marLeft w:val="0"/>
      <w:marRight w:val="0"/>
      <w:marTop w:val="0"/>
      <w:marBottom w:val="0"/>
      <w:divBdr>
        <w:top w:val="none" w:sz="0" w:space="0" w:color="auto"/>
        <w:left w:val="none" w:sz="0" w:space="0" w:color="auto"/>
        <w:bottom w:val="none" w:sz="0" w:space="0" w:color="auto"/>
        <w:right w:val="none" w:sz="0" w:space="0" w:color="auto"/>
      </w:divBdr>
    </w:div>
    <w:div w:id="1684625817">
      <w:bodyDiv w:val="1"/>
      <w:marLeft w:val="0"/>
      <w:marRight w:val="0"/>
      <w:marTop w:val="0"/>
      <w:marBottom w:val="0"/>
      <w:divBdr>
        <w:top w:val="none" w:sz="0" w:space="0" w:color="auto"/>
        <w:left w:val="none" w:sz="0" w:space="0" w:color="auto"/>
        <w:bottom w:val="none" w:sz="0" w:space="0" w:color="auto"/>
        <w:right w:val="none" w:sz="0" w:space="0" w:color="auto"/>
      </w:divBdr>
      <w:divsChild>
        <w:div w:id="894127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167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5982145">
      <w:bodyDiv w:val="1"/>
      <w:marLeft w:val="0"/>
      <w:marRight w:val="0"/>
      <w:marTop w:val="0"/>
      <w:marBottom w:val="0"/>
      <w:divBdr>
        <w:top w:val="none" w:sz="0" w:space="0" w:color="auto"/>
        <w:left w:val="none" w:sz="0" w:space="0" w:color="auto"/>
        <w:bottom w:val="none" w:sz="0" w:space="0" w:color="auto"/>
        <w:right w:val="none" w:sz="0" w:space="0" w:color="auto"/>
      </w:divBdr>
    </w:div>
    <w:div w:id="1710300410">
      <w:bodyDiv w:val="1"/>
      <w:marLeft w:val="0"/>
      <w:marRight w:val="0"/>
      <w:marTop w:val="0"/>
      <w:marBottom w:val="0"/>
      <w:divBdr>
        <w:top w:val="none" w:sz="0" w:space="0" w:color="auto"/>
        <w:left w:val="none" w:sz="0" w:space="0" w:color="auto"/>
        <w:bottom w:val="none" w:sz="0" w:space="0" w:color="auto"/>
        <w:right w:val="none" w:sz="0" w:space="0" w:color="auto"/>
      </w:divBdr>
      <w:divsChild>
        <w:div w:id="1522208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938831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715069">
      <w:bodyDiv w:val="1"/>
      <w:marLeft w:val="0"/>
      <w:marRight w:val="0"/>
      <w:marTop w:val="0"/>
      <w:marBottom w:val="0"/>
      <w:divBdr>
        <w:top w:val="none" w:sz="0" w:space="0" w:color="auto"/>
        <w:left w:val="none" w:sz="0" w:space="0" w:color="auto"/>
        <w:bottom w:val="none" w:sz="0" w:space="0" w:color="auto"/>
        <w:right w:val="none" w:sz="0" w:space="0" w:color="auto"/>
      </w:divBdr>
    </w:div>
    <w:div w:id="1717315049">
      <w:bodyDiv w:val="1"/>
      <w:marLeft w:val="0"/>
      <w:marRight w:val="0"/>
      <w:marTop w:val="0"/>
      <w:marBottom w:val="0"/>
      <w:divBdr>
        <w:top w:val="none" w:sz="0" w:space="0" w:color="auto"/>
        <w:left w:val="none" w:sz="0" w:space="0" w:color="auto"/>
        <w:bottom w:val="none" w:sz="0" w:space="0" w:color="auto"/>
        <w:right w:val="none" w:sz="0" w:space="0" w:color="auto"/>
      </w:divBdr>
    </w:div>
    <w:div w:id="1751078360">
      <w:bodyDiv w:val="1"/>
      <w:marLeft w:val="0"/>
      <w:marRight w:val="0"/>
      <w:marTop w:val="0"/>
      <w:marBottom w:val="0"/>
      <w:divBdr>
        <w:top w:val="none" w:sz="0" w:space="0" w:color="auto"/>
        <w:left w:val="none" w:sz="0" w:space="0" w:color="auto"/>
        <w:bottom w:val="none" w:sz="0" w:space="0" w:color="auto"/>
        <w:right w:val="none" w:sz="0" w:space="0" w:color="auto"/>
      </w:divBdr>
    </w:div>
    <w:div w:id="1762800319">
      <w:bodyDiv w:val="1"/>
      <w:marLeft w:val="0"/>
      <w:marRight w:val="0"/>
      <w:marTop w:val="0"/>
      <w:marBottom w:val="0"/>
      <w:divBdr>
        <w:top w:val="none" w:sz="0" w:space="0" w:color="auto"/>
        <w:left w:val="none" w:sz="0" w:space="0" w:color="auto"/>
        <w:bottom w:val="none" w:sz="0" w:space="0" w:color="auto"/>
        <w:right w:val="none" w:sz="0" w:space="0" w:color="auto"/>
      </w:divBdr>
      <w:divsChild>
        <w:div w:id="604000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5877888">
      <w:bodyDiv w:val="1"/>
      <w:marLeft w:val="0"/>
      <w:marRight w:val="0"/>
      <w:marTop w:val="0"/>
      <w:marBottom w:val="0"/>
      <w:divBdr>
        <w:top w:val="none" w:sz="0" w:space="0" w:color="auto"/>
        <w:left w:val="none" w:sz="0" w:space="0" w:color="auto"/>
        <w:bottom w:val="none" w:sz="0" w:space="0" w:color="auto"/>
        <w:right w:val="none" w:sz="0" w:space="0" w:color="auto"/>
      </w:divBdr>
    </w:div>
    <w:div w:id="1778519987">
      <w:bodyDiv w:val="1"/>
      <w:marLeft w:val="0"/>
      <w:marRight w:val="0"/>
      <w:marTop w:val="0"/>
      <w:marBottom w:val="0"/>
      <w:divBdr>
        <w:top w:val="none" w:sz="0" w:space="0" w:color="auto"/>
        <w:left w:val="none" w:sz="0" w:space="0" w:color="auto"/>
        <w:bottom w:val="none" w:sz="0" w:space="0" w:color="auto"/>
        <w:right w:val="none" w:sz="0" w:space="0" w:color="auto"/>
      </w:divBdr>
    </w:div>
    <w:div w:id="1790396778">
      <w:bodyDiv w:val="1"/>
      <w:marLeft w:val="0"/>
      <w:marRight w:val="0"/>
      <w:marTop w:val="0"/>
      <w:marBottom w:val="0"/>
      <w:divBdr>
        <w:top w:val="none" w:sz="0" w:space="0" w:color="auto"/>
        <w:left w:val="none" w:sz="0" w:space="0" w:color="auto"/>
        <w:bottom w:val="none" w:sz="0" w:space="0" w:color="auto"/>
        <w:right w:val="none" w:sz="0" w:space="0" w:color="auto"/>
      </w:divBdr>
    </w:div>
    <w:div w:id="1790783066">
      <w:bodyDiv w:val="1"/>
      <w:marLeft w:val="0"/>
      <w:marRight w:val="0"/>
      <w:marTop w:val="0"/>
      <w:marBottom w:val="0"/>
      <w:divBdr>
        <w:top w:val="none" w:sz="0" w:space="0" w:color="auto"/>
        <w:left w:val="none" w:sz="0" w:space="0" w:color="auto"/>
        <w:bottom w:val="none" w:sz="0" w:space="0" w:color="auto"/>
        <w:right w:val="none" w:sz="0" w:space="0" w:color="auto"/>
      </w:divBdr>
    </w:div>
    <w:div w:id="1793744413">
      <w:bodyDiv w:val="1"/>
      <w:marLeft w:val="0"/>
      <w:marRight w:val="0"/>
      <w:marTop w:val="0"/>
      <w:marBottom w:val="0"/>
      <w:divBdr>
        <w:top w:val="none" w:sz="0" w:space="0" w:color="auto"/>
        <w:left w:val="none" w:sz="0" w:space="0" w:color="auto"/>
        <w:bottom w:val="none" w:sz="0" w:space="0" w:color="auto"/>
        <w:right w:val="none" w:sz="0" w:space="0" w:color="auto"/>
      </w:divBdr>
      <w:divsChild>
        <w:div w:id="1716153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5975832">
      <w:bodyDiv w:val="1"/>
      <w:marLeft w:val="0"/>
      <w:marRight w:val="0"/>
      <w:marTop w:val="0"/>
      <w:marBottom w:val="0"/>
      <w:divBdr>
        <w:top w:val="none" w:sz="0" w:space="0" w:color="auto"/>
        <w:left w:val="none" w:sz="0" w:space="0" w:color="auto"/>
        <w:bottom w:val="none" w:sz="0" w:space="0" w:color="auto"/>
        <w:right w:val="none" w:sz="0" w:space="0" w:color="auto"/>
      </w:divBdr>
    </w:div>
    <w:div w:id="1799299513">
      <w:bodyDiv w:val="1"/>
      <w:marLeft w:val="0"/>
      <w:marRight w:val="0"/>
      <w:marTop w:val="0"/>
      <w:marBottom w:val="0"/>
      <w:divBdr>
        <w:top w:val="none" w:sz="0" w:space="0" w:color="auto"/>
        <w:left w:val="none" w:sz="0" w:space="0" w:color="auto"/>
        <w:bottom w:val="none" w:sz="0" w:space="0" w:color="auto"/>
        <w:right w:val="none" w:sz="0" w:space="0" w:color="auto"/>
      </w:divBdr>
    </w:div>
    <w:div w:id="1801604986">
      <w:bodyDiv w:val="1"/>
      <w:marLeft w:val="0"/>
      <w:marRight w:val="0"/>
      <w:marTop w:val="0"/>
      <w:marBottom w:val="0"/>
      <w:divBdr>
        <w:top w:val="none" w:sz="0" w:space="0" w:color="auto"/>
        <w:left w:val="none" w:sz="0" w:space="0" w:color="auto"/>
        <w:bottom w:val="none" w:sz="0" w:space="0" w:color="auto"/>
        <w:right w:val="none" w:sz="0" w:space="0" w:color="auto"/>
      </w:divBdr>
    </w:div>
    <w:div w:id="1812675514">
      <w:bodyDiv w:val="1"/>
      <w:marLeft w:val="0"/>
      <w:marRight w:val="0"/>
      <w:marTop w:val="0"/>
      <w:marBottom w:val="0"/>
      <w:divBdr>
        <w:top w:val="none" w:sz="0" w:space="0" w:color="auto"/>
        <w:left w:val="none" w:sz="0" w:space="0" w:color="auto"/>
        <w:bottom w:val="none" w:sz="0" w:space="0" w:color="auto"/>
        <w:right w:val="none" w:sz="0" w:space="0" w:color="auto"/>
      </w:divBdr>
      <w:divsChild>
        <w:div w:id="1769614802">
          <w:marLeft w:val="0"/>
          <w:marRight w:val="0"/>
          <w:marTop w:val="0"/>
          <w:marBottom w:val="0"/>
          <w:divBdr>
            <w:top w:val="none" w:sz="0" w:space="0" w:color="auto"/>
            <w:left w:val="none" w:sz="0" w:space="0" w:color="auto"/>
            <w:bottom w:val="none" w:sz="0" w:space="0" w:color="auto"/>
            <w:right w:val="none" w:sz="0" w:space="0" w:color="auto"/>
          </w:divBdr>
          <w:divsChild>
            <w:div w:id="2147234519">
              <w:marLeft w:val="0"/>
              <w:marRight w:val="0"/>
              <w:marTop w:val="0"/>
              <w:marBottom w:val="0"/>
              <w:divBdr>
                <w:top w:val="none" w:sz="0" w:space="0" w:color="auto"/>
                <w:left w:val="none" w:sz="0" w:space="0" w:color="auto"/>
                <w:bottom w:val="none" w:sz="0" w:space="0" w:color="auto"/>
                <w:right w:val="none" w:sz="0" w:space="0" w:color="auto"/>
              </w:divBdr>
              <w:divsChild>
                <w:div w:id="1124078913">
                  <w:marLeft w:val="0"/>
                  <w:marRight w:val="0"/>
                  <w:marTop w:val="0"/>
                  <w:marBottom w:val="0"/>
                  <w:divBdr>
                    <w:top w:val="none" w:sz="0" w:space="0" w:color="auto"/>
                    <w:left w:val="none" w:sz="0" w:space="0" w:color="auto"/>
                    <w:bottom w:val="none" w:sz="0" w:space="0" w:color="auto"/>
                    <w:right w:val="none" w:sz="0" w:space="0" w:color="auto"/>
                  </w:divBdr>
                  <w:divsChild>
                    <w:div w:id="2068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987444">
      <w:bodyDiv w:val="1"/>
      <w:marLeft w:val="0"/>
      <w:marRight w:val="0"/>
      <w:marTop w:val="0"/>
      <w:marBottom w:val="0"/>
      <w:divBdr>
        <w:top w:val="none" w:sz="0" w:space="0" w:color="auto"/>
        <w:left w:val="none" w:sz="0" w:space="0" w:color="auto"/>
        <w:bottom w:val="none" w:sz="0" w:space="0" w:color="auto"/>
        <w:right w:val="none" w:sz="0" w:space="0" w:color="auto"/>
      </w:divBdr>
    </w:div>
    <w:div w:id="1834249883">
      <w:bodyDiv w:val="1"/>
      <w:marLeft w:val="0"/>
      <w:marRight w:val="0"/>
      <w:marTop w:val="0"/>
      <w:marBottom w:val="0"/>
      <w:divBdr>
        <w:top w:val="none" w:sz="0" w:space="0" w:color="auto"/>
        <w:left w:val="none" w:sz="0" w:space="0" w:color="auto"/>
        <w:bottom w:val="none" w:sz="0" w:space="0" w:color="auto"/>
        <w:right w:val="none" w:sz="0" w:space="0" w:color="auto"/>
      </w:divBdr>
    </w:div>
    <w:div w:id="1835611494">
      <w:bodyDiv w:val="1"/>
      <w:marLeft w:val="0"/>
      <w:marRight w:val="0"/>
      <w:marTop w:val="0"/>
      <w:marBottom w:val="0"/>
      <w:divBdr>
        <w:top w:val="none" w:sz="0" w:space="0" w:color="auto"/>
        <w:left w:val="none" w:sz="0" w:space="0" w:color="auto"/>
        <w:bottom w:val="none" w:sz="0" w:space="0" w:color="auto"/>
        <w:right w:val="none" w:sz="0" w:space="0" w:color="auto"/>
      </w:divBdr>
    </w:div>
    <w:div w:id="1842574511">
      <w:bodyDiv w:val="1"/>
      <w:marLeft w:val="0"/>
      <w:marRight w:val="0"/>
      <w:marTop w:val="0"/>
      <w:marBottom w:val="0"/>
      <w:divBdr>
        <w:top w:val="none" w:sz="0" w:space="0" w:color="auto"/>
        <w:left w:val="none" w:sz="0" w:space="0" w:color="auto"/>
        <w:bottom w:val="none" w:sz="0" w:space="0" w:color="auto"/>
        <w:right w:val="none" w:sz="0" w:space="0" w:color="auto"/>
      </w:divBdr>
      <w:divsChild>
        <w:div w:id="1545364586">
          <w:marLeft w:val="0"/>
          <w:marRight w:val="0"/>
          <w:marTop w:val="0"/>
          <w:marBottom w:val="0"/>
          <w:divBdr>
            <w:top w:val="none" w:sz="0" w:space="0" w:color="auto"/>
            <w:left w:val="none" w:sz="0" w:space="0" w:color="auto"/>
            <w:bottom w:val="none" w:sz="0" w:space="0" w:color="auto"/>
            <w:right w:val="none" w:sz="0" w:space="0" w:color="auto"/>
          </w:divBdr>
          <w:divsChild>
            <w:div w:id="157577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59664">
      <w:bodyDiv w:val="1"/>
      <w:marLeft w:val="0"/>
      <w:marRight w:val="0"/>
      <w:marTop w:val="0"/>
      <w:marBottom w:val="0"/>
      <w:divBdr>
        <w:top w:val="none" w:sz="0" w:space="0" w:color="auto"/>
        <w:left w:val="none" w:sz="0" w:space="0" w:color="auto"/>
        <w:bottom w:val="none" w:sz="0" w:space="0" w:color="auto"/>
        <w:right w:val="none" w:sz="0" w:space="0" w:color="auto"/>
      </w:divBdr>
      <w:divsChild>
        <w:div w:id="32269335">
          <w:marLeft w:val="0"/>
          <w:marRight w:val="0"/>
          <w:marTop w:val="0"/>
          <w:marBottom w:val="0"/>
          <w:divBdr>
            <w:top w:val="none" w:sz="0" w:space="0" w:color="auto"/>
            <w:left w:val="none" w:sz="0" w:space="0" w:color="auto"/>
            <w:bottom w:val="none" w:sz="0" w:space="0" w:color="auto"/>
            <w:right w:val="none" w:sz="0" w:space="0" w:color="auto"/>
          </w:divBdr>
          <w:divsChild>
            <w:div w:id="581644672">
              <w:marLeft w:val="0"/>
              <w:marRight w:val="0"/>
              <w:marTop w:val="0"/>
              <w:marBottom w:val="0"/>
              <w:divBdr>
                <w:top w:val="none" w:sz="0" w:space="0" w:color="auto"/>
                <w:left w:val="none" w:sz="0" w:space="0" w:color="auto"/>
                <w:bottom w:val="none" w:sz="0" w:space="0" w:color="auto"/>
                <w:right w:val="none" w:sz="0" w:space="0" w:color="auto"/>
              </w:divBdr>
              <w:divsChild>
                <w:div w:id="28146701">
                  <w:marLeft w:val="0"/>
                  <w:marRight w:val="0"/>
                  <w:marTop w:val="0"/>
                  <w:marBottom w:val="0"/>
                  <w:divBdr>
                    <w:top w:val="none" w:sz="0" w:space="0" w:color="auto"/>
                    <w:left w:val="none" w:sz="0" w:space="0" w:color="auto"/>
                    <w:bottom w:val="none" w:sz="0" w:space="0" w:color="auto"/>
                    <w:right w:val="none" w:sz="0" w:space="0" w:color="auto"/>
                  </w:divBdr>
                  <w:divsChild>
                    <w:div w:id="1715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508148">
      <w:bodyDiv w:val="1"/>
      <w:marLeft w:val="0"/>
      <w:marRight w:val="0"/>
      <w:marTop w:val="0"/>
      <w:marBottom w:val="0"/>
      <w:divBdr>
        <w:top w:val="none" w:sz="0" w:space="0" w:color="auto"/>
        <w:left w:val="none" w:sz="0" w:space="0" w:color="auto"/>
        <w:bottom w:val="none" w:sz="0" w:space="0" w:color="auto"/>
        <w:right w:val="none" w:sz="0" w:space="0" w:color="auto"/>
      </w:divBdr>
    </w:div>
    <w:div w:id="1847330449">
      <w:bodyDiv w:val="1"/>
      <w:marLeft w:val="0"/>
      <w:marRight w:val="0"/>
      <w:marTop w:val="0"/>
      <w:marBottom w:val="0"/>
      <w:divBdr>
        <w:top w:val="none" w:sz="0" w:space="0" w:color="auto"/>
        <w:left w:val="none" w:sz="0" w:space="0" w:color="auto"/>
        <w:bottom w:val="none" w:sz="0" w:space="0" w:color="auto"/>
        <w:right w:val="none" w:sz="0" w:space="0" w:color="auto"/>
      </w:divBdr>
      <w:divsChild>
        <w:div w:id="1726679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7942582">
      <w:bodyDiv w:val="1"/>
      <w:marLeft w:val="0"/>
      <w:marRight w:val="0"/>
      <w:marTop w:val="0"/>
      <w:marBottom w:val="0"/>
      <w:divBdr>
        <w:top w:val="none" w:sz="0" w:space="0" w:color="auto"/>
        <w:left w:val="none" w:sz="0" w:space="0" w:color="auto"/>
        <w:bottom w:val="none" w:sz="0" w:space="0" w:color="auto"/>
        <w:right w:val="none" w:sz="0" w:space="0" w:color="auto"/>
      </w:divBdr>
    </w:div>
    <w:div w:id="1850369121">
      <w:bodyDiv w:val="1"/>
      <w:marLeft w:val="0"/>
      <w:marRight w:val="0"/>
      <w:marTop w:val="0"/>
      <w:marBottom w:val="0"/>
      <w:divBdr>
        <w:top w:val="none" w:sz="0" w:space="0" w:color="auto"/>
        <w:left w:val="none" w:sz="0" w:space="0" w:color="auto"/>
        <w:bottom w:val="none" w:sz="0" w:space="0" w:color="auto"/>
        <w:right w:val="none" w:sz="0" w:space="0" w:color="auto"/>
      </w:divBdr>
    </w:div>
    <w:div w:id="1856992427">
      <w:bodyDiv w:val="1"/>
      <w:marLeft w:val="0"/>
      <w:marRight w:val="0"/>
      <w:marTop w:val="0"/>
      <w:marBottom w:val="0"/>
      <w:divBdr>
        <w:top w:val="none" w:sz="0" w:space="0" w:color="auto"/>
        <w:left w:val="none" w:sz="0" w:space="0" w:color="auto"/>
        <w:bottom w:val="none" w:sz="0" w:space="0" w:color="auto"/>
        <w:right w:val="none" w:sz="0" w:space="0" w:color="auto"/>
      </w:divBdr>
    </w:div>
    <w:div w:id="1859808180">
      <w:bodyDiv w:val="1"/>
      <w:marLeft w:val="0"/>
      <w:marRight w:val="0"/>
      <w:marTop w:val="0"/>
      <w:marBottom w:val="0"/>
      <w:divBdr>
        <w:top w:val="none" w:sz="0" w:space="0" w:color="auto"/>
        <w:left w:val="none" w:sz="0" w:space="0" w:color="auto"/>
        <w:bottom w:val="none" w:sz="0" w:space="0" w:color="auto"/>
        <w:right w:val="none" w:sz="0" w:space="0" w:color="auto"/>
      </w:divBdr>
    </w:div>
    <w:div w:id="1861778158">
      <w:bodyDiv w:val="1"/>
      <w:marLeft w:val="0"/>
      <w:marRight w:val="0"/>
      <w:marTop w:val="0"/>
      <w:marBottom w:val="0"/>
      <w:divBdr>
        <w:top w:val="none" w:sz="0" w:space="0" w:color="auto"/>
        <w:left w:val="none" w:sz="0" w:space="0" w:color="auto"/>
        <w:bottom w:val="none" w:sz="0" w:space="0" w:color="auto"/>
        <w:right w:val="none" w:sz="0" w:space="0" w:color="auto"/>
      </w:divBdr>
    </w:div>
    <w:div w:id="1868565072">
      <w:bodyDiv w:val="1"/>
      <w:marLeft w:val="0"/>
      <w:marRight w:val="0"/>
      <w:marTop w:val="0"/>
      <w:marBottom w:val="0"/>
      <w:divBdr>
        <w:top w:val="none" w:sz="0" w:space="0" w:color="auto"/>
        <w:left w:val="none" w:sz="0" w:space="0" w:color="auto"/>
        <w:bottom w:val="none" w:sz="0" w:space="0" w:color="auto"/>
        <w:right w:val="none" w:sz="0" w:space="0" w:color="auto"/>
      </w:divBdr>
    </w:div>
    <w:div w:id="1884708526">
      <w:bodyDiv w:val="1"/>
      <w:marLeft w:val="0"/>
      <w:marRight w:val="0"/>
      <w:marTop w:val="0"/>
      <w:marBottom w:val="0"/>
      <w:divBdr>
        <w:top w:val="none" w:sz="0" w:space="0" w:color="auto"/>
        <w:left w:val="none" w:sz="0" w:space="0" w:color="auto"/>
        <w:bottom w:val="none" w:sz="0" w:space="0" w:color="auto"/>
        <w:right w:val="none" w:sz="0" w:space="0" w:color="auto"/>
      </w:divBdr>
    </w:div>
    <w:div w:id="1893691315">
      <w:bodyDiv w:val="1"/>
      <w:marLeft w:val="0"/>
      <w:marRight w:val="0"/>
      <w:marTop w:val="0"/>
      <w:marBottom w:val="0"/>
      <w:divBdr>
        <w:top w:val="none" w:sz="0" w:space="0" w:color="auto"/>
        <w:left w:val="none" w:sz="0" w:space="0" w:color="auto"/>
        <w:bottom w:val="none" w:sz="0" w:space="0" w:color="auto"/>
        <w:right w:val="none" w:sz="0" w:space="0" w:color="auto"/>
      </w:divBdr>
      <w:divsChild>
        <w:div w:id="2044859791">
          <w:blockQuote w:val="1"/>
          <w:marLeft w:val="720"/>
          <w:marRight w:val="720"/>
          <w:marTop w:val="100"/>
          <w:marBottom w:val="100"/>
          <w:divBdr>
            <w:top w:val="none" w:sz="0" w:space="0" w:color="auto"/>
            <w:left w:val="none" w:sz="0" w:space="0" w:color="auto"/>
            <w:bottom w:val="none" w:sz="0" w:space="0" w:color="auto"/>
            <w:right w:val="none" w:sz="0" w:space="0" w:color="auto"/>
          </w:divBdr>
        </w:div>
        <w:div w:id="487863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2784049">
      <w:bodyDiv w:val="1"/>
      <w:marLeft w:val="0"/>
      <w:marRight w:val="0"/>
      <w:marTop w:val="0"/>
      <w:marBottom w:val="0"/>
      <w:divBdr>
        <w:top w:val="none" w:sz="0" w:space="0" w:color="auto"/>
        <w:left w:val="none" w:sz="0" w:space="0" w:color="auto"/>
        <w:bottom w:val="none" w:sz="0" w:space="0" w:color="auto"/>
        <w:right w:val="none" w:sz="0" w:space="0" w:color="auto"/>
      </w:divBdr>
    </w:div>
    <w:div w:id="1909488144">
      <w:bodyDiv w:val="1"/>
      <w:marLeft w:val="0"/>
      <w:marRight w:val="0"/>
      <w:marTop w:val="0"/>
      <w:marBottom w:val="0"/>
      <w:divBdr>
        <w:top w:val="none" w:sz="0" w:space="0" w:color="auto"/>
        <w:left w:val="none" w:sz="0" w:space="0" w:color="auto"/>
        <w:bottom w:val="none" w:sz="0" w:space="0" w:color="auto"/>
        <w:right w:val="none" w:sz="0" w:space="0" w:color="auto"/>
      </w:divBdr>
    </w:div>
    <w:div w:id="1921327253">
      <w:bodyDiv w:val="1"/>
      <w:marLeft w:val="0"/>
      <w:marRight w:val="0"/>
      <w:marTop w:val="0"/>
      <w:marBottom w:val="0"/>
      <w:divBdr>
        <w:top w:val="none" w:sz="0" w:space="0" w:color="auto"/>
        <w:left w:val="none" w:sz="0" w:space="0" w:color="auto"/>
        <w:bottom w:val="none" w:sz="0" w:space="0" w:color="auto"/>
        <w:right w:val="none" w:sz="0" w:space="0" w:color="auto"/>
      </w:divBdr>
      <w:divsChild>
        <w:div w:id="836769756">
          <w:marLeft w:val="0"/>
          <w:marRight w:val="0"/>
          <w:marTop w:val="0"/>
          <w:marBottom w:val="0"/>
          <w:divBdr>
            <w:top w:val="none" w:sz="0" w:space="0" w:color="auto"/>
            <w:left w:val="none" w:sz="0" w:space="0" w:color="auto"/>
            <w:bottom w:val="none" w:sz="0" w:space="0" w:color="auto"/>
            <w:right w:val="none" w:sz="0" w:space="0" w:color="auto"/>
          </w:divBdr>
          <w:divsChild>
            <w:div w:id="93207591">
              <w:marLeft w:val="0"/>
              <w:marRight w:val="0"/>
              <w:marTop w:val="0"/>
              <w:marBottom w:val="0"/>
              <w:divBdr>
                <w:top w:val="none" w:sz="0" w:space="0" w:color="auto"/>
                <w:left w:val="none" w:sz="0" w:space="0" w:color="auto"/>
                <w:bottom w:val="none" w:sz="0" w:space="0" w:color="auto"/>
                <w:right w:val="none" w:sz="0" w:space="0" w:color="auto"/>
              </w:divBdr>
              <w:divsChild>
                <w:div w:id="298462308">
                  <w:marLeft w:val="0"/>
                  <w:marRight w:val="0"/>
                  <w:marTop w:val="0"/>
                  <w:marBottom w:val="0"/>
                  <w:divBdr>
                    <w:top w:val="none" w:sz="0" w:space="0" w:color="auto"/>
                    <w:left w:val="none" w:sz="0" w:space="0" w:color="auto"/>
                    <w:bottom w:val="none" w:sz="0" w:space="0" w:color="auto"/>
                    <w:right w:val="none" w:sz="0" w:space="0" w:color="auto"/>
                  </w:divBdr>
                  <w:divsChild>
                    <w:div w:id="76037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25371">
      <w:bodyDiv w:val="1"/>
      <w:marLeft w:val="0"/>
      <w:marRight w:val="0"/>
      <w:marTop w:val="0"/>
      <w:marBottom w:val="0"/>
      <w:divBdr>
        <w:top w:val="none" w:sz="0" w:space="0" w:color="auto"/>
        <w:left w:val="none" w:sz="0" w:space="0" w:color="auto"/>
        <w:bottom w:val="none" w:sz="0" w:space="0" w:color="auto"/>
        <w:right w:val="none" w:sz="0" w:space="0" w:color="auto"/>
      </w:divBdr>
    </w:div>
    <w:div w:id="1958019545">
      <w:bodyDiv w:val="1"/>
      <w:marLeft w:val="0"/>
      <w:marRight w:val="0"/>
      <w:marTop w:val="0"/>
      <w:marBottom w:val="0"/>
      <w:divBdr>
        <w:top w:val="none" w:sz="0" w:space="0" w:color="auto"/>
        <w:left w:val="none" w:sz="0" w:space="0" w:color="auto"/>
        <w:bottom w:val="none" w:sz="0" w:space="0" w:color="auto"/>
        <w:right w:val="none" w:sz="0" w:space="0" w:color="auto"/>
      </w:divBdr>
      <w:divsChild>
        <w:div w:id="351228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5425468">
      <w:bodyDiv w:val="1"/>
      <w:marLeft w:val="0"/>
      <w:marRight w:val="0"/>
      <w:marTop w:val="0"/>
      <w:marBottom w:val="0"/>
      <w:divBdr>
        <w:top w:val="none" w:sz="0" w:space="0" w:color="auto"/>
        <w:left w:val="none" w:sz="0" w:space="0" w:color="auto"/>
        <w:bottom w:val="none" w:sz="0" w:space="0" w:color="auto"/>
        <w:right w:val="none" w:sz="0" w:space="0" w:color="auto"/>
      </w:divBdr>
      <w:divsChild>
        <w:div w:id="137843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4587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906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1355281">
      <w:bodyDiv w:val="1"/>
      <w:marLeft w:val="0"/>
      <w:marRight w:val="0"/>
      <w:marTop w:val="0"/>
      <w:marBottom w:val="0"/>
      <w:divBdr>
        <w:top w:val="none" w:sz="0" w:space="0" w:color="auto"/>
        <w:left w:val="none" w:sz="0" w:space="0" w:color="auto"/>
        <w:bottom w:val="none" w:sz="0" w:space="0" w:color="auto"/>
        <w:right w:val="none" w:sz="0" w:space="0" w:color="auto"/>
      </w:divBdr>
      <w:divsChild>
        <w:div w:id="1655717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4556319">
      <w:bodyDiv w:val="1"/>
      <w:marLeft w:val="0"/>
      <w:marRight w:val="0"/>
      <w:marTop w:val="0"/>
      <w:marBottom w:val="0"/>
      <w:divBdr>
        <w:top w:val="none" w:sz="0" w:space="0" w:color="auto"/>
        <w:left w:val="none" w:sz="0" w:space="0" w:color="auto"/>
        <w:bottom w:val="none" w:sz="0" w:space="0" w:color="auto"/>
        <w:right w:val="none" w:sz="0" w:space="0" w:color="auto"/>
      </w:divBdr>
      <w:divsChild>
        <w:div w:id="878130923">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91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8872375">
      <w:bodyDiv w:val="1"/>
      <w:marLeft w:val="0"/>
      <w:marRight w:val="0"/>
      <w:marTop w:val="0"/>
      <w:marBottom w:val="0"/>
      <w:divBdr>
        <w:top w:val="none" w:sz="0" w:space="0" w:color="auto"/>
        <w:left w:val="none" w:sz="0" w:space="0" w:color="auto"/>
        <w:bottom w:val="none" w:sz="0" w:space="0" w:color="auto"/>
        <w:right w:val="none" w:sz="0" w:space="0" w:color="auto"/>
      </w:divBdr>
    </w:div>
    <w:div w:id="1979414707">
      <w:bodyDiv w:val="1"/>
      <w:marLeft w:val="0"/>
      <w:marRight w:val="0"/>
      <w:marTop w:val="0"/>
      <w:marBottom w:val="0"/>
      <w:divBdr>
        <w:top w:val="none" w:sz="0" w:space="0" w:color="auto"/>
        <w:left w:val="none" w:sz="0" w:space="0" w:color="auto"/>
        <w:bottom w:val="none" w:sz="0" w:space="0" w:color="auto"/>
        <w:right w:val="none" w:sz="0" w:space="0" w:color="auto"/>
      </w:divBdr>
    </w:div>
    <w:div w:id="1980574726">
      <w:bodyDiv w:val="1"/>
      <w:marLeft w:val="0"/>
      <w:marRight w:val="0"/>
      <w:marTop w:val="0"/>
      <w:marBottom w:val="0"/>
      <w:divBdr>
        <w:top w:val="none" w:sz="0" w:space="0" w:color="auto"/>
        <w:left w:val="none" w:sz="0" w:space="0" w:color="auto"/>
        <w:bottom w:val="none" w:sz="0" w:space="0" w:color="auto"/>
        <w:right w:val="none" w:sz="0" w:space="0" w:color="auto"/>
      </w:divBdr>
    </w:div>
    <w:div w:id="1983463620">
      <w:bodyDiv w:val="1"/>
      <w:marLeft w:val="0"/>
      <w:marRight w:val="0"/>
      <w:marTop w:val="0"/>
      <w:marBottom w:val="0"/>
      <w:divBdr>
        <w:top w:val="none" w:sz="0" w:space="0" w:color="auto"/>
        <w:left w:val="none" w:sz="0" w:space="0" w:color="auto"/>
        <w:bottom w:val="none" w:sz="0" w:space="0" w:color="auto"/>
        <w:right w:val="none" w:sz="0" w:space="0" w:color="auto"/>
      </w:divBdr>
      <w:divsChild>
        <w:div w:id="2076005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9046387">
      <w:bodyDiv w:val="1"/>
      <w:marLeft w:val="0"/>
      <w:marRight w:val="0"/>
      <w:marTop w:val="0"/>
      <w:marBottom w:val="0"/>
      <w:divBdr>
        <w:top w:val="none" w:sz="0" w:space="0" w:color="auto"/>
        <w:left w:val="none" w:sz="0" w:space="0" w:color="auto"/>
        <w:bottom w:val="none" w:sz="0" w:space="0" w:color="auto"/>
        <w:right w:val="none" w:sz="0" w:space="0" w:color="auto"/>
      </w:divBdr>
    </w:div>
    <w:div w:id="2000036173">
      <w:bodyDiv w:val="1"/>
      <w:marLeft w:val="0"/>
      <w:marRight w:val="0"/>
      <w:marTop w:val="0"/>
      <w:marBottom w:val="0"/>
      <w:divBdr>
        <w:top w:val="none" w:sz="0" w:space="0" w:color="auto"/>
        <w:left w:val="none" w:sz="0" w:space="0" w:color="auto"/>
        <w:bottom w:val="none" w:sz="0" w:space="0" w:color="auto"/>
        <w:right w:val="none" w:sz="0" w:space="0" w:color="auto"/>
      </w:divBdr>
    </w:div>
    <w:div w:id="2012442266">
      <w:bodyDiv w:val="1"/>
      <w:marLeft w:val="0"/>
      <w:marRight w:val="0"/>
      <w:marTop w:val="0"/>
      <w:marBottom w:val="0"/>
      <w:divBdr>
        <w:top w:val="none" w:sz="0" w:space="0" w:color="auto"/>
        <w:left w:val="none" w:sz="0" w:space="0" w:color="auto"/>
        <w:bottom w:val="none" w:sz="0" w:space="0" w:color="auto"/>
        <w:right w:val="none" w:sz="0" w:space="0" w:color="auto"/>
      </w:divBdr>
      <w:divsChild>
        <w:div w:id="565333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064259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38151">
      <w:bodyDiv w:val="1"/>
      <w:marLeft w:val="0"/>
      <w:marRight w:val="0"/>
      <w:marTop w:val="0"/>
      <w:marBottom w:val="0"/>
      <w:divBdr>
        <w:top w:val="none" w:sz="0" w:space="0" w:color="auto"/>
        <w:left w:val="none" w:sz="0" w:space="0" w:color="auto"/>
        <w:bottom w:val="none" w:sz="0" w:space="0" w:color="auto"/>
        <w:right w:val="none" w:sz="0" w:space="0" w:color="auto"/>
      </w:divBdr>
      <w:divsChild>
        <w:div w:id="1890531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5351899">
      <w:bodyDiv w:val="1"/>
      <w:marLeft w:val="0"/>
      <w:marRight w:val="0"/>
      <w:marTop w:val="0"/>
      <w:marBottom w:val="0"/>
      <w:divBdr>
        <w:top w:val="none" w:sz="0" w:space="0" w:color="auto"/>
        <w:left w:val="none" w:sz="0" w:space="0" w:color="auto"/>
        <w:bottom w:val="none" w:sz="0" w:space="0" w:color="auto"/>
        <w:right w:val="none" w:sz="0" w:space="0" w:color="auto"/>
      </w:divBdr>
      <w:divsChild>
        <w:div w:id="53284422">
          <w:blockQuote w:val="1"/>
          <w:marLeft w:val="720"/>
          <w:marRight w:val="720"/>
          <w:marTop w:val="100"/>
          <w:marBottom w:val="100"/>
          <w:divBdr>
            <w:top w:val="none" w:sz="0" w:space="0" w:color="auto"/>
            <w:left w:val="none" w:sz="0" w:space="0" w:color="auto"/>
            <w:bottom w:val="none" w:sz="0" w:space="0" w:color="auto"/>
            <w:right w:val="none" w:sz="0" w:space="0" w:color="auto"/>
          </w:divBdr>
        </w:div>
        <w:div w:id="262694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0175185">
      <w:bodyDiv w:val="1"/>
      <w:marLeft w:val="0"/>
      <w:marRight w:val="0"/>
      <w:marTop w:val="0"/>
      <w:marBottom w:val="0"/>
      <w:divBdr>
        <w:top w:val="none" w:sz="0" w:space="0" w:color="auto"/>
        <w:left w:val="none" w:sz="0" w:space="0" w:color="auto"/>
        <w:bottom w:val="none" w:sz="0" w:space="0" w:color="auto"/>
        <w:right w:val="none" w:sz="0" w:space="0" w:color="auto"/>
      </w:divBdr>
      <w:divsChild>
        <w:div w:id="426855700">
          <w:marLeft w:val="0"/>
          <w:marRight w:val="0"/>
          <w:marTop w:val="0"/>
          <w:marBottom w:val="0"/>
          <w:divBdr>
            <w:top w:val="none" w:sz="0" w:space="0" w:color="auto"/>
            <w:left w:val="none" w:sz="0" w:space="0" w:color="auto"/>
            <w:bottom w:val="none" w:sz="0" w:space="0" w:color="auto"/>
            <w:right w:val="none" w:sz="0" w:space="0" w:color="auto"/>
          </w:divBdr>
        </w:div>
        <w:div w:id="640042996">
          <w:marLeft w:val="0"/>
          <w:marRight w:val="0"/>
          <w:marTop w:val="0"/>
          <w:marBottom w:val="0"/>
          <w:divBdr>
            <w:top w:val="none" w:sz="0" w:space="0" w:color="auto"/>
            <w:left w:val="none" w:sz="0" w:space="0" w:color="auto"/>
            <w:bottom w:val="none" w:sz="0" w:space="0" w:color="auto"/>
            <w:right w:val="none" w:sz="0" w:space="0" w:color="auto"/>
          </w:divBdr>
        </w:div>
      </w:divsChild>
    </w:div>
    <w:div w:id="2031754286">
      <w:bodyDiv w:val="1"/>
      <w:marLeft w:val="0"/>
      <w:marRight w:val="0"/>
      <w:marTop w:val="0"/>
      <w:marBottom w:val="0"/>
      <w:divBdr>
        <w:top w:val="none" w:sz="0" w:space="0" w:color="auto"/>
        <w:left w:val="none" w:sz="0" w:space="0" w:color="auto"/>
        <w:bottom w:val="none" w:sz="0" w:space="0" w:color="auto"/>
        <w:right w:val="none" w:sz="0" w:space="0" w:color="auto"/>
      </w:divBdr>
    </w:div>
    <w:div w:id="2034258675">
      <w:bodyDiv w:val="1"/>
      <w:marLeft w:val="0"/>
      <w:marRight w:val="0"/>
      <w:marTop w:val="0"/>
      <w:marBottom w:val="0"/>
      <w:divBdr>
        <w:top w:val="none" w:sz="0" w:space="0" w:color="auto"/>
        <w:left w:val="none" w:sz="0" w:space="0" w:color="auto"/>
        <w:bottom w:val="none" w:sz="0" w:space="0" w:color="auto"/>
        <w:right w:val="none" w:sz="0" w:space="0" w:color="auto"/>
      </w:divBdr>
      <w:divsChild>
        <w:div w:id="1153137846">
          <w:blockQuote w:val="1"/>
          <w:marLeft w:val="720"/>
          <w:marRight w:val="720"/>
          <w:marTop w:val="100"/>
          <w:marBottom w:val="100"/>
          <w:divBdr>
            <w:top w:val="none" w:sz="0" w:space="0" w:color="auto"/>
            <w:left w:val="none" w:sz="0" w:space="0" w:color="auto"/>
            <w:bottom w:val="none" w:sz="0" w:space="0" w:color="auto"/>
            <w:right w:val="none" w:sz="0" w:space="0" w:color="auto"/>
          </w:divBdr>
        </w:div>
        <w:div w:id="7876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3243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3507769">
      <w:bodyDiv w:val="1"/>
      <w:marLeft w:val="0"/>
      <w:marRight w:val="0"/>
      <w:marTop w:val="0"/>
      <w:marBottom w:val="0"/>
      <w:divBdr>
        <w:top w:val="none" w:sz="0" w:space="0" w:color="auto"/>
        <w:left w:val="none" w:sz="0" w:space="0" w:color="auto"/>
        <w:bottom w:val="none" w:sz="0" w:space="0" w:color="auto"/>
        <w:right w:val="none" w:sz="0" w:space="0" w:color="auto"/>
      </w:divBdr>
      <w:divsChild>
        <w:div w:id="831720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7636473">
      <w:bodyDiv w:val="1"/>
      <w:marLeft w:val="0"/>
      <w:marRight w:val="0"/>
      <w:marTop w:val="0"/>
      <w:marBottom w:val="0"/>
      <w:divBdr>
        <w:top w:val="none" w:sz="0" w:space="0" w:color="auto"/>
        <w:left w:val="none" w:sz="0" w:space="0" w:color="auto"/>
        <w:bottom w:val="none" w:sz="0" w:space="0" w:color="auto"/>
        <w:right w:val="none" w:sz="0" w:space="0" w:color="auto"/>
      </w:divBdr>
    </w:div>
    <w:div w:id="2052220481">
      <w:bodyDiv w:val="1"/>
      <w:marLeft w:val="0"/>
      <w:marRight w:val="0"/>
      <w:marTop w:val="0"/>
      <w:marBottom w:val="0"/>
      <w:divBdr>
        <w:top w:val="none" w:sz="0" w:space="0" w:color="auto"/>
        <w:left w:val="none" w:sz="0" w:space="0" w:color="auto"/>
        <w:bottom w:val="none" w:sz="0" w:space="0" w:color="auto"/>
        <w:right w:val="none" w:sz="0" w:space="0" w:color="auto"/>
      </w:divBdr>
      <w:divsChild>
        <w:div w:id="15399279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954445">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504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9455170">
      <w:bodyDiv w:val="1"/>
      <w:marLeft w:val="0"/>
      <w:marRight w:val="0"/>
      <w:marTop w:val="0"/>
      <w:marBottom w:val="0"/>
      <w:divBdr>
        <w:top w:val="none" w:sz="0" w:space="0" w:color="auto"/>
        <w:left w:val="none" w:sz="0" w:space="0" w:color="auto"/>
        <w:bottom w:val="none" w:sz="0" w:space="0" w:color="auto"/>
        <w:right w:val="none" w:sz="0" w:space="0" w:color="auto"/>
      </w:divBdr>
    </w:div>
    <w:div w:id="2076320023">
      <w:bodyDiv w:val="1"/>
      <w:marLeft w:val="0"/>
      <w:marRight w:val="0"/>
      <w:marTop w:val="0"/>
      <w:marBottom w:val="0"/>
      <w:divBdr>
        <w:top w:val="none" w:sz="0" w:space="0" w:color="auto"/>
        <w:left w:val="none" w:sz="0" w:space="0" w:color="auto"/>
        <w:bottom w:val="none" w:sz="0" w:space="0" w:color="auto"/>
        <w:right w:val="none" w:sz="0" w:space="0" w:color="auto"/>
      </w:divBdr>
    </w:div>
    <w:div w:id="2085761463">
      <w:bodyDiv w:val="1"/>
      <w:marLeft w:val="0"/>
      <w:marRight w:val="0"/>
      <w:marTop w:val="0"/>
      <w:marBottom w:val="0"/>
      <w:divBdr>
        <w:top w:val="none" w:sz="0" w:space="0" w:color="auto"/>
        <w:left w:val="none" w:sz="0" w:space="0" w:color="auto"/>
        <w:bottom w:val="none" w:sz="0" w:space="0" w:color="auto"/>
        <w:right w:val="none" w:sz="0" w:space="0" w:color="auto"/>
      </w:divBdr>
    </w:div>
    <w:div w:id="2086760283">
      <w:bodyDiv w:val="1"/>
      <w:marLeft w:val="0"/>
      <w:marRight w:val="0"/>
      <w:marTop w:val="0"/>
      <w:marBottom w:val="0"/>
      <w:divBdr>
        <w:top w:val="none" w:sz="0" w:space="0" w:color="auto"/>
        <w:left w:val="none" w:sz="0" w:space="0" w:color="auto"/>
        <w:bottom w:val="none" w:sz="0" w:space="0" w:color="auto"/>
        <w:right w:val="none" w:sz="0" w:space="0" w:color="auto"/>
      </w:divBdr>
      <w:divsChild>
        <w:div w:id="46578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3144265">
      <w:bodyDiv w:val="1"/>
      <w:marLeft w:val="0"/>
      <w:marRight w:val="0"/>
      <w:marTop w:val="0"/>
      <w:marBottom w:val="0"/>
      <w:divBdr>
        <w:top w:val="none" w:sz="0" w:space="0" w:color="auto"/>
        <w:left w:val="none" w:sz="0" w:space="0" w:color="auto"/>
        <w:bottom w:val="none" w:sz="0" w:space="0" w:color="auto"/>
        <w:right w:val="none" w:sz="0" w:space="0" w:color="auto"/>
      </w:divBdr>
      <w:divsChild>
        <w:div w:id="15286362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1160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8790394">
      <w:bodyDiv w:val="1"/>
      <w:marLeft w:val="0"/>
      <w:marRight w:val="0"/>
      <w:marTop w:val="0"/>
      <w:marBottom w:val="0"/>
      <w:divBdr>
        <w:top w:val="none" w:sz="0" w:space="0" w:color="auto"/>
        <w:left w:val="none" w:sz="0" w:space="0" w:color="auto"/>
        <w:bottom w:val="none" w:sz="0" w:space="0" w:color="auto"/>
        <w:right w:val="none" w:sz="0" w:space="0" w:color="auto"/>
      </w:divBdr>
    </w:div>
    <w:div w:id="2120099314">
      <w:bodyDiv w:val="1"/>
      <w:marLeft w:val="0"/>
      <w:marRight w:val="0"/>
      <w:marTop w:val="0"/>
      <w:marBottom w:val="0"/>
      <w:divBdr>
        <w:top w:val="none" w:sz="0" w:space="0" w:color="auto"/>
        <w:left w:val="none" w:sz="0" w:space="0" w:color="auto"/>
        <w:bottom w:val="none" w:sz="0" w:space="0" w:color="auto"/>
        <w:right w:val="none" w:sz="0" w:space="0" w:color="auto"/>
      </w:divBdr>
      <w:divsChild>
        <w:div w:id="7040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1485413">
      <w:bodyDiv w:val="1"/>
      <w:marLeft w:val="0"/>
      <w:marRight w:val="0"/>
      <w:marTop w:val="0"/>
      <w:marBottom w:val="0"/>
      <w:divBdr>
        <w:top w:val="none" w:sz="0" w:space="0" w:color="auto"/>
        <w:left w:val="none" w:sz="0" w:space="0" w:color="auto"/>
        <w:bottom w:val="none" w:sz="0" w:space="0" w:color="auto"/>
        <w:right w:val="none" w:sz="0" w:space="0" w:color="auto"/>
      </w:divBdr>
    </w:div>
    <w:div w:id="214049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notificaciones@gha.com.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lo_ab\Downloads\ALEGATOS%20-%20OMAR%20RESTREPO%20-%20KLGM.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ABF81-F0BA-40BD-B40E-38ADC04B7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ALEGATOS - OMAR RESTREPO - KLGM</Template>
  <TotalTime>605</TotalTime>
  <Pages>1</Pages>
  <Words>8387</Words>
  <Characters>46134</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Gonzalo</dc:creator>
  <cp:keywords/>
  <dc:description/>
  <cp:lastModifiedBy>Eduardo A Misas Castro</cp:lastModifiedBy>
  <cp:revision>13</cp:revision>
  <cp:lastPrinted>2025-06-17T20:57:00Z</cp:lastPrinted>
  <dcterms:created xsi:type="dcterms:W3CDTF">2025-06-17T20:57:00Z</dcterms:created>
  <dcterms:modified xsi:type="dcterms:W3CDTF">2025-06-26T02:34:00Z</dcterms:modified>
</cp:coreProperties>
</file>