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1E0B01" w:rsidRDefault="003314A2" w:rsidP="003314A2">
      <w:pPr>
        <w:spacing w:line="360" w:lineRule="auto"/>
        <w:rPr>
          <w:rFonts w:ascii="Century Gothic" w:hAnsi="Century Gothic"/>
          <w:color w:val="FF0000"/>
          <w:sz w:val="22"/>
          <w:szCs w:val="22"/>
        </w:rPr>
      </w:pPr>
      <w:r w:rsidRPr="001E0B01">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1E0B01"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160D8" w:rsidRPr="001E0B01" w14:paraId="077F9E4D" w14:textId="77777777" w:rsidTr="003827E1">
        <w:trPr>
          <w:trHeight w:val="454"/>
        </w:trPr>
        <w:tc>
          <w:tcPr>
            <w:tcW w:w="4537" w:type="dxa"/>
            <w:vAlign w:val="center"/>
          </w:tcPr>
          <w:p w14:paraId="239BC5A7" w14:textId="7E10D35F" w:rsidR="00F67EF8" w:rsidRPr="001E0B01" w:rsidRDefault="00F67EF8" w:rsidP="003B7F1A">
            <w:pPr>
              <w:spacing w:line="360" w:lineRule="auto"/>
              <w:rPr>
                <w:rFonts w:ascii="Century Gothic" w:hAnsi="Century Gothic"/>
                <w:b/>
                <w:bCs/>
                <w:sz w:val="22"/>
                <w:szCs w:val="22"/>
              </w:rPr>
            </w:pPr>
            <w:r w:rsidRPr="001E0B01">
              <w:rPr>
                <w:rFonts w:ascii="Century Gothic" w:hAnsi="Century Gothic"/>
                <w:b/>
                <w:bCs/>
                <w:sz w:val="22"/>
                <w:szCs w:val="22"/>
              </w:rPr>
              <w:t>Fecha de presentación</w:t>
            </w:r>
          </w:p>
        </w:tc>
        <w:tc>
          <w:tcPr>
            <w:tcW w:w="5670" w:type="dxa"/>
          </w:tcPr>
          <w:p w14:paraId="29FA6EF6" w14:textId="1B44E910" w:rsidR="00F67EF8" w:rsidRPr="001E0B01" w:rsidRDefault="00C94D61" w:rsidP="00F67EF8">
            <w:pPr>
              <w:spacing w:line="276" w:lineRule="auto"/>
              <w:jc w:val="both"/>
              <w:rPr>
                <w:rFonts w:ascii="Century Gothic" w:hAnsi="Century Gothic"/>
                <w:sz w:val="22"/>
                <w:szCs w:val="22"/>
              </w:rPr>
            </w:pPr>
            <w:r>
              <w:rPr>
                <w:rFonts w:ascii="Century Gothic" w:hAnsi="Century Gothic"/>
                <w:sz w:val="22"/>
                <w:szCs w:val="22"/>
              </w:rPr>
              <w:t>2</w:t>
            </w:r>
            <w:r w:rsidR="00D8594D">
              <w:rPr>
                <w:rFonts w:ascii="Century Gothic" w:hAnsi="Century Gothic"/>
                <w:sz w:val="22"/>
                <w:szCs w:val="22"/>
              </w:rPr>
              <w:t>1</w:t>
            </w:r>
            <w:r w:rsidR="002E1D33" w:rsidRPr="001E0B01">
              <w:rPr>
                <w:rFonts w:ascii="Century Gothic" w:hAnsi="Century Gothic"/>
                <w:sz w:val="22"/>
                <w:szCs w:val="22"/>
              </w:rPr>
              <w:t>/0</w:t>
            </w:r>
            <w:r w:rsidR="00154943">
              <w:rPr>
                <w:rFonts w:ascii="Century Gothic" w:hAnsi="Century Gothic"/>
                <w:sz w:val="22"/>
                <w:szCs w:val="22"/>
              </w:rPr>
              <w:t>5</w:t>
            </w:r>
            <w:r w:rsidR="002E1D33" w:rsidRPr="001E0B01">
              <w:rPr>
                <w:rFonts w:ascii="Century Gothic" w:hAnsi="Century Gothic"/>
                <w:sz w:val="22"/>
                <w:szCs w:val="22"/>
              </w:rPr>
              <w:t>/2025</w:t>
            </w:r>
          </w:p>
        </w:tc>
      </w:tr>
      <w:tr w:rsidR="008160D8" w:rsidRPr="001E0B01" w14:paraId="6959AD48" w14:textId="77777777" w:rsidTr="003827E1">
        <w:trPr>
          <w:trHeight w:val="454"/>
        </w:trPr>
        <w:tc>
          <w:tcPr>
            <w:tcW w:w="4537" w:type="dxa"/>
            <w:vAlign w:val="center"/>
          </w:tcPr>
          <w:p w14:paraId="45E895A9" w14:textId="1E20E681" w:rsidR="00F67EF8" w:rsidRPr="001E0B01" w:rsidRDefault="00F67EF8" w:rsidP="003B7F1A">
            <w:pPr>
              <w:spacing w:line="360" w:lineRule="auto"/>
              <w:rPr>
                <w:rFonts w:ascii="Century Gothic" w:hAnsi="Century Gothic"/>
                <w:b/>
                <w:bCs/>
                <w:sz w:val="22"/>
                <w:szCs w:val="22"/>
              </w:rPr>
            </w:pPr>
            <w:r w:rsidRPr="001E0B01">
              <w:rPr>
                <w:rFonts w:ascii="Century Gothic" w:hAnsi="Century Gothic"/>
                <w:b/>
                <w:bCs/>
                <w:sz w:val="22"/>
                <w:szCs w:val="22"/>
              </w:rPr>
              <w:t>Tipo de abogado</w:t>
            </w:r>
          </w:p>
        </w:tc>
        <w:tc>
          <w:tcPr>
            <w:tcW w:w="5670" w:type="dxa"/>
          </w:tcPr>
          <w:p w14:paraId="06C25C40" w14:textId="4AA4E42D" w:rsidR="00F67EF8" w:rsidRPr="001E0B01" w:rsidRDefault="00824209" w:rsidP="00F67EF8">
            <w:pPr>
              <w:spacing w:line="276" w:lineRule="auto"/>
              <w:jc w:val="both"/>
              <w:rPr>
                <w:rFonts w:ascii="Century Gothic" w:hAnsi="Century Gothic"/>
                <w:sz w:val="22"/>
                <w:szCs w:val="22"/>
              </w:rPr>
            </w:pPr>
            <w:r w:rsidRPr="001E0B01">
              <w:rPr>
                <w:rFonts w:ascii="Century Gothic" w:hAnsi="Century Gothic"/>
                <w:sz w:val="22"/>
                <w:szCs w:val="22"/>
              </w:rPr>
              <w:t>EXTERNO</w:t>
            </w:r>
          </w:p>
        </w:tc>
      </w:tr>
      <w:tr w:rsidR="008160D8" w:rsidRPr="001E0B01" w14:paraId="2F6DA3B0" w14:textId="77777777" w:rsidTr="003827E1">
        <w:trPr>
          <w:trHeight w:val="454"/>
        </w:trPr>
        <w:tc>
          <w:tcPr>
            <w:tcW w:w="4537" w:type="dxa"/>
            <w:vAlign w:val="center"/>
          </w:tcPr>
          <w:p w14:paraId="30599F8A" w14:textId="674A8832" w:rsidR="00F67EF8" w:rsidRPr="001E0B01" w:rsidRDefault="00F67EF8" w:rsidP="003B7F1A">
            <w:pPr>
              <w:spacing w:line="360" w:lineRule="auto"/>
              <w:rPr>
                <w:rFonts w:ascii="Century Gothic" w:hAnsi="Century Gothic"/>
                <w:sz w:val="22"/>
                <w:szCs w:val="22"/>
              </w:rPr>
            </w:pPr>
            <w:r w:rsidRPr="001E0B01">
              <w:rPr>
                <w:rFonts w:ascii="Century Gothic" w:hAnsi="Century Gothic"/>
                <w:b/>
                <w:bCs/>
                <w:sz w:val="22"/>
                <w:szCs w:val="22"/>
              </w:rPr>
              <w:t>Aseguradora vinculada al proceso</w:t>
            </w:r>
          </w:p>
        </w:tc>
        <w:tc>
          <w:tcPr>
            <w:tcW w:w="5670" w:type="dxa"/>
          </w:tcPr>
          <w:p w14:paraId="794A38B0" w14:textId="27CBE986" w:rsidR="00F67EF8" w:rsidRPr="001E0B01" w:rsidRDefault="00824209" w:rsidP="00F67EF8">
            <w:pPr>
              <w:spacing w:line="276" w:lineRule="auto"/>
              <w:jc w:val="both"/>
              <w:rPr>
                <w:rFonts w:ascii="Century Gothic" w:hAnsi="Century Gothic"/>
                <w:sz w:val="22"/>
                <w:szCs w:val="22"/>
              </w:rPr>
            </w:pPr>
            <w:r w:rsidRPr="001E0B01">
              <w:rPr>
                <w:rFonts w:ascii="Century Gothic" w:hAnsi="Century Gothic"/>
                <w:sz w:val="22"/>
                <w:szCs w:val="22"/>
              </w:rPr>
              <w:t>GENERALES</w:t>
            </w:r>
          </w:p>
        </w:tc>
      </w:tr>
      <w:tr w:rsidR="008160D8" w:rsidRPr="001E0B01" w14:paraId="490540BB" w14:textId="77777777" w:rsidTr="003827E1">
        <w:trPr>
          <w:trHeight w:val="454"/>
        </w:trPr>
        <w:tc>
          <w:tcPr>
            <w:tcW w:w="4537" w:type="dxa"/>
            <w:vAlign w:val="center"/>
          </w:tcPr>
          <w:p w14:paraId="1C2D5235" w14:textId="2B4007F3"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SGC</w:t>
            </w:r>
          </w:p>
        </w:tc>
        <w:tc>
          <w:tcPr>
            <w:tcW w:w="5670" w:type="dxa"/>
          </w:tcPr>
          <w:p w14:paraId="11B788BC" w14:textId="71EA6578" w:rsidR="00F67EF8" w:rsidRPr="00332250" w:rsidRDefault="00332250" w:rsidP="00332250">
            <w:pPr>
              <w:rPr>
                <w:rFonts w:ascii="Times New Roman" w:eastAsia="Times New Roman" w:hAnsi="Times New Roman" w:cs="Times New Roman"/>
                <w:lang w:val="es-CO" w:eastAsia="es-CO"/>
              </w:rPr>
            </w:pPr>
            <w:r w:rsidRPr="00332250">
              <w:rPr>
                <w:rFonts w:ascii="Century Gothic" w:eastAsia="Times New Roman" w:hAnsi="Century Gothic" w:cs="Times New Roman"/>
                <w:color w:val="000000"/>
                <w:sz w:val="21"/>
                <w:szCs w:val="21"/>
                <w:lang w:val="es-CO" w:eastAsia="es-CO"/>
              </w:rPr>
              <w:t>8741</w:t>
            </w:r>
          </w:p>
        </w:tc>
      </w:tr>
      <w:tr w:rsidR="008160D8" w:rsidRPr="001E0B01" w14:paraId="1D86DF69" w14:textId="77777777" w:rsidTr="003827E1">
        <w:trPr>
          <w:trHeight w:val="454"/>
        </w:trPr>
        <w:tc>
          <w:tcPr>
            <w:tcW w:w="4537" w:type="dxa"/>
            <w:vAlign w:val="center"/>
          </w:tcPr>
          <w:p w14:paraId="699114C2" w14:textId="0BB9EC2F"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Despacho/Juzgado/ Tribunal</w:t>
            </w:r>
          </w:p>
        </w:tc>
        <w:tc>
          <w:tcPr>
            <w:tcW w:w="5670" w:type="dxa"/>
          </w:tcPr>
          <w:p w14:paraId="7DD6339C" w14:textId="23D60CC5" w:rsidR="00F67EF8" w:rsidRPr="001E0B01" w:rsidRDefault="002B6099" w:rsidP="00F67EF8">
            <w:pPr>
              <w:spacing w:line="276" w:lineRule="auto"/>
              <w:jc w:val="both"/>
              <w:rPr>
                <w:rFonts w:ascii="Century Gothic" w:hAnsi="Century Gothic"/>
                <w:sz w:val="22"/>
                <w:szCs w:val="22"/>
              </w:rPr>
            </w:pPr>
            <w:r>
              <w:rPr>
                <w:rFonts w:ascii="Century Gothic" w:hAnsi="Century Gothic"/>
                <w:sz w:val="22"/>
                <w:szCs w:val="22"/>
              </w:rPr>
              <w:t>JUZGADO PRIMERO (1) CIVIL DEL CIRCUITO DE DUITAMA</w:t>
            </w:r>
          </w:p>
        </w:tc>
      </w:tr>
      <w:tr w:rsidR="008160D8" w:rsidRPr="001E0B01" w14:paraId="54742FD8" w14:textId="77777777" w:rsidTr="003827E1">
        <w:trPr>
          <w:trHeight w:val="454"/>
        </w:trPr>
        <w:tc>
          <w:tcPr>
            <w:tcW w:w="4537" w:type="dxa"/>
            <w:vAlign w:val="center"/>
          </w:tcPr>
          <w:p w14:paraId="5A357CCF" w14:textId="3C7FFC83"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 xml:space="preserve">Ciudad </w:t>
            </w:r>
          </w:p>
        </w:tc>
        <w:tc>
          <w:tcPr>
            <w:tcW w:w="5670" w:type="dxa"/>
          </w:tcPr>
          <w:p w14:paraId="5101FDD8" w14:textId="62E9D2B8" w:rsidR="00F67EF8" w:rsidRPr="001E0B01" w:rsidRDefault="002B6099" w:rsidP="00F67EF8">
            <w:pPr>
              <w:spacing w:line="276" w:lineRule="auto"/>
              <w:jc w:val="both"/>
              <w:rPr>
                <w:rFonts w:ascii="Century Gothic" w:hAnsi="Century Gothic"/>
                <w:sz w:val="22"/>
                <w:szCs w:val="22"/>
              </w:rPr>
            </w:pPr>
            <w:r>
              <w:rPr>
                <w:rFonts w:ascii="Century Gothic" w:hAnsi="Century Gothic"/>
                <w:sz w:val="22"/>
                <w:szCs w:val="22"/>
              </w:rPr>
              <w:t>DUITAMA</w:t>
            </w:r>
          </w:p>
        </w:tc>
      </w:tr>
      <w:tr w:rsidR="008160D8" w:rsidRPr="001E0B01" w14:paraId="3983A9CE" w14:textId="77777777" w:rsidTr="003827E1">
        <w:trPr>
          <w:trHeight w:val="454"/>
        </w:trPr>
        <w:tc>
          <w:tcPr>
            <w:tcW w:w="4537" w:type="dxa"/>
            <w:vAlign w:val="center"/>
          </w:tcPr>
          <w:p w14:paraId="7EC7EF81" w14:textId="3CF9A0A9" w:rsidR="00992368" w:rsidRPr="001E0B01" w:rsidRDefault="008E249B" w:rsidP="003B7F1A">
            <w:pPr>
              <w:spacing w:line="276" w:lineRule="auto"/>
              <w:rPr>
                <w:rFonts w:ascii="Century Gothic" w:hAnsi="Century Gothic"/>
                <w:b/>
                <w:bCs/>
                <w:sz w:val="22"/>
                <w:szCs w:val="22"/>
              </w:rPr>
            </w:pPr>
            <w:r w:rsidRPr="001E0B01">
              <w:rPr>
                <w:rFonts w:ascii="Century Gothic" w:hAnsi="Century Gothic"/>
                <w:b/>
                <w:bCs/>
                <w:sz w:val="22"/>
                <w:szCs w:val="22"/>
              </w:rPr>
              <w:t>Radicado completo 23 dígitos</w:t>
            </w:r>
          </w:p>
        </w:tc>
        <w:tc>
          <w:tcPr>
            <w:tcW w:w="5670" w:type="dxa"/>
          </w:tcPr>
          <w:p w14:paraId="573C25D1" w14:textId="264B74BE" w:rsidR="00992368" w:rsidRPr="001E0B01" w:rsidRDefault="002B6099" w:rsidP="00F67EF8">
            <w:pPr>
              <w:spacing w:line="276" w:lineRule="auto"/>
              <w:jc w:val="both"/>
              <w:rPr>
                <w:rFonts w:ascii="Century Gothic" w:hAnsi="Century Gothic"/>
                <w:sz w:val="22"/>
                <w:szCs w:val="22"/>
              </w:rPr>
            </w:pPr>
            <w:r w:rsidRPr="002B6099">
              <w:rPr>
                <w:rFonts w:ascii="Century Gothic" w:eastAsia="Times New Roman" w:hAnsi="Century Gothic" w:cs="Arial"/>
                <w:sz w:val="22"/>
                <w:szCs w:val="22"/>
                <w:lang w:eastAsia="es-CO"/>
              </w:rPr>
              <w:t>15238310300120220008700</w:t>
            </w:r>
            <w:r w:rsidR="00141EC5">
              <w:rPr>
                <w:rFonts w:ascii="Century Gothic" w:eastAsia="Times New Roman" w:hAnsi="Century Gothic" w:cs="Arial"/>
                <w:sz w:val="22"/>
                <w:szCs w:val="22"/>
                <w:lang w:eastAsia="es-CO"/>
              </w:rPr>
              <w:t>*</w:t>
            </w:r>
          </w:p>
        </w:tc>
      </w:tr>
      <w:tr w:rsidR="008160D8" w:rsidRPr="001E0B01" w14:paraId="4A0D8041" w14:textId="77777777" w:rsidTr="003827E1">
        <w:trPr>
          <w:trHeight w:val="454"/>
        </w:trPr>
        <w:tc>
          <w:tcPr>
            <w:tcW w:w="4537" w:type="dxa"/>
            <w:vAlign w:val="center"/>
          </w:tcPr>
          <w:p w14:paraId="6BA2EEB5" w14:textId="7369F36B" w:rsidR="00992368" w:rsidRPr="001E0B01" w:rsidRDefault="00B2787D" w:rsidP="003B7F1A">
            <w:pPr>
              <w:spacing w:line="276" w:lineRule="auto"/>
              <w:rPr>
                <w:rFonts w:ascii="Century Gothic" w:hAnsi="Century Gothic"/>
                <w:b/>
                <w:bCs/>
                <w:sz w:val="22"/>
                <w:szCs w:val="22"/>
              </w:rPr>
            </w:pPr>
            <w:r w:rsidRPr="001E0B01">
              <w:rPr>
                <w:rFonts w:ascii="Century Gothic" w:hAnsi="Century Gothic"/>
                <w:b/>
                <w:bCs/>
                <w:sz w:val="22"/>
                <w:szCs w:val="22"/>
              </w:rPr>
              <w:t>Fecha de notificación</w:t>
            </w:r>
          </w:p>
        </w:tc>
        <w:tc>
          <w:tcPr>
            <w:tcW w:w="5670" w:type="dxa"/>
          </w:tcPr>
          <w:p w14:paraId="64AC88EB" w14:textId="34573FEE" w:rsidR="00992368" w:rsidRPr="001E0B01" w:rsidRDefault="005E4620" w:rsidP="00F67EF8">
            <w:pPr>
              <w:spacing w:line="276" w:lineRule="auto"/>
              <w:jc w:val="both"/>
              <w:rPr>
                <w:rFonts w:ascii="Century Gothic" w:hAnsi="Century Gothic"/>
                <w:sz w:val="22"/>
                <w:szCs w:val="22"/>
              </w:rPr>
            </w:pPr>
            <w:r>
              <w:rPr>
                <w:rFonts w:ascii="Century Gothic" w:hAnsi="Century Gothic"/>
                <w:sz w:val="22"/>
                <w:szCs w:val="22"/>
              </w:rPr>
              <w:t>01/04/2025</w:t>
            </w:r>
          </w:p>
        </w:tc>
      </w:tr>
      <w:tr w:rsidR="008160D8" w:rsidRPr="001E0B01" w14:paraId="028BDD81" w14:textId="77777777" w:rsidTr="003827E1">
        <w:trPr>
          <w:trHeight w:val="454"/>
        </w:trPr>
        <w:tc>
          <w:tcPr>
            <w:tcW w:w="4537" w:type="dxa"/>
            <w:vAlign w:val="center"/>
          </w:tcPr>
          <w:p w14:paraId="74AA3CB7" w14:textId="0154798B" w:rsidR="00992368" w:rsidRPr="001E0B01" w:rsidRDefault="00B2787D" w:rsidP="003B7F1A">
            <w:pPr>
              <w:spacing w:line="276" w:lineRule="auto"/>
              <w:rPr>
                <w:rFonts w:ascii="Century Gothic" w:hAnsi="Century Gothic"/>
                <w:b/>
                <w:bCs/>
                <w:sz w:val="22"/>
                <w:szCs w:val="22"/>
              </w:rPr>
            </w:pPr>
            <w:r w:rsidRPr="001E0B01">
              <w:rPr>
                <w:rFonts w:ascii="Century Gothic" w:hAnsi="Century Gothic"/>
                <w:b/>
                <w:bCs/>
                <w:sz w:val="22"/>
                <w:szCs w:val="22"/>
              </w:rPr>
              <w:t>Fecha vencimiento del término</w:t>
            </w:r>
          </w:p>
        </w:tc>
        <w:tc>
          <w:tcPr>
            <w:tcW w:w="5670" w:type="dxa"/>
          </w:tcPr>
          <w:p w14:paraId="41E82979" w14:textId="08E626E1" w:rsidR="00992368" w:rsidRPr="001E0B01" w:rsidRDefault="002B6099" w:rsidP="00F67EF8">
            <w:pPr>
              <w:spacing w:line="276" w:lineRule="auto"/>
              <w:jc w:val="both"/>
              <w:rPr>
                <w:rFonts w:ascii="Century Gothic" w:hAnsi="Century Gothic"/>
                <w:sz w:val="22"/>
                <w:szCs w:val="22"/>
              </w:rPr>
            </w:pPr>
            <w:r>
              <w:rPr>
                <w:rFonts w:ascii="Century Gothic" w:hAnsi="Century Gothic"/>
                <w:sz w:val="22"/>
                <w:szCs w:val="22"/>
              </w:rPr>
              <w:t>7</w:t>
            </w:r>
            <w:r w:rsidR="00950A8C" w:rsidRPr="001E0B01">
              <w:rPr>
                <w:rFonts w:ascii="Century Gothic" w:hAnsi="Century Gothic"/>
                <w:sz w:val="22"/>
                <w:szCs w:val="22"/>
              </w:rPr>
              <w:t>/0</w:t>
            </w:r>
            <w:r>
              <w:rPr>
                <w:rFonts w:ascii="Century Gothic" w:hAnsi="Century Gothic"/>
                <w:sz w:val="22"/>
                <w:szCs w:val="22"/>
              </w:rPr>
              <w:t>5</w:t>
            </w:r>
            <w:r w:rsidR="00950A8C" w:rsidRPr="001E0B01">
              <w:rPr>
                <w:rFonts w:ascii="Century Gothic" w:hAnsi="Century Gothic"/>
                <w:sz w:val="22"/>
                <w:szCs w:val="22"/>
              </w:rPr>
              <w:t>/202</w:t>
            </w:r>
            <w:r w:rsidR="00DB3F20">
              <w:rPr>
                <w:rFonts w:ascii="Century Gothic" w:hAnsi="Century Gothic"/>
                <w:sz w:val="22"/>
                <w:szCs w:val="22"/>
              </w:rPr>
              <w:t>5</w:t>
            </w:r>
          </w:p>
        </w:tc>
      </w:tr>
    </w:tbl>
    <w:p w14:paraId="619AE562" w14:textId="77777777" w:rsidR="00BA1E5F" w:rsidRPr="001E0B01" w:rsidRDefault="00BA1E5F">
      <w:pPr>
        <w:rPr>
          <w:rFonts w:ascii="Century Gothic" w:hAnsi="Century Gothic"/>
          <w:color w:val="FF0000"/>
          <w:sz w:val="22"/>
          <w:szCs w:val="22"/>
        </w:rPr>
      </w:pPr>
    </w:p>
    <w:p w14:paraId="64A76143" w14:textId="77777777" w:rsidR="00BA1E5F" w:rsidRPr="001E0B01"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160D8" w:rsidRPr="001E0B01" w14:paraId="55765E90" w14:textId="77777777" w:rsidTr="0095378E">
        <w:tc>
          <w:tcPr>
            <w:tcW w:w="10207" w:type="dxa"/>
            <w:shd w:val="clear" w:color="auto" w:fill="C5E0B3" w:themeFill="accent6" w:themeFillTint="66"/>
            <w:vAlign w:val="center"/>
          </w:tcPr>
          <w:p w14:paraId="7B465D4D" w14:textId="5CAE6B68" w:rsidR="00B2787D" w:rsidRPr="001E0B01" w:rsidRDefault="00B2787D" w:rsidP="00B2787D">
            <w:pPr>
              <w:spacing w:line="276" w:lineRule="auto"/>
              <w:jc w:val="center"/>
              <w:rPr>
                <w:rFonts w:ascii="Century Gothic" w:hAnsi="Century Gothic"/>
                <w:sz w:val="22"/>
                <w:szCs w:val="22"/>
              </w:rPr>
            </w:pPr>
            <w:r w:rsidRPr="001E0B01">
              <w:rPr>
                <w:rFonts w:ascii="Century Gothic" w:hAnsi="Century Gothic"/>
                <w:b/>
                <w:bCs/>
                <w:sz w:val="22"/>
                <w:szCs w:val="22"/>
              </w:rPr>
              <w:t>Hechos</w:t>
            </w:r>
            <w:r w:rsidR="007C37D7" w:rsidRPr="001E0B01">
              <w:rPr>
                <w:rFonts w:ascii="Century Gothic" w:hAnsi="Century Gothic"/>
                <w:b/>
                <w:bCs/>
                <w:sz w:val="22"/>
                <w:szCs w:val="22"/>
              </w:rPr>
              <w:t xml:space="preserve"> </w:t>
            </w:r>
            <w:r w:rsidR="007C37D7" w:rsidRPr="001E0B0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160D8" w:rsidRPr="001E0B01" w14:paraId="59EA92D0" w14:textId="77777777" w:rsidTr="006056E7">
        <w:tc>
          <w:tcPr>
            <w:tcW w:w="10207" w:type="dxa"/>
            <w:vAlign w:val="center"/>
          </w:tcPr>
          <w:p w14:paraId="68C9CB77" w14:textId="77777777" w:rsidR="00FD53B3" w:rsidRPr="001E0B01" w:rsidRDefault="00FD53B3" w:rsidP="002E1D33">
            <w:pPr>
              <w:spacing w:line="276" w:lineRule="auto"/>
              <w:rPr>
                <w:rFonts w:ascii="Century Gothic" w:hAnsi="Century Gothic"/>
                <w:sz w:val="22"/>
                <w:szCs w:val="22"/>
              </w:rPr>
            </w:pPr>
          </w:p>
          <w:p w14:paraId="2133981C" w14:textId="4D94BB11" w:rsidR="00CC6D0A" w:rsidRDefault="002E1D33" w:rsidP="00C4153F">
            <w:pPr>
              <w:spacing w:line="276" w:lineRule="auto"/>
              <w:jc w:val="both"/>
              <w:rPr>
                <w:rFonts w:ascii="Century Gothic" w:hAnsi="Century Gothic"/>
                <w:sz w:val="22"/>
                <w:szCs w:val="22"/>
              </w:rPr>
            </w:pPr>
            <w:r w:rsidRPr="001E0B01">
              <w:rPr>
                <w:rFonts w:ascii="Century Gothic" w:hAnsi="Century Gothic"/>
                <w:sz w:val="22"/>
                <w:szCs w:val="22"/>
              </w:rPr>
              <w:t xml:space="preserve">Se trata de un proceso de responsabilidad civil </w:t>
            </w:r>
            <w:r w:rsidR="00C4153F" w:rsidRPr="001E0B01">
              <w:rPr>
                <w:rFonts w:ascii="Century Gothic" w:hAnsi="Century Gothic"/>
                <w:sz w:val="22"/>
                <w:szCs w:val="22"/>
              </w:rPr>
              <w:t>por</w:t>
            </w:r>
            <w:r w:rsidRPr="001E0B01">
              <w:rPr>
                <w:rFonts w:ascii="Century Gothic" w:hAnsi="Century Gothic"/>
                <w:sz w:val="22"/>
                <w:szCs w:val="22"/>
              </w:rPr>
              <w:t xml:space="preserve"> accidente de tránsito</w:t>
            </w:r>
            <w:r w:rsidR="00C4153F" w:rsidRPr="001E0B01">
              <w:rPr>
                <w:rFonts w:ascii="Century Gothic" w:hAnsi="Century Gothic"/>
                <w:sz w:val="22"/>
                <w:szCs w:val="22"/>
              </w:rPr>
              <w:t xml:space="preserve">. </w:t>
            </w:r>
            <w:r w:rsidR="00DB3F20">
              <w:rPr>
                <w:rFonts w:ascii="Century Gothic" w:hAnsi="Century Gothic"/>
                <w:sz w:val="22"/>
                <w:szCs w:val="22"/>
              </w:rPr>
              <w:t xml:space="preserve">El día </w:t>
            </w:r>
            <w:r w:rsidR="002B6099">
              <w:rPr>
                <w:rFonts w:ascii="Century Gothic" w:hAnsi="Century Gothic"/>
                <w:sz w:val="22"/>
                <w:szCs w:val="22"/>
              </w:rPr>
              <w:t>5</w:t>
            </w:r>
            <w:r w:rsidR="00062FD5">
              <w:rPr>
                <w:rFonts w:ascii="Century Gothic" w:hAnsi="Century Gothic"/>
                <w:sz w:val="22"/>
                <w:szCs w:val="22"/>
              </w:rPr>
              <w:t xml:space="preserve"> de</w:t>
            </w:r>
            <w:r w:rsidR="002B6099">
              <w:rPr>
                <w:rFonts w:ascii="Century Gothic" w:hAnsi="Century Gothic"/>
                <w:sz w:val="22"/>
                <w:szCs w:val="22"/>
              </w:rPr>
              <w:t xml:space="preserve"> </w:t>
            </w:r>
            <w:r w:rsidR="00923CD3">
              <w:rPr>
                <w:rFonts w:ascii="Century Gothic" w:hAnsi="Century Gothic"/>
                <w:sz w:val="22"/>
                <w:szCs w:val="22"/>
              </w:rPr>
              <w:t>mayo</w:t>
            </w:r>
            <w:r w:rsidR="00062FD5">
              <w:rPr>
                <w:rFonts w:ascii="Century Gothic" w:hAnsi="Century Gothic"/>
                <w:sz w:val="22"/>
                <w:szCs w:val="22"/>
              </w:rPr>
              <w:t xml:space="preserve"> de 20</w:t>
            </w:r>
            <w:r w:rsidR="00CD73D9">
              <w:rPr>
                <w:rFonts w:ascii="Century Gothic" w:hAnsi="Century Gothic"/>
                <w:sz w:val="22"/>
                <w:szCs w:val="22"/>
              </w:rPr>
              <w:t>20</w:t>
            </w:r>
            <w:r w:rsidR="002B6099">
              <w:rPr>
                <w:rFonts w:ascii="Century Gothic" w:hAnsi="Century Gothic"/>
                <w:sz w:val="22"/>
                <w:szCs w:val="22"/>
              </w:rPr>
              <w:t xml:space="preserve"> </w:t>
            </w:r>
            <w:r w:rsidR="00DB3F20">
              <w:rPr>
                <w:rFonts w:ascii="Century Gothic" w:hAnsi="Century Gothic"/>
                <w:sz w:val="22"/>
                <w:szCs w:val="22"/>
              </w:rPr>
              <w:t>a la altura</w:t>
            </w:r>
            <w:r w:rsidR="00134177">
              <w:rPr>
                <w:rFonts w:ascii="Century Gothic" w:hAnsi="Century Gothic"/>
                <w:sz w:val="22"/>
                <w:szCs w:val="22"/>
              </w:rPr>
              <w:t xml:space="preserve"> de la</w:t>
            </w:r>
            <w:r w:rsidR="00062FD5">
              <w:rPr>
                <w:rFonts w:ascii="Century Gothic" w:hAnsi="Century Gothic"/>
                <w:sz w:val="22"/>
                <w:szCs w:val="22"/>
              </w:rPr>
              <w:t xml:space="preserve"> </w:t>
            </w:r>
            <w:r w:rsidR="002B6099">
              <w:rPr>
                <w:rFonts w:ascii="Century Gothic" w:hAnsi="Century Gothic"/>
                <w:sz w:val="22"/>
                <w:szCs w:val="22"/>
              </w:rPr>
              <w:t>Carrera 17 No 22 – 29</w:t>
            </w:r>
            <w:r w:rsidR="00DB3F20">
              <w:rPr>
                <w:rFonts w:ascii="Century Gothic" w:hAnsi="Century Gothic"/>
                <w:sz w:val="22"/>
                <w:szCs w:val="22"/>
              </w:rPr>
              <w:t xml:space="preserve">, </w:t>
            </w:r>
            <w:r w:rsidR="00062FD5">
              <w:rPr>
                <w:rFonts w:ascii="Century Gothic" w:hAnsi="Century Gothic"/>
                <w:sz w:val="22"/>
                <w:szCs w:val="22"/>
              </w:rPr>
              <w:t xml:space="preserve">la señora </w:t>
            </w:r>
            <w:r w:rsidR="002B6099">
              <w:rPr>
                <w:rFonts w:ascii="Century Gothic" w:hAnsi="Century Gothic"/>
                <w:sz w:val="22"/>
                <w:szCs w:val="22"/>
              </w:rPr>
              <w:t xml:space="preserve">Yolanda León </w:t>
            </w:r>
            <w:r w:rsidR="00915111">
              <w:rPr>
                <w:rFonts w:ascii="Century Gothic" w:hAnsi="Century Gothic"/>
                <w:sz w:val="22"/>
                <w:szCs w:val="22"/>
              </w:rPr>
              <w:t>Ávila</w:t>
            </w:r>
            <w:r w:rsidR="00DB3F20">
              <w:rPr>
                <w:rFonts w:ascii="Century Gothic" w:hAnsi="Century Gothic"/>
                <w:sz w:val="22"/>
                <w:szCs w:val="22"/>
              </w:rPr>
              <w:t xml:space="preserve"> (Demandante) sufrió un accidente cuando se desplazaba como pasajer</w:t>
            </w:r>
            <w:r w:rsidR="00062FD5">
              <w:rPr>
                <w:rFonts w:ascii="Century Gothic" w:hAnsi="Century Gothic"/>
                <w:sz w:val="22"/>
                <w:szCs w:val="22"/>
              </w:rPr>
              <w:t>a</w:t>
            </w:r>
            <w:r w:rsidR="00DB3F20">
              <w:rPr>
                <w:rFonts w:ascii="Century Gothic" w:hAnsi="Century Gothic"/>
                <w:sz w:val="22"/>
                <w:szCs w:val="22"/>
              </w:rPr>
              <w:t xml:space="preserve"> en el vehículo de servicio público de transporte individual – taxi de placa </w:t>
            </w:r>
            <w:r w:rsidR="002B6099">
              <w:rPr>
                <w:rFonts w:ascii="Century Gothic" w:hAnsi="Century Gothic"/>
                <w:sz w:val="22"/>
                <w:szCs w:val="22"/>
              </w:rPr>
              <w:t>XJB209</w:t>
            </w:r>
            <w:r w:rsidR="00CC6D0A">
              <w:rPr>
                <w:rFonts w:ascii="Century Gothic" w:hAnsi="Century Gothic"/>
                <w:sz w:val="22"/>
                <w:szCs w:val="22"/>
              </w:rPr>
              <w:t xml:space="preserve">, </w:t>
            </w:r>
            <w:r w:rsidR="00915111">
              <w:rPr>
                <w:rFonts w:ascii="Century Gothic" w:hAnsi="Century Gothic"/>
                <w:sz w:val="22"/>
                <w:szCs w:val="22"/>
              </w:rPr>
              <w:t>esto cuando se presentó colisión con el vehículo de servicio público – taxi de placa XJA749.</w:t>
            </w:r>
          </w:p>
          <w:p w14:paraId="03ECF060" w14:textId="77777777" w:rsidR="00CC6D0A" w:rsidRDefault="00CC6D0A" w:rsidP="00C4153F">
            <w:pPr>
              <w:spacing w:line="276" w:lineRule="auto"/>
              <w:jc w:val="both"/>
              <w:rPr>
                <w:rFonts w:ascii="Century Gothic" w:hAnsi="Century Gothic"/>
                <w:sz w:val="22"/>
                <w:szCs w:val="22"/>
              </w:rPr>
            </w:pPr>
          </w:p>
          <w:p w14:paraId="1AE0BD4C" w14:textId="20295334" w:rsidR="00C4153F" w:rsidRDefault="00CC6D0A" w:rsidP="00C4153F">
            <w:pPr>
              <w:spacing w:line="276" w:lineRule="auto"/>
              <w:jc w:val="both"/>
              <w:rPr>
                <w:rFonts w:ascii="Century Gothic" w:hAnsi="Century Gothic"/>
                <w:sz w:val="22"/>
                <w:szCs w:val="22"/>
              </w:rPr>
            </w:pPr>
            <w:r>
              <w:rPr>
                <w:rFonts w:ascii="Century Gothic" w:hAnsi="Century Gothic"/>
                <w:sz w:val="22"/>
                <w:szCs w:val="22"/>
              </w:rPr>
              <w:t>Como demandantes funge además de</w:t>
            </w:r>
            <w:r w:rsidR="00062FD5">
              <w:rPr>
                <w:rFonts w:ascii="Century Gothic" w:hAnsi="Century Gothic"/>
                <w:sz w:val="22"/>
                <w:szCs w:val="22"/>
              </w:rPr>
              <w:t xml:space="preserve"> la señora </w:t>
            </w:r>
            <w:r w:rsidR="00915111">
              <w:rPr>
                <w:rFonts w:ascii="Century Gothic" w:hAnsi="Century Gothic"/>
                <w:sz w:val="22"/>
                <w:szCs w:val="22"/>
              </w:rPr>
              <w:t>Yolanda León Ávila</w:t>
            </w:r>
            <w:r>
              <w:rPr>
                <w:rFonts w:ascii="Century Gothic" w:hAnsi="Century Gothic"/>
                <w:sz w:val="22"/>
                <w:szCs w:val="22"/>
              </w:rPr>
              <w:t>, su</w:t>
            </w:r>
            <w:r w:rsidR="00D8594D">
              <w:rPr>
                <w:rFonts w:ascii="Century Gothic" w:hAnsi="Century Gothic"/>
                <w:sz w:val="22"/>
                <w:szCs w:val="22"/>
              </w:rPr>
              <w:t>s</w:t>
            </w:r>
            <w:r>
              <w:rPr>
                <w:rFonts w:ascii="Century Gothic" w:hAnsi="Century Gothic"/>
                <w:sz w:val="22"/>
                <w:szCs w:val="22"/>
              </w:rPr>
              <w:t xml:space="preserve"> </w:t>
            </w:r>
            <w:r w:rsidR="00915111">
              <w:rPr>
                <w:rFonts w:ascii="Century Gothic" w:hAnsi="Century Gothic"/>
                <w:sz w:val="22"/>
                <w:szCs w:val="22"/>
              </w:rPr>
              <w:t xml:space="preserve">hijo el joven Juan Sebastián </w:t>
            </w:r>
            <w:proofErr w:type="spellStart"/>
            <w:r w:rsidR="00915111">
              <w:rPr>
                <w:rFonts w:ascii="Century Gothic" w:hAnsi="Century Gothic"/>
                <w:sz w:val="22"/>
                <w:szCs w:val="22"/>
              </w:rPr>
              <w:t>Ospitia</w:t>
            </w:r>
            <w:proofErr w:type="spellEnd"/>
            <w:r w:rsidR="00915111">
              <w:rPr>
                <w:rFonts w:ascii="Century Gothic" w:hAnsi="Century Gothic"/>
                <w:sz w:val="22"/>
                <w:szCs w:val="22"/>
              </w:rPr>
              <w:t xml:space="preserve"> León</w:t>
            </w:r>
            <w:r w:rsidR="00D8594D">
              <w:rPr>
                <w:rFonts w:ascii="Century Gothic" w:hAnsi="Century Gothic"/>
                <w:sz w:val="22"/>
                <w:szCs w:val="22"/>
              </w:rPr>
              <w:t xml:space="preserve">, Michael </w:t>
            </w:r>
            <w:proofErr w:type="spellStart"/>
            <w:r w:rsidR="00D8594D">
              <w:rPr>
                <w:rFonts w:ascii="Century Gothic" w:hAnsi="Century Gothic"/>
                <w:sz w:val="22"/>
                <w:szCs w:val="22"/>
              </w:rPr>
              <w:t>Jordyn</w:t>
            </w:r>
            <w:proofErr w:type="spellEnd"/>
            <w:r w:rsidR="00D8594D">
              <w:rPr>
                <w:rFonts w:ascii="Century Gothic" w:hAnsi="Century Gothic"/>
                <w:sz w:val="22"/>
                <w:szCs w:val="22"/>
              </w:rPr>
              <w:t xml:space="preserve"> </w:t>
            </w:r>
            <w:proofErr w:type="spellStart"/>
            <w:r w:rsidR="00D8594D">
              <w:rPr>
                <w:rFonts w:ascii="Century Gothic" w:hAnsi="Century Gothic"/>
                <w:sz w:val="22"/>
                <w:szCs w:val="22"/>
              </w:rPr>
              <w:t>Ospitia</w:t>
            </w:r>
            <w:proofErr w:type="spellEnd"/>
            <w:r w:rsidR="00D8594D">
              <w:rPr>
                <w:rFonts w:ascii="Century Gothic" w:hAnsi="Century Gothic"/>
                <w:sz w:val="22"/>
                <w:szCs w:val="22"/>
              </w:rPr>
              <w:t xml:space="preserve"> León (demanda acumulada)</w:t>
            </w:r>
            <w:r w:rsidR="00062FD5">
              <w:rPr>
                <w:rFonts w:ascii="Century Gothic" w:hAnsi="Century Gothic"/>
                <w:sz w:val="22"/>
                <w:szCs w:val="22"/>
              </w:rPr>
              <w:t xml:space="preserve">, su </w:t>
            </w:r>
            <w:r w:rsidR="00915111">
              <w:rPr>
                <w:rFonts w:ascii="Century Gothic" w:hAnsi="Century Gothic"/>
                <w:sz w:val="22"/>
                <w:szCs w:val="22"/>
              </w:rPr>
              <w:t xml:space="preserve">esposo el señor </w:t>
            </w:r>
            <w:proofErr w:type="spellStart"/>
            <w:r w:rsidR="00915111">
              <w:rPr>
                <w:rFonts w:ascii="Century Gothic" w:hAnsi="Century Gothic"/>
                <w:sz w:val="22"/>
                <w:szCs w:val="22"/>
              </w:rPr>
              <w:t>Aristides</w:t>
            </w:r>
            <w:proofErr w:type="spellEnd"/>
            <w:r w:rsidR="00915111">
              <w:rPr>
                <w:rFonts w:ascii="Century Gothic" w:hAnsi="Century Gothic"/>
                <w:sz w:val="22"/>
                <w:szCs w:val="22"/>
              </w:rPr>
              <w:t xml:space="preserve"> </w:t>
            </w:r>
            <w:proofErr w:type="spellStart"/>
            <w:r w:rsidR="00915111">
              <w:rPr>
                <w:rFonts w:ascii="Century Gothic" w:hAnsi="Century Gothic"/>
                <w:sz w:val="22"/>
                <w:szCs w:val="22"/>
              </w:rPr>
              <w:t>Ospitia</w:t>
            </w:r>
            <w:proofErr w:type="spellEnd"/>
            <w:r w:rsidR="00062FD5">
              <w:rPr>
                <w:rFonts w:ascii="Century Gothic" w:hAnsi="Century Gothic"/>
                <w:sz w:val="22"/>
                <w:szCs w:val="22"/>
              </w:rPr>
              <w:t>,</w:t>
            </w:r>
            <w:r w:rsidR="00595847">
              <w:rPr>
                <w:rFonts w:ascii="Century Gothic" w:hAnsi="Century Gothic"/>
                <w:sz w:val="22"/>
                <w:szCs w:val="22"/>
              </w:rPr>
              <w:t xml:space="preserve"> </w:t>
            </w:r>
            <w:r w:rsidR="001600B2">
              <w:rPr>
                <w:rFonts w:ascii="Century Gothic" w:hAnsi="Century Gothic"/>
                <w:sz w:val="22"/>
                <w:szCs w:val="22"/>
              </w:rPr>
              <w:t>quienes alegan</w:t>
            </w:r>
            <w:r w:rsidR="00595847">
              <w:rPr>
                <w:rFonts w:ascii="Century Gothic" w:hAnsi="Century Gothic"/>
                <w:sz w:val="22"/>
                <w:szCs w:val="22"/>
              </w:rPr>
              <w:t xml:space="preserve"> perjuicios extrapatrimoniales de carácter moral</w:t>
            </w:r>
            <w:r w:rsidR="00915111">
              <w:rPr>
                <w:rFonts w:ascii="Century Gothic" w:hAnsi="Century Gothic"/>
                <w:sz w:val="22"/>
                <w:szCs w:val="22"/>
              </w:rPr>
              <w:t>, daño a la vida en relación, perjuicios fisiológicos en la salud mental, lesiones personales – daño a la salud y lucro cesante.</w:t>
            </w:r>
          </w:p>
          <w:p w14:paraId="2FCDC5B9" w14:textId="042705EE" w:rsidR="00915111" w:rsidRDefault="00915111" w:rsidP="00C4153F">
            <w:pPr>
              <w:spacing w:line="276" w:lineRule="auto"/>
              <w:jc w:val="both"/>
              <w:rPr>
                <w:rFonts w:ascii="Century Gothic" w:hAnsi="Century Gothic"/>
                <w:sz w:val="22"/>
                <w:szCs w:val="22"/>
              </w:rPr>
            </w:pPr>
          </w:p>
          <w:p w14:paraId="681B2605" w14:textId="6F0CFB94" w:rsidR="00915111" w:rsidRDefault="00915111" w:rsidP="00C4153F">
            <w:pPr>
              <w:spacing w:line="276" w:lineRule="auto"/>
              <w:jc w:val="both"/>
              <w:rPr>
                <w:rFonts w:ascii="Century Gothic" w:hAnsi="Century Gothic"/>
                <w:sz w:val="22"/>
                <w:szCs w:val="22"/>
              </w:rPr>
            </w:pPr>
            <w:r>
              <w:rPr>
                <w:rFonts w:ascii="Century Gothic" w:hAnsi="Century Gothic"/>
                <w:sz w:val="22"/>
                <w:szCs w:val="22"/>
              </w:rPr>
              <w:t xml:space="preserve">Como demandados se encuentra el señor Oscar Javier Botia González (Conductor y propietario vehículo XJA749), el señor </w:t>
            </w:r>
            <w:proofErr w:type="spellStart"/>
            <w:r>
              <w:rPr>
                <w:rFonts w:ascii="Century Gothic" w:hAnsi="Century Gothic"/>
                <w:sz w:val="22"/>
                <w:szCs w:val="22"/>
              </w:rPr>
              <w:t>Feli</w:t>
            </w:r>
            <w:r w:rsidR="00BF6B7B">
              <w:rPr>
                <w:rFonts w:ascii="Century Gothic" w:hAnsi="Century Gothic"/>
                <w:sz w:val="22"/>
                <w:szCs w:val="22"/>
              </w:rPr>
              <w:t>x</w:t>
            </w:r>
            <w:proofErr w:type="spellEnd"/>
            <w:r>
              <w:rPr>
                <w:rFonts w:ascii="Century Gothic" w:hAnsi="Century Gothic"/>
                <w:sz w:val="22"/>
                <w:szCs w:val="22"/>
              </w:rPr>
              <w:t xml:space="preserve"> Antonio Pérez Gómez (Conductor </w:t>
            </w:r>
            <w:r w:rsidR="009860A7">
              <w:rPr>
                <w:rFonts w:ascii="Century Gothic" w:hAnsi="Century Gothic"/>
                <w:sz w:val="22"/>
                <w:szCs w:val="22"/>
              </w:rPr>
              <w:t xml:space="preserve">y propietario </w:t>
            </w:r>
            <w:r>
              <w:rPr>
                <w:rFonts w:ascii="Century Gothic" w:hAnsi="Century Gothic"/>
                <w:sz w:val="22"/>
                <w:szCs w:val="22"/>
              </w:rPr>
              <w:t>vehículo XJA209), el señor Pedro Elías Pérez Gómez (Propietario vehículo XJA209), la Cooperativa de Transportadores Flotax Duitama (empresa afiliadora vehículo XJA7</w:t>
            </w:r>
            <w:r w:rsidR="0059278A">
              <w:rPr>
                <w:rFonts w:ascii="Century Gothic" w:hAnsi="Century Gothic"/>
                <w:sz w:val="22"/>
                <w:szCs w:val="22"/>
              </w:rPr>
              <w:t>4</w:t>
            </w:r>
            <w:r>
              <w:rPr>
                <w:rFonts w:ascii="Century Gothic" w:hAnsi="Century Gothic"/>
                <w:sz w:val="22"/>
                <w:szCs w:val="22"/>
              </w:rPr>
              <w:t>9), La Asociación de Propietarios de Taxis Individuales de Duitama (Empresa afiliadora vehículo XJA209)</w:t>
            </w:r>
          </w:p>
          <w:p w14:paraId="1B3E1435" w14:textId="2F798E28" w:rsidR="002D350B" w:rsidRDefault="002D350B" w:rsidP="00C4153F">
            <w:pPr>
              <w:spacing w:line="276" w:lineRule="auto"/>
              <w:jc w:val="both"/>
              <w:rPr>
                <w:rFonts w:ascii="Century Gothic" w:hAnsi="Century Gothic"/>
                <w:sz w:val="22"/>
                <w:szCs w:val="22"/>
              </w:rPr>
            </w:pPr>
          </w:p>
          <w:p w14:paraId="654F66BA" w14:textId="70F804E8" w:rsidR="00CC6D0A" w:rsidRDefault="00CC6D0A" w:rsidP="00C4153F">
            <w:pPr>
              <w:spacing w:line="276" w:lineRule="auto"/>
              <w:jc w:val="both"/>
              <w:rPr>
                <w:rFonts w:ascii="Century Gothic" w:hAnsi="Century Gothic"/>
                <w:sz w:val="22"/>
                <w:szCs w:val="22"/>
              </w:rPr>
            </w:pPr>
            <w:r>
              <w:rPr>
                <w:rFonts w:ascii="Century Gothic" w:hAnsi="Century Gothic"/>
                <w:sz w:val="22"/>
                <w:szCs w:val="22"/>
              </w:rPr>
              <w:lastRenderedPageBreak/>
              <w:t>En el Informe Policial de Accidente de Tránsito IPAT, qued</w:t>
            </w:r>
            <w:r w:rsidR="00595847">
              <w:rPr>
                <w:rFonts w:ascii="Century Gothic" w:hAnsi="Century Gothic"/>
                <w:sz w:val="22"/>
                <w:szCs w:val="22"/>
              </w:rPr>
              <w:t>ó</w:t>
            </w:r>
            <w:r>
              <w:rPr>
                <w:rFonts w:ascii="Century Gothic" w:hAnsi="Century Gothic"/>
                <w:sz w:val="22"/>
                <w:szCs w:val="22"/>
              </w:rPr>
              <w:t xml:space="preserve"> relacionada la hipótesis </w:t>
            </w:r>
            <w:r w:rsidR="009860A7">
              <w:rPr>
                <w:rFonts w:ascii="Century Gothic" w:hAnsi="Century Gothic"/>
                <w:sz w:val="22"/>
                <w:szCs w:val="22"/>
              </w:rPr>
              <w:t>202</w:t>
            </w:r>
            <w:r>
              <w:rPr>
                <w:rFonts w:ascii="Century Gothic" w:hAnsi="Century Gothic"/>
                <w:sz w:val="22"/>
                <w:szCs w:val="22"/>
              </w:rPr>
              <w:t xml:space="preserve"> (</w:t>
            </w:r>
            <w:r w:rsidR="009860A7">
              <w:rPr>
                <w:rFonts w:ascii="Century Gothic" w:hAnsi="Century Gothic"/>
                <w:sz w:val="22"/>
                <w:szCs w:val="22"/>
              </w:rPr>
              <w:t>Falla en los frenos</w:t>
            </w:r>
            <w:r w:rsidR="00BB7717">
              <w:rPr>
                <w:rFonts w:ascii="Century Gothic" w:hAnsi="Century Gothic"/>
                <w:sz w:val="22"/>
                <w:szCs w:val="22"/>
              </w:rPr>
              <w:t>)</w:t>
            </w:r>
            <w:r w:rsidR="00595847">
              <w:rPr>
                <w:rFonts w:ascii="Century Gothic" w:hAnsi="Century Gothic"/>
                <w:sz w:val="22"/>
                <w:szCs w:val="22"/>
              </w:rPr>
              <w:t xml:space="preserve"> para el vehículo</w:t>
            </w:r>
            <w:r w:rsidR="009860A7">
              <w:rPr>
                <w:rFonts w:ascii="Century Gothic" w:hAnsi="Century Gothic"/>
                <w:sz w:val="22"/>
                <w:szCs w:val="22"/>
              </w:rPr>
              <w:t xml:space="preserve"> asegurado de placa XJA749</w:t>
            </w:r>
            <w:r w:rsidR="00BB7717">
              <w:rPr>
                <w:rFonts w:ascii="Century Gothic" w:hAnsi="Century Gothic"/>
                <w:sz w:val="22"/>
                <w:szCs w:val="22"/>
              </w:rPr>
              <w:t xml:space="preserve">. </w:t>
            </w:r>
            <w:r w:rsidR="00595847">
              <w:rPr>
                <w:rFonts w:ascii="Century Gothic" w:hAnsi="Century Gothic"/>
                <w:sz w:val="22"/>
                <w:szCs w:val="22"/>
              </w:rPr>
              <w:t xml:space="preserve">En este evento </w:t>
            </w:r>
            <w:r w:rsidR="009860A7">
              <w:rPr>
                <w:rFonts w:ascii="Century Gothic" w:hAnsi="Century Gothic"/>
                <w:sz w:val="22"/>
                <w:szCs w:val="22"/>
              </w:rPr>
              <w:t>solo se presentó una persona lesionada correspondiente a la señora Yolanda León quien era pasajera del vehículo de placa XJA209.</w:t>
            </w:r>
          </w:p>
          <w:p w14:paraId="1BDA5DE1" w14:textId="601C5BD8" w:rsidR="00595847" w:rsidRDefault="00595847" w:rsidP="00C4153F">
            <w:pPr>
              <w:spacing w:line="276" w:lineRule="auto"/>
              <w:jc w:val="both"/>
              <w:rPr>
                <w:rFonts w:ascii="Century Gothic" w:hAnsi="Century Gothic"/>
                <w:sz w:val="22"/>
                <w:szCs w:val="22"/>
              </w:rPr>
            </w:pPr>
          </w:p>
          <w:p w14:paraId="16963FC0" w14:textId="7BA46F3B" w:rsidR="00595847" w:rsidRDefault="00BB7717" w:rsidP="00C4153F">
            <w:pPr>
              <w:spacing w:line="276" w:lineRule="auto"/>
              <w:jc w:val="both"/>
              <w:rPr>
                <w:rFonts w:ascii="Century Gothic" w:hAnsi="Century Gothic"/>
                <w:sz w:val="22"/>
                <w:szCs w:val="22"/>
              </w:rPr>
            </w:pPr>
            <w:r>
              <w:rPr>
                <w:rFonts w:ascii="Century Gothic" w:hAnsi="Century Gothic"/>
                <w:sz w:val="22"/>
                <w:szCs w:val="22"/>
              </w:rPr>
              <w:t xml:space="preserve">La señora </w:t>
            </w:r>
            <w:r w:rsidR="009860A7">
              <w:rPr>
                <w:rFonts w:ascii="Century Gothic" w:hAnsi="Century Gothic"/>
                <w:sz w:val="22"/>
                <w:szCs w:val="22"/>
              </w:rPr>
              <w:t xml:space="preserve">Yolanda León según consta en la </w:t>
            </w:r>
            <w:r w:rsidR="00631BF8">
              <w:rPr>
                <w:rFonts w:ascii="Century Gothic" w:hAnsi="Century Gothic"/>
                <w:sz w:val="22"/>
                <w:szCs w:val="22"/>
              </w:rPr>
              <w:t>demanda presentó</w:t>
            </w:r>
            <w:r w:rsidR="009860A7">
              <w:rPr>
                <w:rFonts w:ascii="Century Gothic" w:hAnsi="Century Gothic"/>
                <w:sz w:val="22"/>
                <w:szCs w:val="22"/>
              </w:rPr>
              <w:t xml:space="preserve"> fractura de hueso humero de su brazo derecho, cicatriz de tipo quirúrgico en la cara externa del brazo</w:t>
            </w:r>
            <w:r w:rsidR="00631BF8">
              <w:rPr>
                <w:rFonts w:ascii="Century Gothic" w:hAnsi="Century Gothic"/>
                <w:sz w:val="22"/>
                <w:szCs w:val="22"/>
              </w:rPr>
              <w:t>, con una incapacidad médico legal de 50 días otorgada el 23 de abril de 2021 y otros 50 días otorgados en examen del 21 de abril de 2022 donde se el ICMLCF refiere que presentó deformidad física que afecta el cuerpo de carácter permanente, perturbación funcional de miembro derecho de carácter transitorio.</w:t>
            </w:r>
          </w:p>
          <w:p w14:paraId="76F60C99" w14:textId="77777777" w:rsidR="00134177" w:rsidRDefault="00134177" w:rsidP="00C4153F">
            <w:pPr>
              <w:spacing w:line="276" w:lineRule="auto"/>
              <w:jc w:val="both"/>
              <w:rPr>
                <w:rFonts w:ascii="Century Gothic" w:hAnsi="Century Gothic"/>
                <w:sz w:val="22"/>
                <w:szCs w:val="22"/>
              </w:rPr>
            </w:pPr>
          </w:p>
          <w:p w14:paraId="2AB80F1C" w14:textId="1F610A70" w:rsidR="002D350B" w:rsidRPr="001E0B01" w:rsidRDefault="00631BF8" w:rsidP="00C4153F">
            <w:pPr>
              <w:spacing w:line="276" w:lineRule="auto"/>
              <w:jc w:val="both"/>
              <w:rPr>
                <w:rFonts w:ascii="Century Gothic" w:hAnsi="Century Gothic"/>
                <w:sz w:val="22"/>
                <w:szCs w:val="22"/>
              </w:rPr>
            </w:pPr>
            <w:r>
              <w:rPr>
                <w:rFonts w:ascii="Century Gothic" w:hAnsi="Century Gothic"/>
                <w:sz w:val="22"/>
                <w:szCs w:val="22"/>
              </w:rPr>
              <w:t xml:space="preserve">La Cooperativa de Transporte Flotax de Duitama y el señor </w:t>
            </w:r>
            <w:r w:rsidR="008E2CA5">
              <w:rPr>
                <w:rFonts w:ascii="Century Gothic" w:hAnsi="Century Gothic"/>
                <w:sz w:val="22"/>
                <w:szCs w:val="22"/>
              </w:rPr>
              <w:t xml:space="preserve">Oscar Javier </w:t>
            </w:r>
            <w:proofErr w:type="spellStart"/>
            <w:r w:rsidR="008E2CA5">
              <w:rPr>
                <w:rFonts w:ascii="Century Gothic" w:hAnsi="Century Gothic"/>
                <w:sz w:val="22"/>
                <w:szCs w:val="22"/>
              </w:rPr>
              <w:t>Botia</w:t>
            </w:r>
            <w:proofErr w:type="spellEnd"/>
            <w:r w:rsidR="008E2CA5">
              <w:rPr>
                <w:rFonts w:ascii="Century Gothic" w:hAnsi="Century Gothic"/>
                <w:sz w:val="22"/>
                <w:szCs w:val="22"/>
              </w:rPr>
              <w:t xml:space="preserve"> González</w:t>
            </w:r>
            <w:r>
              <w:rPr>
                <w:rFonts w:ascii="Century Gothic" w:hAnsi="Century Gothic"/>
                <w:sz w:val="22"/>
                <w:szCs w:val="22"/>
              </w:rPr>
              <w:t>, empresa afiliadora y</w:t>
            </w:r>
            <w:r w:rsidR="00516577">
              <w:rPr>
                <w:rFonts w:ascii="Century Gothic" w:hAnsi="Century Gothic"/>
                <w:sz w:val="22"/>
                <w:szCs w:val="22"/>
              </w:rPr>
              <w:t xml:space="preserve"> propietari</w:t>
            </w:r>
            <w:r w:rsidR="00935BB1">
              <w:rPr>
                <w:rFonts w:ascii="Century Gothic" w:hAnsi="Century Gothic"/>
                <w:sz w:val="22"/>
                <w:szCs w:val="22"/>
              </w:rPr>
              <w:t>o</w:t>
            </w:r>
            <w:r>
              <w:rPr>
                <w:rFonts w:ascii="Century Gothic" w:hAnsi="Century Gothic"/>
                <w:sz w:val="22"/>
                <w:szCs w:val="22"/>
              </w:rPr>
              <w:t xml:space="preserve"> respectivamente</w:t>
            </w:r>
            <w:r w:rsidR="00935BB1">
              <w:rPr>
                <w:rFonts w:ascii="Century Gothic" w:hAnsi="Century Gothic"/>
                <w:sz w:val="22"/>
                <w:szCs w:val="22"/>
              </w:rPr>
              <w:t xml:space="preserve"> </w:t>
            </w:r>
            <w:r w:rsidR="00516577">
              <w:rPr>
                <w:rFonts w:ascii="Century Gothic" w:hAnsi="Century Gothic"/>
                <w:sz w:val="22"/>
                <w:szCs w:val="22"/>
              </w:rPr>
              <w:t>del automotor asegurado</w:t>
            </w:r>
            <w:r w:rsidR="0064593C">
              <w:rPr>
                <w:rFonts w:ascii="Century Gothic" w:hAnsi="Century Gothic"/>
                <w:sz w:val="22"/>
                <w:szCs w:val="22"/>
              </w:rPr>
              <w:t xml:space="preserve"> </w:t>
            </w:r>
            <w:r>
              <w:rPr>
                <w:rFonts w:ascii="Century Gothic" w:hAnsi="Century Gothic"/>
                <w:sz w:val="22"/>
                <w:szCs w:val="22"/>
              </w:rPr>
              <w:t xml:space="preserve">de placa XJA749 </w:t>
            </w:r>
            <w:r w:rsidR="0064593C">
              <w:rPr>
                <w:rFonts w:ascii="Century Gothic" w:hAnsi="Century Gothic"/>
                <w:sz w:val="22"/>
                <w:szCs w:val="22"/>
              </w:rPr>
              <w:t>llam</w:t>
            </w:r>
            <w:r w:rsidR="005C01BA">
              <w:rPr>
                <w:rFonts w:ascii="Century Gothic" w:hAnsi="Century Gothic"/>
                <w:sz w:val="22"/>
                <w:szCs w:val="22"/>
              </w:rPr>
              <w:t>aron</w:t>
            </w:r>
            <w:r w:rsidR="0064593C">
              <w:rPr>
                <w:rFonts w:ascii="Century Gothic" w:hAnsi="Century Gothic"/>
                <w:sz w:val="22"/>
                <w:szCs w:val="22"/>
              </w:rPr>
              <w:t xml:space="preserve"> en garantía a la compañía aseguradora</w:t>
            </w:r>
            <w:r w:rsidR="00516577">
              <w:rPr>
                <w:rFonts w:ascii="Century Gothic" w:hAnsi="Century Gothic"/>
                <w:sz w:val="22"/>
                <w:szCs w:val="22"/>
              </w:rPr>
              <w:t>,</w:t>
            </w:r>
            <w:r w:rsidR="005C01BA">
              <w:rPr>
                <w:rFonts w:ascii="Century Gothic" w:hAnsi="Century Gothic"/>
                <w:sz w:val="22"/>
                <w:szCs w:val="22"/>
              </w:rPr>
              <w:t xml:space="preserve"> la primera propuesta por Flotax</w:t>
            </w:r>
            <w:r w:rsidR="0064593C" w:rsidRPr="005C01BA">
              <w:rPr>
                <w:rFonts w:ascii="Century Gothic" w:hAnsi="Century Gothic"/>
                <w:sz w:val="22"/>
                <w:szCs w:val="22"/>
              </w:rPr>
              <w:t xml:space="preserve"> fue admitid</w:t>
            </w:r>
            <w:r w:rsidR="00935BB1" w:rsidRPr="005C01BA">
              <w:rPr>
                <w:rFonts w:ascii="Century Gothic" w:hAnsi="Century Gothic"/>
                <w:sz w:val="22"/>
                <w:szCs w:val="22"/>
              </w:rPr>
              <w:t>a</w:t>
            </w:r>
            <w:r w:rsidR="00516577" w:rsidRPr="005C01BA">
              <w:rPr>
                <w:rFonts w:ascii="Century Gothic" w:hAnsi="Century Gothic"/>
                <w:sz w:val="22"/>
                <w:szCs w:val="22"/>
              </w:rPr>
              <w:t xml:space="preserve"> por medio de auto del </w:t>
            </w:r>
            <w:r w:rsidR="008E3FC8" w:rsidRPr="005C01BA">
              <w:rPr>
                <w:rFonts w:ascii="Century Gothic" w:hAnsi="Century Gothic"/>
                <w:sz w:val="22"/>
                <w:szCs w:val="22"/>
              </w:rPr>
              <w:t>2 de</w:t>
            </w:r>
            <w:r w:rsidR="005C01BA" w:rsidRPr="005C01BA">
              <w:rPr>
                <w:rFonts w:ascii="Century Gothic" w:hAnsi="Century Gothic"/>
                <w:sz w:val="22"/>
                <w:szCs w:val="22"/>
              </w:rPr>
              <w:t xml:space="preserve"> agosto de 2024</w:t>
            </w:r>
            <w:r w:rsidR="008E3FC8" w:rsidRPr="005C01BA">
              <w:rPr>
                <w:rFonts w:ascii="Century Gothic" w:hAnsi="Century Gothic"/>
                <w:sz w:val="22"/>
                <w:szCs w:val="22"/>
              </w:rPr>
              <w:t>,</w:t>
            </w:r>
            <w:r w:rsidR="005C01BA">
              <w:rPr>
                <w:rFonts w:ascii="Century Gothic" w:hAnsi="Century Gothic"/>
                <w:sz w:val="22"/>
                <w:szCs w:val="22"/>
              </w:rPr>
              <w:t xml:space="preserve"> el segundo llamado propuesto por el señor </w:t>
            </w:r>
            <w:r w:rsidR="006E64CA">
              <w:rPr>
                <w:rFonts w:ascii="Century Gothic" w:hAnsi="Century Gothic"/>
                <w:sz w:val="22"/>
                <w:szCs w:val="22"/>
              </w:rPr>
              <w:t>Oscar Javier Botia González que</w:t>
            </w:r>
            <w:r w:rsidR="005C01BA">
              <w:rPr>
                <w:rFonts w:ascii="Century Gothic" w:hAnsi="Century Gothic"/>
                <w:sz w:val="22"/>
                <w:szCs w:val="22"/>
              </w:rPr>
              <w:t xml:space="preserve"> fue admitido por medio de auto del 31 de marzo de 2025, publicado el 1 de abril de 2025 y </w:t>
            </w:r>
            <w:r w:rsidR="005C01BA" w:rsidRPr="005C01BA">
              <w:rPr>
                <w:rFonts w:ascii="Century Gothic" w:hAnsi="Century Gothic"/>
                <w:sz w:val="22"/>
                <w:szCs w:val="22"/>
              </w:rPr>
              <w:t xml:space="preserve">cuya </w:t>
            </w:r>
            <w:r w:rsidR="008E3FC8" w:rsidRPr="005C01BA">
              <w:rPr>
                <w:rFonts w:ascii="Century Gothic" w:hAnsi="Century Gothic"/>
                <w:sz w:val="22"/>
                <w:szCs w:val="22"/>
              </w:rPr>
              <w:t xml:space="preserve">contestación </w:t>
            </w:r>
            <w:r w:rsidR="005C01BA" w:rsidRPr="005C01BA">
              <w:rPr>
                <w:rFonts w:ascii="Century Gothic" w:hAnsi="Century Gothic"/>
                <w:sz w:val="22"/>
                <w:szCs w:val="22"/>
              </w:rPr>
              <w:t xml:space="preserve">al </w:t>
            </w:r>
            <w:r w:rsidR="008E3FC8" w:rsidRPr="005C01BA">
              <w:rPr>
                <w:rFonts w:ascii="Century Gothic" w:hAnsi="Century Gothic"/>
                <w:sz w:val="22"/>
                <w:szCs w:val="22"/>
              </w:rPr>
              <w:t xml:space="preserve">llamamientos en garantía </w:t>
            </w:r>
            <w:r w:rsidR="005C01BA" w:rsidRPr="005C01BA">
              <w:rPr>
                <w:rFonts w:ascii="Century Gothic" w:hAnsi="Century Gothic"/>
                <w:sz w:val="22"/>
                <w:szCs w:val="22"/>
              </w:rPr>
              <w:t>fue radicado</w:t>
            </w:r>
            <w:r w:rsidR="008E3FC8" w:rsidRPr="005C01BA">
              <w:rPr>
                <w:rFonts w:ascii="Century Gothic" w:hAnsi="Century Gothic"/>
                <w:sz w:val="22"/>
                <w:szCs w:val="22"/>
              </w:rPr>
              <w:t xml:space="preserve"> el </w:t>
            </w:r>
            <w:r w:rsidR="005C01BA" w:rsidRPr="005C01BA">
              <w:rPr>
                <w:rFonts w:ascii="Century Gothic" w:hAnsi="Century Gothic"/>
                <w:sz w:val="22"/>
                <w:szCs w:val="22"/>
              </w:rPr>
              <w:t>7 de mayo de 2025 dentro del término correspondiente.</w:t>
            </w:r>
            <w:r w:rsidR="008E3FC8" w:rsidRPr="005C01BA">
              <w:rPr>
                <w:rFonts w:ascii="Century Gothic" w:hAnsi="Century Gothic"/>
                <w:sz w:val="22"/>
                <w:szCs w:val="22"/>
              </w:rPr>
              <w:t xml:space="preserve"> </w:t>
            </w:r>
          </w:p>
          <w:p w14:paraId="285181BA" w14:textId="77777777" w:rsidR="00B2787D" w:rsidRPr="001E0B01" w:rsidRDefault="00B2787D" w:rsidP="00516577">
            <w:pPr>
              <w:spacing w:line="276" w:lineRule="auto"/>
              <w:jc w:val="both"/>
              <w:rPr>
                <w:rFonts w:ascii="Century Gothic" w:hAnsi="Century Gothic"/>
                <w:sz w:val="22"/>
                <w:szCs w:val="22"/>
              </w:rPr>
            </w:pPr>
          </w:p>
        </w:tc>
      </w:tr>
    </w:tbl>
    <w:p w14:paraId="20C76EE3" w14:textId="77777777" w:rsidR="003827E1" w:rsidRPr="001E0B01"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160D8" w:rsidRPr="001E0B01" w14:paraId="2BD14B8D" w14:textId="77777777" w:rsidTr="0095378E">
        <w:tc>
          <w:tcPr>
            <w:tcW w:w="10207" w:type="dxa"/>
            <w:gridSpan w:val="2"/>
            <w:shd w:val="clear" w:color="auto" w:fill="C5E0B3" w:themeFill="accent6" w:themeFillTint="66"/>
            <w:vAlign w:val="center"/>
          </w:tcPr>
          <w:p w14:paraId="00111EA5" w14:textId="08575358" w:rsidR="007C37D7" w:rsidRPr="001E0B01" w:rsidRDefault="007C37D7" w:rsidP="007C37D7">
            <w:pPr>
              <w:spacing w:line="276" w:lineRule="auto"/>
              <w:jc w:val="center"/>
              <w:rPr>
                <w:rFonts w:ascii="Century Gothic" w:hAnsi="Century Gothic"/>
                <w:sz w:val="22"/>
                <w:szCs w:val="22"/>
              </w:rPr>
            </w:pPr>
            <w:r w:rsidRPr="001E0B01">
              <w:rPr>
                <w:rFonts w:ascii="Century Gothic" w:hAnsi="Century Gothic"/>
                <w:b/>
                <w:bCs/>
                <w:sz w:val="22"/>
                <w:szCs w:val="22"/>
              </w:rPr>
              <w:t xml:space="preserve">Pretensiones </w:t>
            </w:r>
            <w:r w:rsidRPr="001E0B01">
              <w:rPr>
                <w:rFonts w:ascii="Century Gothic" w:hAnsi="Century Gothic"/>
                <w:sz w:val="22"/>
                <w:szCs w:val="22"/>
              </w:rPr>
              <w:t>(haga un relato o enliste las pretensiones de la demanda/llamamiento en garantía)</w:t>
            </w:r>
          </w:p>
        </w:tc>
      </w:tr>
      <w:tr w:rsidR="001E0B01" w:rsidRPr="001E0B01" w14:paraId="2B7256CB" w14:textId="77777777" w:rsidTr="006056E7">
        <w:tc>
          <w:tcPr>
            <w:tcW w:w="10207" w:type="dxa"/>
            <w:gridSpan w:val="2"/>
            <w:vAlign w:val="center"/>
          </w:tcPr>
          <w:p w14:paraId="5F89CCF0" w14:textId="77777777" w:rsidR="00C4153F" w:rsidRPr="00CD6FA8" w:rsidRDefault="002E1D33" w:rsidP="00C4153F">
            <w:pPr>
              <w:spacing w:line="276" w:lineRule="auto"/>
              <w:jc w:val="both"/>
              <w:rPr>
                <w:rFonts w:ascii="Century Gothic" w:hAnsi="Century Gothic"/>
                <w:b/>
                <w:bCs/>
                <w:sz w:val="22"/>
                <w:szCs w:val="22"/>
              </w:rPr>
            </w:pPr>
            <w:r w:rsidRPr="00CD6FA8">
              <w:rPr>
                <w:rFonts w:ascii="Century Gothic" w:hAnsi="Century Gothic"/>
                <w:b/>
                <w:bCs/>
                <w:sz w:val="22"/>
                <w:szCs w:val="22"/>
              </w:rPr>
              <w:t xml:space="preserve">De la demanda: </w:t>
            </w:r>
          </w:p>
          <w:p w14:paraId="6389F09D" w14:textId="77777777" w:rsidR="00356A4E" w:rsidRPr="001E0B01" w:rsidRDefault="00356A4E" w:rsidP="00C4153F">
            <w:pPr>
              <w:spacing w:line="276" w:lineRule="auto"/>
              <w:jc w:val="both"/>
              <w:rPr>
                <w:rFonts w:ascii="Century Gothic" w:hAnsi="Century Gothic"/>
                <w:sz w:val="22"/>
                <w:szCs w:val="22"/>
              </w:rPr>
            </w:pPr>
          </w:p>
          <w:p w14:paraId="11253D87" w14:textId="79B600CD" w:rsidR="00C4153F" w:rsidRPr="006E64CA" w:rsidRDefault="007F6A2D" w:rsidP="006E64CA">
            <w:pPr>
              <w:pStyle w:val="Prrafodelista"/>
              <w:numPr>
                <w:ilvl w:val="0"/>
                <w:numId w:val="5"/>
              </w:numPr>
              <w:spacing w:line="276" w:lineRule="auto"/>
              <w:jc w:val="both"/>
              <w:rPr>
                <w:rFonts w:ascii="Century Gothic" w:hAnsi="Century Gothic"/>
                <w:sz w:val="22"/>
                <w:szCs w:val="22"/>
              </w:rPr>
            </w:pPr>
            <w:r w:rsidRPr="006E64CA">
              <w:rPr>
                <w:rFonts w:ascii="Century Gothic" w:hAnsi="Century Gothic"/>
                <w:sz w:val="22"/>
                <w:szCs w:val="22"/>
              </w:rPr>
              <w:t>Que se declare responsable</w:t>
            </w:r>
            <w:r w:rsidR="006E64CA" w:rsidRPr="006E64CA">
              <w:rPr>
                <w:rFonts w:ascii="Century Gothic" w:hAnsi="Century Gothic"/>
                <w:sz w:val="22"/>
                <w:szCs w:val="22"/>
              </w:rPr>
              <w:t>s solidaria y extracontractualmente al señor Oscar Javier Botia González, Feliz Antonio Pérez Gómez y a la Cooperativa de Transportes Flotax Duitama, así como contractual y extracontractualmente responsables a los señores Pedro Elías Pérez Gómez y a la empresa Asociación de Propietarios de Taxis Individuales de Duitama por la ocurrencia del accidente ocurrido del día 5 de mayo de 2020.</w:t>
            </w:r>
          </w:p>
          <w:p w14:paraId="72B3E06F" w14:textId="448B4EF7" w:rsidR="006E64CA" w:rsidRDefault="006E64CA" w:rsidP="006E64CA">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Que se declare responsables solidaria y extracontractualmente al señor Oscar Javier Botia González, Feliz Antonio Pérez Gómez y a la  Cooperativa de Transportes Flotax Duitama, así como contractual y extracontractualmente responsables a los señores Pedro Elías Pérez Gómez y a la empresa Asociación de Propietarios de Taxis Individuales de Duitama por los perjuicios materiales e inmateriales ocasionados a la señora Yolanda León Ávila, su hijo</w:t>
            </w:r>
            <w:r w:rsidR="008E2CA5">
              <w:rPr>
                <w:rFonts w:ascii="Century Gothic" w:hAnsi="Century Gothic"/>
                <w:sz w:val="22"/>
                <w:szCs w:val="22"/>
              </w:rPr>
              <w:t>s</w:t>
            </w:r>
            <w:r>
              <w:rPr>
                <w:rFonts w:ascii="Century Gothic" w:hAnsi="Century Gothic"/>
                <w:sz w:val="22"/>
                <w:szCs w:val="22"/>
              </w:rPr>
              <w:t xml:space="preserve"> Juan Sebastián </w:t>
            </w:r>
            <w:proofErr w:type="spellStart"/>
            <w:r>
              <w:rPr>
                <w:rFonts w:ascii="Century Gothic" w:hAnsi="Century Gothic"/>
                <w:sz w:val="22"/>
                <w:szCs w:val="22"/>
              </w:rPr>
              <w:t>Ospitia</w:t>
            </w:r>
            <w:proofErr w:type="spellEnd"/>
            <w:r>
              <w:rPr>
                <w:rFonts w:ascii="Century Gothic" w:hAnsi="Century Gothic"/>
                <w:sz w:val="22"/>
                <w:szCs w:val="22"/>
              </w:rPr>
              <w:t xml:space="preserve"> León</w:t>
            </w:r>
            <w:r w:rsidR="008E2CA5">
              <w:rPr>
                <w:rFonts w:ascii="Century Gothic" w:hAnsi="Century Gothic"/>
                <w:sz w:val="22"/>
                <w:szCs w:val="22"/>
              </w:rPr>
              <w:t xml:space="preserve"> y Michael </w:t>
            </w:r>
            <w:proofErr w:type="spellStart"/>
            <w:r w:rsidR="008E2CA5">
              <w:rPr>
                <w:rFonts w:ascii="Century Gothic" w:hAnsi="Century Gothic"/>
                <w:sz w:val="22"/>
                <w:szCs w:val="22"/>
              </w:rPr>
              <w:t>Jordyn</w:t>
            </w:r>
            <w:proofErr w:type="spellEnd"/>
            <w:r w:rsidR="008E2CA5">
              <w:rPr>
                <w:rFonts w:ascii="Century Gothic" w:hAnsi="Century Gothic"/>
                <w:sz w:val="22"/>
                <w:szCs w:val="22"/>
              </w:rPr>
              <w:t xml:space="preserve"> </w:t>
            </w:r>
            <w:proofErr w:type="spellStart"/>
            <w:r w:rsidR="008E2CA5">
              <w:rPr>
                <w:rFonts w:ascii="Century Gothic" w:hAnsi="Century Gothic"/>
                <w:sz w:val="22"/>
                <w:szCs w:val="22"/>
              </w:rPr>
              <w:t>Ospitia</w:t>
            </w:r>
            <w:proofErr w:type="spellEnd"/>
            <w:r w:rsidR="008E2CA5">
              <w:rPr>
                <w:rFonts w:ascii="Century Gothic" w:hAnsi="Century Gothic"/>
                <w:sz w:val="22"/>
                <w:szCs w:val="22"/>
              </w:rPr>
              <w:t xml:space="preserve"> León</w:t>
            </w:r>
            <w:r>
              <w:rPr>
                <w:rFonts w:ascii="Century Gothic" w:hAnsi="Century Gothic"/>
                <w:sz w:val="22"/>
                <w:szCs w:val="22"/>
              </w:rPr>
              <w:t xml:space="preserve"> y su esposo </w:t>
            </w:r>
            <w:proofErr w:type="spellStart"/>
            <w:r>
              <w:rPr>
                <w:rFonts w:ascii="Century Gothic" w:hAnsi="Century Gothic"/>
                <w:sz w:val="22"/>
                <w:szCs w:val="22"/>
              </w:rPr>
              <w:t>Aristides</w:t>
            </w:r>
            <w:proofErr w:type="spellEnd"/>
            <w:r>
              <w:rPr>
                <w:rFonts w:ascii="Century Gothic" w:hAnsi="Century Gothic"/>
                <w:sz w:val="22"/>
                <w:szCs w:val="22"/>
              </w:rPr>
              <w:t xml:space="preserve"> </w:t>
            </w:r>
            <w:proofErr w:type="spellStart"/>
            <w:r>
              <w:rPr>
                <w:rFonts w:ascii="Century Gothic" w:hAnsi="Century Gothic"/>
                <w:sz w:val="22"/>
                <w:szCs w:val="22"/>
              </w:rPr>
              <w:t>Ospitia</w:t>
            </w:r>
            <w:proofErr w:type="spellEnd"/>
            <w:r>
              <w:rPr>
                <w:rFonts w:ascii="Century Gothic" w:hAnsi="Century Gothic"/>
                <w:sz w:val="22"/>
                <w:szCs w:val="22"/>
              </w:rPr>
              <w:t>.</w:t>
            </w:r>
          </w:p>
          <w:p w14:paraId="02011361" w14:textId="3AF798B6" w:rsidR="006E64CA" w:rsidRDefault="006E64CA" w:rsidP="006E64CA">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Que se condena solidariamente a los demandados por los perjuicios ocasionados a la señora Yolanda Ávila, así:</w:t>
            </w:r>
          </w:p>
          <w:p w14:paraId="48F972B2" w14:textId="2A66BE20" w:rsidR="006E64CA" w:rsidRDefault="006E64CA" w:rsidP="006E64CA">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50 SMLMV por concepto de perjuicios morales.</w:t>
            </w:r>
          </w:p>
          <w:p w14:paraId="42989044" w14:textId="49ED5189" w:rsidR="006E64CA" w:rsidRDefault="006E64CA" w:rsidP="006E64CA">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50 SMLMV por concepto de perjuicios del daño en vida de relación.</w:t>
            </w:r>
          </w:p>
          <w:p w14:paraId="305DCF36" w14:textId="746BC5A4" w:rsidR="006E64CA" w:rsidRDefault="00564BB3" w:rsidP="006E64CA">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lastRenderedPageBreak/>
              <w:t>50 SMLMV por concepto de perjuicios fisiológicos en la salud mental.</w:t>
            </w:r>
          </w:p>
          <w:p w14:paraId="658A29E0" w14:textId="475F9EB7" w:rsidR="00564BB3" w:rsidRDefault="00564BB3" w:rsidP="006E64CA">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$200.000.000 por concepto de lesiones personales – daño a la salud.</w:t>
            </w:r>
          </w:p>
          <w:p w14:paraId="3A58BA42" w14:textId="047AA214" w:rsidR="00564BB3" w:rsidRDefault="00564BB3" w:rsidP="006E64CA">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$.1.666.666 por concepto de lucro cesante.</w:t>
            </w:r>
          </w:p>
          <w:p w14:paraId="6FA8973B" w14:textId="77777777" w:rsidR="008E2CA5" w:rsidRDefault="008E2CA5" w:rsidP="008E2CA5">
            <w:pPr>
              <w:pStyle w:val="Prrafodelista"/>
              <w:spacing w:line="276" w:lineRule="auto"/>
              <w:ind w:left="1440"/>
              <w:jc w:val="both"/>
              <w:rPr>
                <w:rFonts w:ascii="Century Gothic" w:hAnsi="Century Gothic"/>
                <w:sz w:val="22"/>
                <w:szCs w:val="22"/>
              </w:rPr>
            </w:pPr>
          </w:p>
          <w:p w14:paraId="65229821" w14:textId="10436510" w:rsidR="00564BB3" w:rsidRDefault="00564BB3" w:rsidP="00564BB3">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Que se condena solidariamente a los demandados por los perjuicios ocasionados al hijo de la señora León, el joven Juan Sebastián Ospitia León, así:</w:t>
            </w:r>
          </w:p>
          <w:p w14:paraId="0488D9BA" w14:textId="75002FA5" w:rsidR="00564BB3" w:rsidRDefault="00564BB3" w:rsidP="00564BB3">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rPr>
              <w:t>30 SMLMV por concepto de perjuicios morales.</w:t>
            </w:r>
          </w:p>
          <w:p w14:paraId="2330CDDC" w14:textId="7F562D7B" w:rsidR="00564BB3" w:rsidRDefault="00564BB3" w:rsidP="00564BB3">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rPr>
              <w:t>30 SMLMV por concepto de perjuicios del daño en vida de relación.</w:t>
            </w:r>
          </w:p>
          <w:p w14:paraId="281BC0FF" w14:textId="6EC0662A" w:rsidR="00564BB3" w:rsidRDefault="00564BB3" w:rsidP="00564BB3">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rPr>
              <w:t>20 SMLMV por concepto de perjuicios fisiológicos en la salud mental.</w:t>
            </w:r>
          </w:p>
          <w:p w14:paraId="661C51E4" w14:textId="2F6134EB" w:rsidR="00564BB3" w:rsidRDefault="00564BB3" w:rsidP="00564BB3">
            <w:pPr>
              <w:spacing w:line="276" w:lineRule="auto"/>
              <w:jc w:val="both"/>
              <w:rPr>
                <w:rFonts w:ascii="Century Gothic" w:hAnsi="Century Gothic"/>
                <w:sz w:val="22"/>
                <w:szCs w:val="22"/>
              </w:rPr>
            </w:pPr>
          </w:p>
          <w:p w14:paraId="7D124395" w14:textId="1DA48513" w:rsidR="008E2CA5" w:rsidRPr="008E2CA5" w:rsidRDefault="008E2CA5" w:rsidP="008E2CA5">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 xml:space="preserve">Que se condene solidariamente a los demandados por los perjuicios ocasionados al hijo de la señora León, el joven Michael </w:t>
            </w:r>
            <w:proofErr w:type="spellStart"/>
            <w:r>
              <w:rPr>
                <w:rFonts w:ascii="Century Gothic" w:hAnsi="Century Gothic"/>
                <w:sz w:val="22"/>
                <w:szCs w:val="22"/>
              </w:rPr>
              <w:t>Jordyn</w:t>
            </w:r>
            <w:proofErr w:type="spellEnd"/>
            <w:r>
              <w:rPr>
                <w:rFonts w:ascii="Century Gothic" w:hAnsi="Century Gothic"/>
                <w:sz w:val="22"/>
                <w:szCs w:val="22"/>
              </w:rPr>
              <w:t xml:space="preserve"> </w:t>
            </w:r>
            <w:proofErr w:type="spellStart"/>
            <w:r>
              <w:rPr>
                <w:rFonts w:ascii="Century Gothic" w:hAnsi="Century Gothic"/>
                <w:sz w:val="22"/>
                <w:szCs w:val="22"/>
              </w:rPr>
              <w:t>Ospitia</w:t>
            </w:r>
            <w:proofErr w:type="spellEnd"/>
            <w:r>
              <w:rPr>
                <w:rFonts w:ascii="Century Gothic" w:hAnsi="Century Gothic"/>
                <w:sz w:val="22"/>
                <w:szCs w:val="22"/>
              </w:rPr>
              <w:t xml:space="preserve"> León, así:</w:t>
            </w:r>
          </w:p>
          <w:p w14:paraId="3042D4F8" w14:textId="77777777" w:rsidR="008E2CA5" w:rsidRDefault="008E2CA5" w:rsidP="008E2CA5">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rPr>
              <w:t>30 SMLMV por concepto de perjuicios morales.</w:t>
            </w:r>
          </w:p>
          <w:p w14:paraId="0EF10C5B" w14:textId="77777777" w:rsidR="008E2CA5" w:rsidRDefault="008E2CA5" w:rsidP="008E2CA5">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rPr>
              <w:t>30 SMLMV por concepto de perjuicios del daño en vida de relación.</w:t>
            </w:r>
          </w:p>
          <w:p w14:paraId="5F298529" w14:textId="5073C5DD" w:rsidR="008E2CA5" w:rsidRDefault="008E2CA5" w:rsidP="008E2CA5">
            <w:pPr>
              <w:pStyle w:val="Prrafodelista"/>
              <w:numPr>
                <w:ilvl w:val="0"/>
                <w:numId w:val="7"/>
              </w:numPr>
              <w:spacing w:line="276" w:lineRule="auto"/>
              <w:jc w:val="both"/>
              <w:rPr>
                <w:rFonts w:ascii="Century Gothic" w:hAnsi="Century Gothic"/>
                <w:sz w:val="22"/>
                <w:szCs w:val="22"/>
              </w:rPr>
            </w:pPr>
            <w:r>
              <w:rPr>
                <w:rFonts w:ascii="Century Gothic" w:hAnsi="Century Gothic"/>
                <w:sz w:val="22"/>
                <w:szCs w:val="22"/>
              </w:rPr>
              <w:t>20 SMLMV por concepto de perjuicios fisiológicos en la salud mental</w:t>
            </w:r>
          </w:p>
          <w:p w14:paraId="47A1C88C" w14:textId="6697388D" w:rsidR="008E2CA5" w:rsidRPr="008E2CA5" w:rsidRDefault="008E2CA5" w:rsidP="008E2CA5">
            <w:pPr>
              <w:spacing w:line="276" w:lineRule="auto"/>
              <w:jc w:val="both"/>
              <w:rPr>
                <w:rFonts w:ascii="Century Gothic" w:hAnsi="Century Gothic"/>
                <w:sz w:val="22"/>
                <w:szCs w:val="22"/>
              </w:rPr>
            </w:pPr>
          </w:p>
          <w:p w14:paraId="53893537" w14:textId="323FEB70" w:rsidR="00564BB3" w:rsidRDefault="00564BB3" w:rsidP="00564BB3">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Que se condena solidariamente a los demandados por los perjuicios ocasionados al esposo de la señora León, el señor Aristides Ospitia, así:</w:t>
            </w:r>
          </w:p>
          <w:p w14:paraId="5937E37B" w14:textId="0B24CA85" w:rsidR="00564BB3" w:rsidRDefault="00564BB3" w:rsidP="00564BB3">
            <w:pPr>
              <w:pStyle w:val="Prrafodelista"/>
              <w:numPr>
                <w:ilvl w:val="0"/>
                <w:numId w:val="8"/>
              </w:numPr>
              <w:spacing w:line="276" w:lineRule="auto"/>
              <w:jc w:val="both"/>
              <w:rPr>
                <w:rFonts w:ascii="Century Gothic" w:hAnsi="Century Gothic"/>
                <w:sz w:val="22"/>
                <w:szCs w:val="22"/>
              </w:rPr>
            </w:pPr>
            <w:r>
              <w:rPr>
                <w:rFonts w:ascii="Century Gothic" w:hAnsi="Century Gothic"/>
                <w:sz w:val="22"/>
                <w:szCs w:val="22"/>
              </w:rPr>
              <w:t>30 SMLMV por concepto de perjuicios morales.</w:t>
            </w:r>
          </w:p>
          <w:p w14:paraId="1D7A0C1D" w14:textId="5BCAD1D4" w:rsidR="00564BB3" w:rsidRDefault="00564BB3" w:rsidP="00564BB3">
            <w:pPr>
              <w:pStyle w:val="Prrafodelista"/>
              <w:numPr>
                <w:ilvl w:val="0"/>
                <w:numId w:val="8"/>
              </w:numPr>
              <w:spacing w:line="276" w:lineRule="auto"/>
              <w:jc w:val="both"/>
              <w:rPr>
                <w:rFonts w:ascii="Century Gothic" w:hAnsi="Century Gothic"/>
                <w:sz w:val="22"/>
                <w:szCs w:val="22"/>
              </w:rPr>
            </w:pPr>
            <w:r>
              <w:rPr>
                <w:rFonts w:ascii="Century Gothic" w:hAnsi="Century Gothic"/>
                <w:sz w:val="22"/>
                <w:szCs w:val="22"/>
              </w:rPr>
              <w:t>30 SMLMV por concepto de perjuicios del daño en vida de relación.</w:t>
            </w:r>
          </w:p>
          <w:p w14:paraId="0EE094C6" w14:textId="7CA2AF59" w:rsidR="00564BB3" w:rsidRDefault="00564BB3" w:rsidP="00564BB3">
            <w:pPr>
              <w:pStyle w:val="Prrafodelista"/>
              <w:numPr>
                <w:ilvl w:val="0"/>
                <w:numId w:val="8"/>
              </w:numPr>
              <w:spacing w:line="276" w:lineRule="auto"/>
              <w:jc w:val="both"/>
              <w:rPr>
                <w:rFonts w:ascii="Century Gothic" w:hAnsi="Century Gothic"/>
                <w:sz w:val="22"/>
                <w:szCs w:val="22"/>
              </w:rPr>
            </w:pPr>
            <w:r>
              <w:rPr>
                <w:rFonts w:ascii="Century Gothic" w:hAnsi="Century Gothic"/>
                <w:sz w:val="22"/>
                <w:szCs w:val="22"/>
              </w:rPr>
              <w:t>20 SMLMV por concepto de perjuicios fisiológicos en la salud mental.</w:t>
            </w:r>
          </w:p>
          <w:p w14:paraId="082DF201" w14:textId="1A63F815" w:rsidR="00564BB3" w:rsidRDefault="00564BB3" w:rsidP="00564BB3">
            <w:pPr>
              <w:spacing w:line="276" w:lineRule="auto"/>
              <w:jc w:val="both"/>
              <w:rPr>
                <w:rFonts w:ascii="Century Gothic" w:hAnsi="Century Gothic"/>
                <w:sz w:val="22"/>
                <w:szCs w:val="22"/>
              </w:rPr>
            </w:pPr>
          </w:p>
          <w:p w14:paraId="0830FC76" w14:textId="34D348AC" w:rsidR="00564BB3" w:rsidRDefault="00564BB3" w:rsidP="00564BB3">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Que se efectúe la actualización de los valores para la fecha en la que fueren pagaderos o subsidiariamente se ordene el pago del interés corriente.</w:t>
            </w:r>
          </w:p>
          <w:p w14:paraId="1211FC7C" w14:textId="0ED1FE5A" w:rsidR="00A904FF" w:rsidRPr="00564BB3" w:rsidRDefault="00564BB3" w:rsidP="00564BB3">
            <w:pPr>
              <w:pStyle w:val="Prrafodelista"/>
              <w:numPr>
                <w:ilvl w:val="0"/>
                <w:numId w:val="5"/>
              </w:numPr>
              <w:spacing w:line="276" w:lineRule="auto"/>
              <w:jc w:val="both"/>
              <w:rPr>
                <w:rFonts w:ascii="Century Gothic" w:hAnsi="Century Gothic"/>
                <w:sz w:val="22"/>
                <w:szCs w:val="22"/>
              </w:rPr>
            </w:pPr>
            <w:r>
              <w:rPr>
                <w:rFonts w:ascii="Century Gothic" w:hAnsi="Century Gothic"/>
                <w:sz w:val="22"/>
                <w:szCs w:val="22"/>
              </w:rPr>
              <w:t xml:space="preserve">Que se condena a los demandados en costas, gastos y agencias en derecho a que hubiere lugar. </w:t>
            </w:r>
            <w:r w:rsidR="00A904FF" w:rsidRPr="00564BB3">
              <w:rPr>
                <w:rFonts w:ascii="Century Gothic" w:hAnsi="Century Gothic"/>
                <w:sz w:val="22"/>
                <w:szCs w:val="22"/>
              </w:rPr>
              <w:t xml:space="preserve"> </w:t>
            </w:r>
          </w:p>
          <w:p w14:paraId="2DC2BBD9" w14:textId="77777777" w:rsidR="00356A4E" w:rsidRDefault="00356A4E" w:rsidP="002E1D33">
            <w:pPr>
              <w:spacing w:line="276" w:lineRule="auto"/>
              <w:jc w:val="both"/>
              <w:rPr>
                <w:rFonts w:ascii="Century Gothic" w:hAnsi="Century Gothic"/>
                <w:sz w:val="22"/>
                <w:szCs w:val="22"/>
              </w:rPr>
            </w:pPr>
          </w:p>
          <w:p w14:paraId="77C06868" w14:textId="77777777" w:rsidR="00FD53B3" w:rsidRPr="001E0B01" w:rsidRDefault="00FD53B3" w:rsidP="0004146A">
            <w:pPr>
              <w:spacing w:line="276" w:lineRule="auto"/>
              <w:jc w:val="both"/>
              <w:rPr>
                <w:rFonts w:ascii="Century Gothic" w:hAnsi="Century Gothic"/>
                <w:sz w:val="22"/>
                <w:szCs w:val="22"/>
              </w:rPr>
            </w:pPr>
          </w:p>
        </w:tc>
      </w:tr>
      <w:tr w:rsidR="001E0B01" w:rsidRPr="001E0B01" w14:paraId="50D1C7A7" w14:textId="77777777" w:rsidTr="003827E1">
        <w:trPr>
          <w:trHeight w:val="510"/>
        </w:trPr>
        <w:tc>
          <w:tcPr>
            <w:tcW w:w="4537" w:type="dxa"/>
            <w:vAlign w:val="center"/>
          </w:tcPr>
          <w:p w14:paraId="013247F4" w14:textId="68D4118C" w:rsidR="00992368" w:rsidRPr="001E0B01" w:rsidRDefault="001E1616" w:rsidP="003B7F1A">
            <w:pPr>
              <w:spacing w:line="276" w:lineRule="auto"/>
              <w:rPr>
                <w:rFonts w:ascii="Century Gothic" w:hAnsi="Century Gothic"/>
                <w:b/>
                <w:bCs/>
                <w:sz w:val="22"/>
                <w:szCs w:val="22"/>
              </w:rPr>
            </w:pPr>
            <w:r w:rsidRPr="001E0B01">
              <w:rPr>
                <w:rFonts w:ascii="Century Gothic" w:hAnsi="Century Gothic"/>
                <w:b/>
                <w:bCs/>
                <w:sz w:val="22"/>
                <w:szCs w:val="22"/>
              </w:rPr>
              <w:lastRenderedPageBreak/>
              <w:t xml:space="preserve">Valor total de las pretensiones </w:t>
            </w:r>
          </w:p>
        </w:tc>
        <w:tc>
          <w:tcPr>
            <w:tcW w:w="5670" w:type="dxa"/>
            <w:vAlign w:val="center"/>
          </w:tcPr>
          <w:p w14:paraId="00FEFA37" w14:textId="0156363A" w:rsidR="00992368" w:rsidRPr="001E0B01" w:rsidRDefault="008717AA" w:rsidP="003827E1">
            <w:pPr>
              <w:spacing w:line="276" w:lineRule="auto"/>
              <w:rPr>
                <w:rFonts w:ascii="Century Gothic" w:hAnsi="Century Gothic"/>
                <w:sz w:val="22"/>
                <w:szCs w:val="22"/>
              </w:rPr>
            </w:pPr>
            <w:r>
              <w:rPr>
                <w:rFonts w:ascii="Century Gothic" w:hAnsi="Century Gothic"/>
                <w:sz w:val="22"/>
                <w:szCs w:val="22"/>
              </w:rPr>
              <w:t xml:space="preserve">$ </w:t>
            </w:r>
            <w:r w:rsidR="00E4543B">
              <w:rPr>
                <w:rFonts w:ascii="Century Gothic" w:hAnsi="Century Gothic"/>
                <w:sz w:val="22"/>
                <w:szCs w:val="22"/>
              </w:rPr>
              <w:t>756.831.666</w:t>
            </w:r>
          </w:p>
        </w:tc>
      </w:tr>
      <w:tr w:rsidR="001E0B01" w:rsidRPr="001E0B01" w14:paraId="668F9413" w14:textId="77777777" w:rsidTr="003827E1">
        <w:trPr>
          <w:trHeight w:val="510"/>
        </w:trPr>
        <w:tc>
          <w:tcPr>
            <w:tcW w:w="4537" w:type="dxa"/>
            <w:vAlign w:val="center"/>
          </w:tcPr>
          <w:p w14:paraId="34E17619" w14:textId="7EF66606" w:rsidR="00992368" w:rsidRPr="001E0B01" w:rsidRDefault="00FD53B3" w:rsidP="003B7F1A">
            <w:pPr>
              <w:spacing w:line="276" w:lineRule="auto"/>
              <w:rPr>
                <w:rFonts w:ascii="Century Gothic" w:hAnsi="Century Gothic"/>
                <w:b/>
                <w:bCs/>
                <w:sz w:val="22"/>
                <w:szCs w:val="22"/>
              </w:rPr>
            </w:pPr>
            <w:r w:rsidRPr="001E0B01">
              <w:rPr>
                <w:rFonts w:ascii="Century Gothic" w:hAnsi="Century Gothic"/>
                <w:b/>
                <w:bCs/>
                <w:sz w:val="22"/>
                <w:szCs w:val="22"/>
              </w:rPr>
              <w:t>Valor total de las pretensiones objetivadas</w:t>
            </w:r>
          </w:p>
        </w:tc>
        <w:tc>
          <w:tcPr>
            <w:tcW w:w="5670" w:type="dxa"/>
            <w:vAlign w:val="center"/>
          </w:tcPr>
          <w:p w14:paraId="487C6084" w14:textId="2E43924B" w:rsidR="00992368" w:rsidRPr="001E0B01" w:rsidRDefault="00FD53B3" w:rsidP="003827E1">
            <w:pPr>
              <w:spacing w:line="276" w:lineRule="auto"/>
              <w:rPr>
                <w:rFonts w:ascii="Century Gothic" w:hAnsi="Century Gothic"/>
                <w:sz w:val="22"/>
                <w:szCs w:val="22"/>
              </w:rPr>
            </w:pPr>
            <w:r w:rsidRPr="001E0B01">
              <w:rPr>
                <w:rFonts w:ascii="Century Gothic" w:hAnsi="Century Gothic"/>
                <w:sz w:val="22"/>
                <w:szCs w:val="22"/>
              </w:rPr>
              <w:t>$</w:t>
            </w:r>
            <w:r w:rsidR="006B77D7">
              <w:rPr>
                <w:rFonts w:ascii="Century Gothic" w:hAnsi="Century Gothic"/>
                <w:sz w:val="22"/>
                <w:szCs w:val="22"/>
              </w:rPr>
              <w:t xml:space="preserve"> 4</w:t>
            </w:r>
            <w:r w:rsidR="009E0C57">
              <w:rPr>
                <w:rFonts w:ascii="Century Gothic" w:hAnsi="Century Gothic"/>
                <w:sz w:val="22"/>
                <w:szCs w:val="22"/>
              </w:rPr>
              <w:t>9</w:t>
            </w:r>
            <w:r w:rsidR="006B77D7">
              <w:rPr>
                <w:rFonts w:ascii="Century Gothic" w:hAnsi="Century Gothic"/>
                <w:sz w:val="22"/>
                <w:szCs w:val="22"/>
              </w:rPr>
              <w:t>.666.666</w:t>
            </w:r>
          </w:p>
        </w:tc>
      </w:tr>
    </w:tbl>
    <w:p w14:paraId="146E9C6D" w14:textId="77777777" w:rsidR="0095378E" w:rsidRPr="001E0B01"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1E0B01" w:rsidRPr="001E0B01" w14:paraId="77F9F71B" w14:textId="77777777" w:rsidTr="0095378E">
        <w:trPr>
          <w:trHeight w:val="285"/>
        </w:trPr>
        <w:tc>
          <w:tcPr>
            <w:tcW w:w="10191" w:type="dxa"/>
            <w:shd w:val="clear" w:color="auto" w:fill="C5E0B3" w:themeFill="accent6" w:themeFillTint="66"/>
            <w:vAlign w:val="center"/>
          </w:tcPr>
          <w:p w14:paraId="10E33877" w14:textId="0E982702" w:rsidR="00E802BC" w:rsidRPr="001E0B01" w:rsidRDefault="00E802BC" w:rsidP="00E802BC">
            <w:pPr>
              <w:spacing w:line="276" w:lineRule="auto"/>
              <w:jc w:val="center"/>
              <w:rPr>
                <w:rFonts w:ascii="Century Gothic" w:hAnsi="Century Gothic"/>
                <w:sz w:val="22"/>
                <w:szCs w:val="22"/>
              </w:rPr>
            </w:pPr>
            <w:r w:rsidRPr="001E0B01">
              <w:rPr>
                <w:rFonts w:ascii="Century Gothic" w:hAnsi="Century Gothic"/>
                <w:b/>
                <w:bCs/>
                <w:sz w:val="22"/>
                <w:szCs w:val="22"/>
              </w:rPr>
              <w:t>Liquidación de las pretensiones objetivadas</w:t>
            </w:r>
          </w:p>
        </w:tc>
      </w:tr>
      <w:tr w:rsidR="001E0B01" w:rsidRPr="001E0B01" w14:paraId="33786C43" w14:textId="77777777" w:rsidTr="00643549">
        <w:trPr>
          <w:trHeight w:val="2395"/>
        </w:trPr>
        <w:tc>
          <w:tcPr>
            <w:tcW w:w="10191" w:type="dxa"/>
            <w:vAlign w:val="center"/>
          </w:tcPr>
          <w:p w14:paraId="36F2D778" w14:textId="248D79C0" w:rsidR="002D350B" w:rsidRPr="00713958" w:rsidRDefault="00136FF9" w:rsidP="002D350B">
            <w:pPr>
              <w:spacing w:line="276" w:lineRule="auto"/>
              <w:jc w:val="both"/>
              <w:rPr>
                <w:rFonts w:ascii="Century Gothic" w:hAnsi="Century Gothic"/>
                <w:sz w:val="22"/>
                <w:szCs w:val="22"/>
              </w:rPr>
            </w:pPr>
            <w:r w:rsidRPr="005C0A57">
              <w:rPr>
                <w:rFonts w:ascii="Century Gothic" w:hAnsi="Century Gothic"/>
                <w:sz w:val="22"/>
                <w:szCs w:val="22"/>
              </w:rPr>
              <w:t>Se precisa que el riesgo máximo de exposición de la compañía es de 60 SMLMV equivalente a $</w:t>
            </w:r>
            <w:r w:rsidRPr="005C0A57">
              <w:rPr>
                <w:rFonts w:ascii="Century Gothic" w:hAnsi="Century Gothic" w:cs="Segoe UI"/>
                <w:sz w:val="22"/>
                <w:szCs w:val="22"/>
                <w:lang w:eastAsia="es-CO"/>
              </w:rPr>
              <w:t>85.410.000 (año 2025) por cuan</w:t>
            </w:r>
            <w:r w:rsidR="009557C0">
              <w:rPr>
                <w:rFonts w:ascii="Century Gothic" w:hAnsi="Century Gothic" w:cs="Segoe UI"/>
                <w:sz w:val="22"/>
                <w:szCs w:val="22"/>
                <w:lang w:eastAsia="es-CO"/>
              </w:rPr>
              <w:t>t</w:t>
            </w:r>
            <w:r w:rsidRPr="005C0A57">
              <w:rPr>
                <w:rFonts w:ascii="Century Gothic" w:hAnsi="Century Gothic" w:cs="Segoe UI"/>
                <w:sz w:val="22"/>
                <w:szCs w:val="22"/>
                <w:lang w:eastAsia="es-CO"/>
              </w:rPr>
              <w:t>o es el valor máximo asegurado por pasajero</w:t>
            </w:r>
            <w:r w:rsidR="00AB228E">
              <w:rPr>
                <w:rFonts w:ascii="Century Gothic" w:hAnsi="Century Gothic" w:cs="Segoe UI"/>
                <w:sz w:val="22"/>
                <w:szCs w:val="22"/>
                <w:lang w:eastAsia="es-CO"/>
              </w:rPr>
              <w:t xml:space="preserve"> en la póliza de RC</w:t>
            </w:r>
            <w:r w:rsidR="00FA39A9">
              <w:rPr>
                <w:rFonts w:ascii="Century Gothic" w:hAnsi="Century Gothic" w:cs="Segoe UI"/>
                <w:sz w:val="22"/>
                <w:szCs w:val="22"/>
                <w:lang w:eastAsia="es-CO"/>
              </w:rPr>
              <w:t>E</w:t>
            </w:r>
            <w:r w:rsidRPr="005C0A57">
              <w:rPr>
                <w:rFonts w:ascii="Century Gothic" w:hAnsi="Century Gothic" w:cs="Segoe UI"/>
                <w:sz w:val="22"/>
                <w:szCs w:val="22"/>
                <w:lang w:eastAsia="es-CO"/>
              </w:rPr>
              <w:t>.</w:t>
            </w:r>
            <w:r>
              <w:rPr>
                <w:rFonts w:ascii="Century Gothic" w:hAnsi="Century Gothic" w:cs="Segoe UI"/>
                <w:sz w:val="22"/>
                <w:szCs w:val="22"/>
                <w:lang w:eastAsia="es-CO"/>
              </w:rPr>
              <w:t xml:space="preserve"> Empero en aras de brindar una estimación de las pretensiones se indica que los perjuicios ascienden a </w:t>
            </w:r>
            <w:r>
              <w:rPr>
                <w:rFonts w:ascii="Century Gothic" w:hAnsi="Century Gothic"/>
                <w:sz w:val="22"/>
                <w:szCs w:val="22"/>
              </w:rPr>
              <w:t>$</w:t>
            </w:r>
            <w:r w:rsidR="006B77D7">
              <w:rPr>
                <w:rFonts w:ascii="Century Gothic" w:hAnsi="Century Gothic"/>
                <w:sz w:val="22"/>
                <w:szCs w:val="22"/>
              </w:rPr>
              <w:t>4</w:t>
            </w:r>
            <w:r w:rsidR="00A53EE9">
              <w:rPr>
                <w:rFonts w:ascii="Century Gothic" w:hAnsi="Century Gothic"/>
                <w:sz w:val="22"/>
                <w:szCs w:val="22"/>
              </w:rPr>
              <w:t>9</w:t>
            </w:r>
            <w:r w:rsidR="006B77D7">
              <w:rPr>
                <w:rFonts w:ascii="Century Gothic" w:hAnsi="Century Gothic"/>
                <w:sz w:val="22"/>
                <w:szCs w:val="22"/>
              </w:rPr>
              <w:t>.666.666</w:t>
            </w:r>
            <w:r w:rsidR="00A16CBE">
              <w:rPr>
                <w:rFonts w:ascii="Century Gothic" w:hAnsi="Century Gothic"/>
                <w:sz w:val="22"/>
                <w:szCs w:val="22"/>
              </w:rPr>
              <w:t xml:space="preserve"> </w:t>
            </w:r>
            <w:r w:rsidR="002D350B" w:rsidRPr="00D63A16">
              <w:rPr>
                <w:rFonts w:ascii="Century Gothic" w:hAnsi="Century Gothic"/>
                <w:sz w:val="22"/>
                <w:szCs w:val="22"/>
              </w:rPr>
              <w:t>a la fecha de esta liquidación</w:t>
            </w:r>
            <w:r w:rsidR="00197E4C">
              <w:rPr>
                <w:rFonts w:ascii="Century Gothic" w:hAnsi="Century Gothic"/>
                <w:sz w:val="22"/>
                <w:szCs w:val="22"/>
              </w:rPr>
              <w:t>.</w:t>
            </w:r>
            <w:r w:rsidR="002D350B" w:rsidRPr="00D63A16">
              <w:rPr>
                <w:rFonts w:ascii="Century Gothic" w:hAnsi="Century Gothic"/>
                <w:sz w:val="22"/>
                <w:szCs w:val="22"/>
              </w:rPr>
              <w:t xml:space="preserve"> Lo anterior, con base en los siguientes </w:t>
            </w:r>
            <w:r w:rsidR="002D350B" w:rsidRPr="00713958">
              <w:rPr>
                <w:rFonts w:ascii="Century Gothic" w:hAnsi="Century Gothic"/>
                <w:sz w:val="22"/>
                <w:szCs w:val="22"/>
              </w:rPr>
              <w:t>fundamentos:</w:t>
            </w:r>
          </w:p>
          <w:p w14:paraId="712CA572" w14:textId="77777777" w:rsidR="007443CD" w:rsidRPr="00713958" w:rsidRDefault="007443CD" w:rsidP="00FD164B">
            <w:pPr>
              <w:spacing w:line="276" w:lineRule="auto"/>
              <w:jc w:val="both"/>
              <w:rPr>
                <w:rFonts w:ascii="Century Gothic" w:hAnsi="Century Gothic"/>
                <w:sz w:val="22"/>
                <w:szCs w:val="22"/>
              </w:rPr>
            </w:pPr>
          </w:p>
          <w:p w14:paraId="3A85EF01" w14:textId="5E40172B" w:rsidR="00CF61EA" w:rsidRPr="000A59B0" w:rsidRDefault="00CF61EA" w:rsidP="000A59B0">
            <w:pPr>
              <w:pStyle w:val="Prrafodelista"/>
              <w:numPr>
                <w:ilvl w:val="0"/>
                <w:numId w:val="2"/>
              </w:numPr>
              <w:jc w:val="both"/>
              <w:rPr>
                <w:rFonts w:ascii="Century Gothic" w:hAnsi="Century Gothic"/>
                <w:sz w:val="22"/>
                <w:szCs w:val="22"/>
              </w:rPr>
            </w:pPr>
            <w:r w:rsidRPr="00713958">
              <w:rPr>
                <w:rFonts w:ascii="Century Gothic" w:hAnsi="Century Gothic"/>
                <w:sz w:val="22"/>
                <w:szCs w:val="22"/>
              </w:rPr>
              <w:t>Daño moral:</w:t>
            </w:r>
            <w:r w:rsidR="000A59B0" w:rsidRPr="00E27F6C">
              <w:rPr>
                <w:rFonts w:ascii="Century Gothic" w:hAnsi="Century Gothic"/>
              </w:rPr>
              <w:t xml:space="preserve"> </w:t>
            </w:r>
            <w:r w:rsidR="000A59B0" w:rsidRPr="000A59B0">
              <w:rPr>
                <w:rFonts w:ascii="Century Gothic" w:hAnsi="Century Gothic"/>
                <w:sz w:val="22"/>
                <w:szCs w:val="22"/>
              </w:rPr>
              <w:t xml:space="preserve">Se tomó como daño moral la suma de $15.000.000 para la señora YOLANDA LEÓN ÁVILA, y $7.500.000 para ARISTIDES OSPITIA (cónyuge), MICHAEL </w:t>
            </w:r>
            <w:r w:rsidR="000A59B0" w:rsidRPr="000A59B0">
              <w:rPr>
                <w:rFonts w:ascii="Century Gothic" w:hAnsi="Century Gothic"/>
                <w:sz w:val="22"/>
                <w:szCs w:val="22"/>
              </w:rPr>
              <w:lastRenderedPageBreak/>
              <w:t>JORDYN OSPITIA (Hijo) y JUAN SEBASTIÁN OSPITIA (Hijo) a cada uno, siguiendo el criterio jurisprudencial de la sentencia SC780-2020 (M.P. Ariel Salazar Ramírez), que otorgó la suma de $30.000.000 a la pasajera de un vehículo, quien sufrió trauma craneano y fractura frontal. Considerando que la señora Ávila solo sufrió de una fractura en el humero, es pertinente reconocer la mitad de aquella suma para la víctima directa, y ésta reducida en un 50% para cada uno de los familiares en primer grado.</w:t>
            </w:r>
            <w:r w:rsidRPr="000A59B0">
              <w:rPr>
                <w:rFonts w:ascii="Century Gothic" w:hAnsi="Century Gothic"/>
                <w:sz w:val="22"/>
                <w:szCs w:val="22"/>
              </w:rPr>
              <w:t xml:space="preserve"> Ello, siguiendo el</w:t>
            </w:r>
            <w:r w:rsidR="00F6209E" w:rsidRPr="000A59B0">
              <w:rPr>
                <w:rFonts w:ascii="Century Gothic" w:hAnsi="Century Gothic"/>
                <w:sz w:val="22"/>
                <w:szCs w:val="22"/>
              </w:rPr>
              <w:t xml:space="preserve"> principio de congruencia </w:t>
            </w:r>
            <w:r w:rsidR="00D94E6D" w:rsidRPr="000A59B0">
              <w:rPr>
                <w:rFonts w:ascii="Century Gothic" w:hAnsi="Century Gothic"/>
                <w:sz w:val="22"/>
                <w:szCs w:val="22"/>
              </w:rPr>
              <w:t>que establece que la sentencia deberá está en consonancia con los hechos y pretensiones aducidos en la demanda</w:t>
            </w:r>
            <w:r w:rsidR="00C35664" w:rsidRPr="000A59B0">
              <w:rPr>
                <w:rFonts w:ascii="Century Gothic" w:hAnsi="Century Gothic"/>
                <w:sz w:val="22"/>
                <w:szCs w:val="22"/>
              </w:rPr>
              <w:t>.</w:t>
            </w:r>
          </w:p>
          <w:p w14:paraId="3B9A6A66" w14:textId="77777777" w:rsidR="0089206F" w:rsidRDefault="0089206F" w:rsidP="0089206F">
            <w:pPr>
              <w:pStyle w:val="Prrafodelista"/>
              <w:spacing w:line="276" w:lineRule="auto"/>
              <w:ind w:left="1065"/>
              <w:jc w:val="both"/>
              <w:rPr>
                <w:rFonts w:ascii="Century Gothic" w:hAnsi="Century Gothic"/>
                <w:sz w:val="22"/>
                <w:szCs w:val="22"/>
              </w:rPr>
            </w:pPr>
          </w:p>
          <w:p w14:paraId="1C35736D" w14:textId="39C9F544" w:rsidR="006B77D7" w:rsidRPr="006B77D7" w:rsidRDefault="0089206F" w:rsidP="006B77D7">
            <w:pPr>
              <w:pStyle w:val="Prrafodelista"/>
              <w:numPr>
                <w:ilvl w:val="0"/>
                <w:numId w:val="2"/>
              </w:numPr>
              <w:jc w:val="both"/>
              <w:rPr>
                <w:rFonts w:ascii="Century Gothic" w:hAnsi="Century Gothic"/>
                <w:sz w:val="22"/>
                <w:szCs w:val="22"/>
              </w:rPr>
            </w:pPr>
            <w:r w:rsidRPr="006B77D7">
              <w:rPr>
                <w:rFonts w:ascii="Century Gothic" w:hAnsi="Century Gothic"/>
                <w:sz w:val="22"/>
                <w:szCs w:val="22"/>
              </w:rPr>
              <w:t xml:space="preserve">Daño en la vida en relación: </w:t>
            </w:r>
            <w:r w:rsidR="006B77D7" w:rsidRPr="006B77D7">
              <w:rPr>
                <w:rFonts w:ascii="Century Gothic" w:hAnsi="Century Gothic"/>
                <w:sz w:val="22"/>
                <w:szCs w:val="22"/>
              </w:rPr>
              <w:t xml:space="preserve">Se reconoce la suma de $10.000.000 a favor de la señora Yolanda León, por cuanto la pérdida de movilidad en la muñeca de su brazo derecho, como consecuencia de la fractura en el humero alteró por cincuenta días, sus condiciones </w:t>
            </w:r>
            <w:r w:rsidR="006B77D7" w:rsidRPr="006B77D7">
              <w:rPr>
                <w:rFonts w:ascii="Century Gothic" w:hAnsi="Century Gothic"/>
                <w:sz w:val="22"/>
                <w:szCs w:val="22"/>
                <w:lang w:val="es-MX"/>
              </w:rPr>
              <w:t>de existencia y su integridad psicofísica, de manera que no pudo realizar una gran cantidad de actividades cotidianas (</w:t>
            </w:r>
            <w:r w:rsidR="006B77D7" w:rsidRPr="006B77D7">
              <w:rPr>
                <w:rFonts w:ascii="Century Gothic" w:hAnsi="Century Gothic"/>
                <w:sz w:val="22"/>
                <w:szCs w:val="22"/>
              </w:rPr>
              <w:t xml:space="preserve">Sentencia SC562-2020 M.P. Ariel Salazar Ramírez). </w:t>
            </w:r>
          </w:p>
          <w:p w14:paraId="3D65347A" w14:textId="4999D671" w:rsidR="00432EE1" w:rsidRPr="006B77D7" w:rsidRDefault="00432EE1" w:rsidP="006B77D7">
            <w:pPr>
              <w:pStyle w:val="Prrafodelista"/>
              <w:spacing w:line="276" w:lineRule="auto"/>
              <w:ind w:left="1065"/>
              <w:jc w:val="both"/>
              <w:rPr>
                <w:rFonts w:ascii="Century Gothic" w:hAnsi="Century Gothic"/>
                <w:sz w:val="22"/>
                <w:szCs w:val="22"/>
              </w:rPr>
            </w:pPr>
          </w:p>
          <w:p w14:paraId="5B5094B1" w14:textId="63D18418" w:rsidR="00432EE1" w:rsidRPr="00332250" w:rsidRDefault="00432EE1" w:rsidP="00D94E6D">
            <w:pPr>
              <w:pStyle w:val="Prrafodelista"/>
              <w:numPr>
                <w:ilvl w:val="0"/>
                <w:numId w:val="2"/>
              </w:numPr>
              <w:spacing w:line="276" w:lineRule="auto"/>
              <w:jc w:val="both"/>
              <w:rPr>
                <w:rFonts w:ascii="Century Gothic" w:hAnsi="Century Gothic"/>
                <w:sz w:val="22"/>
                <w:szCs w:val="22"/>
              </w:rPr>
            </w:pPr>
            <w:r w:rsidRPr="00332250">
              <w:rPr>
                <w:rFonts w:ascii="Century Gothic" w:hAnsi="Century Gothic"/>
                <w:sz w:val="22"/>
                <w:szCs w:val="22"/>
              </w:rPr>
              <w:t>Perjuicios fisiológicos en la salud mental</w:t>
            </w:r>
            <w:r w:rsidR="009D1F2D" w:rsidRPr="00332250">
              <w:rPr>
                <w:rFonts w:ascii="Century Gothic" w:hAnsi="Century Gothic"/>
                <w:sz w:val="22"/>
                <w:szCs w:val="22"/>
              </w:rPr>
              <w:t>:</w:t>
            </w:r>
            <w:r w:rsidR="00466B92" w:rsidRPr="00332250">
              <w:rPr>
                <w:rFonts w:ascii="Century Gothic" w:hAnsi="Century Gothic"/>
                <w:sz w:val="22"/>
                <w:szCs w:val="22"/>
              </w:rPr>
              <w:t xml:space="preserve"> No puede reconocer el daño a salud mental pues esta no es una tipología de perjuicio reconocida en la jurisdicción ordinaria en su especialidad civil, bien ha establecido la Corte Suprema de Justicia que existen tres tipologías de daños inmateriales, tales como daño moral, daño a la vida de relación y dañosa los derechos fundamentales.</w:t>
            </w:r>
          </w:p>
          <w:p w14:paraId="10C14EC4" w14:textId="77777777" w:rsidR="009D1F2D" w:rsidRPr="00332250" w:rsidRDefault="009D1F2D" w:rsidP="009D1F2D">
            <w:pPr>
              <w:pStyle w:val="Prrafodelista"/>
              <w:rPr>
                <w:rFonts w:ascii="Century Gothic" w:hAnsi="Century Gothic"/>
                <w:sz w:val="22"/>
                <w:szCs w:val="22"/>
              </w:rPr>
            </w:pPr>
          </w:p>
          <w:p w14:paraId="2ED3DC90" w14:textId="54331692" w:rsidR="009D1F2D" w:rsidRPr="00332250" w:rsidRDefault="009D1F2D" w:rsidP="00D94E6D">
            <w:pPr>
              <w:pStyle w:val="Prrafodelista"/>
              <w:numPr>
                <w:ilvl w:val="0"/>
                <w:numId w:val="2"/>
              </w:numPr>
              <w:spacing w:line="276" w:lineRule="auto"/>
              <w:jc w:val="both"/>
              <w:rPr>
                <w:rFonts w:ascii="Century Gothic" w:hAnsi="Century Gothic"/>
                <w:sz w:val="22"/>
                <w:szCs w:val="22"/>
              </w:rPr>
            </w:pPr>
            <w:r w:rsidRPr="00332250">
              <w:rPr>
                <w:rFonts w:ascii="Century Gothic" w:hAnsi="Century Gothic"/>
                <w:sz w:val="22"/>
                <w:szCs w:val="22"/>
              </w:rPr>
              <w:t xml:space="preserve">Daño a la salud: </w:t>
            </w:r>
            <w:r w:rsidR="00466B92" w:rsidRPr="00332250">
              <w:rPr>
                <w:rFonts w:ascii="Century Gothic" w:hAnsi="Century Gothic"/>
                <w:sz w:val="22"/>
                <w:szCs w:val="22"/>
              </w:rPr>
              <w:t>No puede reconocer el daño a salud mental pues esta no es una tipología de perjuicio reconocida en la jurisdicción ordinaria en su especialidad civil, bien ha establecido la Corte Suprema de Justicia que existen tres tipologías de daños inmateriales, tales como daño moral, daño a la vida de relación y dañosa los derechos fundamentales.</w:t>
            </w:r>
          </w:p>
          <w:p w14:paraId="3AE69243" w14:textId="77777777" w:rsidR="00CF61EA" w:rsidRPr="00CF61EA" w:rsidRDefault="00CF61EA" w:rsidP="00CF61EA">
            <w:pPr>
              <w:spacing w:line="276" w:lineRule="auto"/>
              <w:jc w:val="both"/>
              <w:rPr>
                <w:rFonts w:ascii="Century Gothic" w:hAnsi="Century Gothic"/>
                <w:sz w:val="22"/>
                <w:szCs w:val="22"/>
              </w:rPr>
            </w:pPr>
          </w:p>
          <w:p w14:paraId="30BFF8B3" w14:textId="4F285FD3" w:rsidR="007443CD" w:rsidRPr="00CB6925" w:rsidRDefault="002D350B" w:rsidP="00CB6925">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Lucro cesante</w:t>
            </w:r>
            <w:r w:rsidR="00FD164B">
              <w:rPr>
                <w:rFonts w:ascii="Century Gothic" w:hAnsi="Century Gothic"/>
                <w:sz w:val="22"/>
                <w:szCs w:val="22"/>
              </w:rPr>
              <w:t xml:space="preserve"> consolidado</w:t>
            </w:r>
            <w:r w:rsidRPr="00D63A16">
              <w:rPr>
                <w:rFonts w:ascii="Century Gothic" w:hAnsi="Century Gothic"/>
                <w:sz w:val="22"/>
                <w:szCs w:val="22"/>
              </w:rPr>
              <w:t xml:space="preserve">: </w:t>
            </w:r>
            <w:r w:rsidR="00FD164B">
              <w:rPr>
                <w:rFonts w:ascii="Century Gothic" w:hAnsi="Century Gothic"/>
                <w:sz w:val="22"/>
                <w:szCs w:val="22"/>
              </w:rPr>
              <w:t>E</w:t>
            </w:r>
            <w:r w:rsidR="00D33E78">
              <w:rPr>
                <w:rFonts w:ascii="Century Gothic" w:hAnsi="Century Gothic"/>
                <w:sz w:val="22"/>
                <w:szCs w:val="22"/>
              </w:rPr>
              <w:t xml:space="preserve">n consideración a los </w:t>
            </w:r>
            <w:r w:rsidR="00CB6925">
              <w:rPr>
                <w:rFonts w:ascii="Century Gothic" w:hAnsi="Century Gothic"/>
                <w:sz w:val="22"/>
                <w:szCs w:val="22"/>
              </w:rPr>
              <w:t>50</w:t>
            </w:r>
            <w:r w:rsidR="00D33E78">
              <w:rPr>
                <w:rFonts w:ascii="Century Gothic" w:hAnsi="Century Gothic"/>
                <w:sz w:val="22"/>
                <w:szCs w:val="22"/>
              </w:rPr>
              <w:t xml:space="preserve"> días de incapacidad médica </w:t>
            </w:r>
            <w:r w:rsidR="005D4257">
              <w:rPr>
                <w:rFonts w:ascii="Century Gothic" w:hAnsi="Century Gothic"/>
                <w:sz w:val="22"/>
                <w:szCs w:val="22"/>
              </w:rPr>
              <w:t>soportados</w:t>
            </w:r>
            <w:r w:rsidR="00CB6925">
              <w:rPr>
                <w:rFonts w:ascii="Century Gothic" w:hAnsi="Century Gothic"/>
                <w:sz w:val="22"/>
                <w:szCs w:val="22"/>
              </w:rPr>
              <w:t xml:space="preserve"> en la incapacidad médico legal </w:t>
            </w:r>
            <w:r w:rsidR="00713958">
              <w:rPr>
                <w:rFonts w:ascii="Century Gothic" w:hAnsi="Century Gothic"/>
                <w:sz w:val="22"/>
                <w:szCs w:val="22"/>
              </w:rPr>
              <w:t>y teniendo</w:t>
            </w:r>
            <w:r w:rsidR="000E527F">
              <w:rPr>
                <w:rFonts w:ascii="Century Gothic" w:hAnsi="Century Gothic"/>
                <w:sz w:val="22"/>
                <w:szCs w:val="22"/>
              </w:rPr>
              <w:t xml:space="preserve"> en cuenta el valor de salario mínimo del año 20</w:t>
            </w:r>
            <w:r w:rsidR="00462BBD">
              <w:rPr>
                <w:rFonts w:ascii="Century Gothic" w:hAnsi="Century Gothic"/>
                <w:sz w:val="22"/>
                <w:szCs w:val="22"/>
              </w:rPr>
              <w:t>2</w:t>
            </w:r>
            <w:r w:rsidR="00CB6925">
              <w:rPr>
                <w:rFonts w:ascii="Century Gothic" w:hAnsi="Century Gothic"/>
                <w:sz w:val="22"/>
                <w:szCs w:val="22"/>
              </w:rPr>
              <w:t>0, es decir 877.803</w:t>
            </w:r>
            <w:r w:rsidR="000E527F">
              <w:rPr>
                <w:rFonts w:ascii="Century Gothic" w:hAnsi="Century Gothic"/>
                <w:sz w:val="22"/>
                <w:szCs w:val="22"/>
              </w:rPr>
              <w:t xml:space="preserve">, corresponde </w:t>
            </w:r>
            <w:r w:rsidR="002C70D0">
              <w:rPr>
                <w:rFonts w:ascii="Century Gothic" w:hAnsi="Century Gothic"/>
                <w:sz w:val="22"/>
                <w:szCs w:val="22"/>
              </w:rPr>
              <w:t>reconocer por este concepto</w:t>
            </w:r>
            <w:r w:rsidR="000E527F">
              <w:rPr>
                <w:rFonts w:ascii="Century Gothic" w:hAnsi="Century Gothic"/>
                <w:sz w:val="22"/>
                <w:szCs w:val="22"/>
              </w:rPr>
              <w:t xml:space="preserve"> la suma de </w:t>
            </w:r>
            <w:r w:rsidR="00214299">
              <w:rPr>
                <w:rFonts w:ascii="Century Gothic" w:hAnsi="Century Gothic"/>
                <w:sz w:val="22"/>
                <w:szCs w:val="22"/>
              </w:rPr>
              <w:t>$</w:t>
            </w:r>
            <w:r w:rsidR="00CB6925">
              <w:rPr>
                <w:rFonts w:ascii="Century Gothic" w:hAnsi="Century Gothic"/>
                <w:b/>
                <w:bCs/>
                <w:sz w:val="22"/>
                <w:szCs w:val="22"/>
              </w:rPr>
              <w:t>1</w:t>
            </w:r>
            <w:r w:rsidR="00713958" w:rsidRPr="00713958">
              <w:rPr>
                <w:rFonts w:ascii="Century Gothic" w:hAnsi="Century Gothic"/>
                <w:b/>
                <w:bCs/>
                <w:sz w:val="22"/>
                <w:szCs w:val="22"/>
              </w:rPr>
              <w:t>.</w:t>
            </w:r>
            <w:r w:rsidR="00CB6925">
              <w:rPr>
                <w:rFonts w:ascii="Century Gothic" w:hAnsi="Century Gothic"/>
                <w:b/>
                <w:bCs/>
                <w:sz w:val="22"/>
                <w:szCs w:val="22"/>
              </w:rPr>
              <w:t>666</w:t>
            </w:r>
            <w:r w:rsidR="00332379">
              <w:rPr>
                <w:rFonts w:ascii="Century Gothic" w:hAnsi="Century Gothic"/>
                <w:b/>
                <w:bCs/>
                <w:sz w:val="22"/>
                <w:szCs w:val="22"/>
              </w:rPr>
              <w:t>.</w:t>
            </w:r>
            <w:r w:rsidR="00CB6925">
              <w:rPr>
                <w:rFonts w:ascii="Century Gothic" w:hAnsi="Century Gothic"/>
                <w:b/>
                <w:bCs/>
                <w:sz w:val="22"/>
                <w:szCs w:val="22"/>
              </w:rPr>
              <w:t>666</w:t>
            </w:r>
            <w:r w:rsidR="00713958">
              <w:rPr>
                <w:rFonts w:ascii="Century Gothic" w:hAnsi="Century Gothic"/>
                <w:b/>
                <w:bCs/>
                <w:sz w:val="22"/>
                <w:szCs w:val="22"/>
              </w:rPr>
              <w:t>.</w:t>
            </w:r>
            <w:r w:rsidR="000E527F">
              <w:rPr>
                <w:rFonts w:ascii="Century Gothic" w:hAnsi="Century Gothic"/>
                <w:sz w:val="22"/>
                <w:szCs w:val="22"/>
              </w:rPr>
              <w:t xml:space="preserve"> pesos</w:t>
            </w:r>
            <w:r w:rsidR="002C70D0">
              <w:rPr>
                <w:rFonts w:ascii="Century Gothic" w:hAnsi="Century Gothic"/>
                <w:sz w:val="22"/>
                <w:szCs w:val="22"/>
              </w:rPr>
              <w:t>. Lo anterior también teniendo en cuenta que</w:t>
            </w:r>
            <w:r w:rsidR="00CB6925">
              <w:rPr>
                <w:rFonts w:ascii="Century Gothic" w:hAnsi="Century Gothic"/>
                <w:sz w:val="22"/>
                <w:szCs w:val="22"/>
              </w:rPr>
              <w:t xml:space="preserve"> </w:t>
            </w:r>
            <w:r w:rsidR="002C70D0">
              <w:rPr>
                <w:rFonts w:ascii="Century Gothic" w:hAnsi="Century Gothic"/>
                <w:sz w:val="22"/>
                <w:szCs w:val="22"/>
              </w:rPr>
              <w:t xml:space="preserve">en la demanda se solicitó este valor, por lo que </w:t>
            </w:r>
            <w:r w:rsidR="00CB6925">
              <w:rPr>
                <w:rFonts w:ascii="Century Gothic" w:hAnsi="Century Gothic"/>
                <w:sz w:val="22"/>
                <w:szCs w:val="22"/>
              </w:rPr>
              <w:t>deberá aplicarse el principio de congruencia entre lo pretendido por la demandante y una eventual sentencia condenatoria.</w:t>
            </w:r>
            <w:r w:rsidR="000E527F">
              <w:rPr>
                <w:rFonts w:ascii="Century Gothic" w:hAnsi="Century Gothic"/>
                <w:sz w:val="22"/>
                <w:szCs w:val="22"/>
              </w:rPr>
              <w:t xml:space="preserve"> </w:t>
            </w:r>
          </w:p>
          <w:p w14:paraId="59A926BD" w14:textId="49401506" w:rsidR="00BD2441" w:rsidRPr="0089206F" w:rsidRDefault="00BD2441" w:rsidP="0089206F">
            <w:pPr>
              <w:rPr>
                <w:rFonts w:ascii="Century Gothic" w:hAnsi="Century Gothic"/>
                <w:sz w:val="22"/>
                <w:szCs w:val="22"/>
              </w:rPr>
            </w:pPr>
          </w:p>
          <w:p w14:paraId="37DBE1E0" w14:textId="5882376A" w:rsidR="00D63A16" w:rsidRPr="00D63A16" w:rsidRDefault="002D350B"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Valor asegurado: el valor asegurado corresponde a</w:t>
            </w:r>
            <w:r w:rsidR="008C0390">
              <w:rPr>
                <w:rFonts w:ascii="Century Gothic" w:hAnsi="Century Gothic"/>
                <w:sz w:val="22"/>
                <w:szCs w:val="22"/>
              </w:rPr>
              <w:t xml:space="preserve"> 60 SMLMV equivalente </w:t>
            </w:r>
            <w:r w:rsidR="00234EE0">
              <w:rPr>
                <w:rFonts w:ascii="Century Gothic" w:hAnsi="Century Gothic"/>
                <w:sz w:val="22"/>
                <w:szCs w:val="22"/>
              </w:rPr>
              <w:t xml:space="preserve">a </w:t>
            </w:r>
            <w:r w:rsidR="00234EE0" w:rsidRPr="00D63A16">
              <w:rPr>
                <w:rFonts w:ascii="Century Gothic" w:hAnsi="Century Gothic"/>
                <w:sz w:val="22"/>
                <w:szCs w:val="22"/>
              </w:rPr>
              <w:t>$</w:t>
            </w:r>
            <w:r w:rsidR="008C0390">
              <w:rPr>
                <w:rFonts w:ascii="Century Gothic" w:hAnsi="Century Gothic" w:cs="Segoe UI"/>
                <w:sz w:val="22"/>
                <w:szCs w:val="22"/>
                <w:lang w:eastAsia="es-CO"/>
              </w:rPr>
              <w:t>85.410.000</w:t>
            </w:r>
            <w:r w:rsidR="00D63A16" w:rsidRPr="00D63A16">
              <w:rPr>
                <w:rFonts w:ascii="Century Gothic" w:hAnsi="Century Gothic" w:cs="Segoe UI"/>
                <w:sz w:val="22"/>
                <w:szCs w:val="22"/>
                <w:lang w:eastAsia="es-CO"/>
              </w:rPr>
              <w:t xml:space="preserve"> </w:t>
            </w:r>
            <w:r w:rsidR="004B031F">
              <w:rPr>
                <w:rFonts w:ascii="Century Gothic" w:hAnsi="Century Gothic" w:cs="Segoe UI"/>
                <w:sz w:val="22"/>
                <w:szCs w:val="22"/>
                <w:lang w:eastAsia="es-CO"/>
              </w:rPr>
              <w:t>por pasajero.</w:t>
            </w:r>
          </w:p>
          <w:p w14:paraId="097520E0" w14:textId="77777777" w:rsidR="00D63A16" w:rsidRPr="00D63A16" w:rsidRDefault="00D63A16" w:rsidP="00D63A16">
            <w:pPr>
              <w:pStyle w:val="Prrafodelista"/>
              <w:rPr>
                <w:rFonts w:ascii="Century Gothic" w:hAnsi="Century Gothic"/>
                <w:sz w:val="22"/>
                <w:szCs w:val="22"/>
              </w:rPr>
            </w:pPr>
          </w:p>
          <w:p w14:paraId="31FF8AB1" w14:textId="77C04649" w:rsidR="00E802BC" w:rsidRPr="00FA39A9" w:rsidRDefault="0064593C" w:rsidP="002E1D33">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Deducible:</w:t>
            </w:r>
            <w:r w:rsidR="00D63A16" w:rsidRPr="00D63A16">
              <w:rPr>
                <w:rFonts w:ascii="Century Gothic" w:hAnsi="Century Gothic"/>
                <w:sz w:val="22"/>
                <w:szCs w:val="22"/>
              </w:rPr>
              <w:t xml:space="preserve"> Esta póliza no contempla deducibles.</w:t>
            </w:r>
          </w:p>
        </w:tc>
      </w:tr>
    </w:tbl>
    <w:p w14:paraId="7273C5A1" w14:textId="77777777" w:rsidR="0095378E" w:rsidRPr="001E0B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1E0B01" w:rsidRPr="001E0B01" w14:paraId="05674BEA" w14:textId="77777777" w:rsidTr="0095378E">
        <w:trPr>
          <w:trHeight w:val="321"/>
        </w:trPr>
        <w:tc>
          <w:tcPr>
            <w:tcW w:w="10207" w:type="dxa"/>
            <w:shd w:val="clear" w:color="auto" w:fill="C5E0B3" w:themeFill="accent6" w:themeFillTint="66"/>
            <w:vAlign w:val="center"/>
          </w:tcPr>
          <w:p w14:paraId="2BB97918" w14:textId="52E94393" w:rsidR="003B7F1A" w:rsidRPr="001E0B01" w:rsidRDefault="003B7F1A" w:rsidP="003B7F1A">
            <w:pPr>
              <w:spacing w:line="276" w:lineRule="auto"/>
              <w:jc w:val="center"/>
              <w:rPr>
                <w:rFonts w:ascii="Century Gothic" w:hAnsi="Century Gothic"/>
                <w:sz w:val="22"/>
                <w:szCs w:val="22"/>
              </w:rPr>
            </w:pPr>
            <w:r w:rsidRPr="001E0B01">
              <w:rPr>
                <w:rFonts w:ascii="Century Gothic" w:hAnsi="Century Gothic"/>
                <w:b/>
                <w:bCs/>
                <w:sz w:val="22"/>
                <w:szCs w:val="22"/>
              </w:rPr>
              <w:t>Excepciones</w:t>
            </w:r>
          </w:p>
        </w:tc>
      </w:tr>
      <w:tr w:rsidR="001E0B01" w:rsidRPr="001E0B01" w14:paraId="4AAD7549" w14:textId="77777777" w:rsidTr="00E150BC">
        <w:trPr>
          <w:trHeight w:val="4535"/>
        </w:trPr>
        <w:tc>
          <w:tcPr>
            <w:tcW w:w="10207" w:type="dxa"/>
            <w:vAlign w:val="center"/>
          </w:tcPr>
          <w:p w14:paraId="0DA616D9" w14:textId="5978F861" w:rsidR="009E0C57" w:rsidRPr="001E0B01" w:rsidRDefault="00824209" w:rsidP="00C4153F">
            <w:pPr>
              <w:spacing w:line="276" w:lineRule="auto"/>
              <w:jc w:val="both"/>
              <w:rPr>
                <w:rFonts w:ascii="Century Gothic" w:hAnsi="Century Gothic"/>
                <w:sz w:val="22"/>
                <w:szCs w:val="22"/>
              </w:rPr>
            </w:pPr>
            <w:r w:rsidRPr="001E0B01">
              <w:rPr>
                <w:rFonts w:ascii="Century Gothic" w:hAnsi="Century Gothic"/>
                <w:sz w:val="22"/>
                <w:szCs w:val="22"/>
              </w:rPr>
              <w:lastRenderedPageBreak/>
              <w:t>Excepciones de Fondo frente a la demand</w:t>
            </w:r>
            <w:r w:rsidR="00D561CD">
              <w:rPr>
                <w:rFonts w:ascii="Century Gothic" w:hAnsi="Century Gothic"/>
                <w:sz w:val="22"/>
                <w:szCs w:val="22"/>
              </w:rPr>
              <w:t>a</w:t>
            </w:r>
            <w:r w:rsidR="009E0C57">
              <w:rPr>
                <w:rFonts w:ascii="Century Gothic" w:hAnsi="Century Gothic"/>
                <w:sz w:val="22"/>
                <w:szCs w:val="22"/>
              </w:rPr>
              <w:t xml:space="preserve"> </w:t>
            </w:r>
          </w:p>
          <w:p w14:paraId="5E4D20B9" w14:textId="4FED4122" w:rsidR="00C4153F" w:rsidRPr="001E0B01" w:rsidRDefault="00C4153F" w:rsidP="00C4153F">
            <w:pPr>
              <w:spacing w:line="276" w:lineRule="auto"/>
              <w:jc w:val="both"/>
              <w:rPr>
                <w:rFonts w:ascii="Century Gothic" w:hAnsi="Century Gothic"/>
                <w:sz w:val="22"/>
                <w:szCs w:val="22"/>
              </w:rPr>
            </w:pPr>
          </w:p>
          <w:p w14:paraId="179A46FC" w14:textId="5B5B2275"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1.</w:t>
            </w:r>
            <w:r w:rsidRPr="001E0B01">
              <w:rPr>
                <w:rFonts w:ascii="Century Gothic" w:hAnsi="Century Gothic"/>
                <w:sz w:val="22"/>
                <w:szCs w:val="22"/>
              </w:rPr>
              <w:tab/>
            </w:r>
            <w:r w:rsidR="00CB6925">
              <w:rPr>
                <w:rFonts w:ascii="Century Gothic" w:hAnsi="Century Gothic"/>
                <w:sz w:val="22"/>
                <w:szCs w:val="22"/>
              </w:rPr>
              <w:t>Excepciones planteadas por quien formuló el llamamiento en garantía a mi representada.</w:t>
            </w:r>
          </w:p>
          <w:p w14:paraId="14A1FEA7" w14:textId="667B66B1"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2.</w:t>
            </w:r>
            <w:r w:rsidRPr="001E0B01">
              <w:rPr>
                <w:rFonts w:ascii="Century Gothic" w:hAnsi="Century Gothic"/>
                <w:sz w:val="22"/>
                <w:szCs w:val="22"/>
              </w:rPr>
              <w:tab/>
            </w:r>
            <w:r w:rsidR="00CB6925">
              <w:rPr>
                <w:rFonts w:ascii="Century Gothic" w:hAnsi="Century Gothic"/>
                <w:sz w:val="22"/>
                <w:szCs w:val="22"/>
              </w:rPr>
              <w:t>Inexistencia de responsabilidad al estar ante una causa extraña como eximente de responsabilidad “caso fortuito”.</w:t>
            </w:r>
          </w:p>
          <w:p w14:paraId="25B2FCA0" w14:textId="3A59FB92"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3.</w:t>
            </w:r>
            <w:r w:rsidRPr="001E0B01">
              <w:rPr>
                <w:rFonts w:ascii="Century Gothic" w:hAnsi="Century Gothic"/>
                <w:sz w:val="22"/>
                <w:szCs w:val="22"/>
              </w:rPr>
              <w:tab/>
            </w:r>
            <w:r w:rsidR="00CB6925">
              <w:rPr>
                <w:rFonts w:ascii="Century Gothic" w:hAnsi="Century Gothic"/>
                <w:sz w:val="22"/>
                <w:szCs w:val="22"/>
              </w:rPr>
              <w:t>Inexistencia de responsabilidad por falta de acreditación del nexo causal.</w:t>
            </w:r>
          </w:p>
          <w:p w14:paraId="5E924331" w14:textId="0D8A57F4"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4.</w:t>
            </w:r>
            <w:r w:rsidRPr="001E0B01">
              <w:rPr>
                <w:rFonts w:ascii="Century Gothic" w:hAnsi="Century Gothic"/>
                <w:sz w:val="22"/>
                <w:szCs w:val="22"/>
              </w:rPr>
              <w:tab/>
            </w:r>
            <w:r w:rsidR="00CB6925">
              <w:rPr>
                <w:rFonts w:ascii="Century Gothic" w:hAnsi="Century Gothic"/>
                <w:sz w:val="22"/>
                <w:szCs w:val="22"/>
              </w:rPr>
              <w:t>Anulación de la presunción de culpa como consecuencia de la concurrencia de actividades peligrosas.</w:t>
            </w:r>
          </w:p>
          <w:p w14:paraId="03D2B19B" w14:textId="2A0B3EC2" w:rsidR="0030264F" w:rsidRPr="0030264F" w:rsidRDefault="00C4153F" w:rsidP="00CA039A">
            <w:pPr>
              <w:autoSpaceDE w:val="0"/>
              <w:autoSpaceDN w:val="0"/>
              <w:adjustRightInd w:val="0"/>
              <w:rPr>
                <w:rFonts w:ascii="Century Gothic" w:hAnsi="Century Gothic"/>
                <w:sz w:val="22"/>
                <w:szCs w:val="22"/>
              </w:rPr>
            </w:pPr>
            <w:r w:rsidRPr="001E0B01">
              <w:rPr>
                <w:rFonts w:ascii="Century Gothic" w:hAnsi="Century Gothic"/>
                <w:sz w:val="22"/>
                <w:szCs w:val="22"/>
              </w:rPr>
              <w:t>5.</w:t>
            </w:r>
            <w:r w:rsidRPr="001E0B01">
              <w:rPr>
                <w:rFonts w:ascii="Century Gothic" w:hAnsi="Century Gothic"/>
                <w:sz w:val="22"/>
                <w:szCs w:val="22"/>
              </w:rPr>
              <w:tab/>
            </w:r>
            <w:r w:rsidR="00CB6925">
              <w:rPr>
                <w:rFonts w:ascii="Century Gothic" w:hAnsi="Century Gothic"/>
                <w:sz w:val="22"/>
                <w:szCs w:val="22"/>
              </w:rPr>
              <w:t>Improcedencia de reconocimiento de lucro cesante.</w:t>
            </w:r>
          </w:p>
          <w:p w14:paraId="2A456ACB" w14:textId="56455EFA"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6.</w:t>
            </w:r>
            <w:r w:rsidRPr="001E0B01">
              <w:rPr>
                <w:rFonts w:ascii="Century Gothic" w:hAnsi="Century Gothic"/>
                <w:sz w:val="22"/>
                <w:szCs w:val="22"/>
              </w:rPr>
              <w:tab/>
            </w:r>
            <w:r w:rsidR="00CB6925">
              <w:rPr>
                <w:rFonts w:ascii="Century Gothic" w:hAnsi="Century Gothic"/>
                <w:sz w:val="22"/>
                <w:szCs w:val="22"/>
              </w:rPr>
              <w:t>Tasación indebida e injustificada de los perjuicios reclamados por los demandantes denominados “daño moral”.</w:t>
            </w:r>
          </w:p>
          <w:p w14:paraId="4BE1D287" w14:textId="62847E42" w:rsidR="003B7F1A"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7.</w:t>
            </w:r>
            <w:r w:rsidRPr="001E0B01">
              <w:rPr>
                <w:rFonts w:ascii="Century Gothic" w:hAnsi="Century Gothic"/>
                <w:sz w:val="22"/>
                <w:szCs w:val="22"/>
              </w:rPr>
              <w:tab/>
            </w:r>
            <w:r w:rsidR="00CB6925">
              <w:rPr>
                <w:rFonts w:ascii="Century Gothic" w:hAnsi="Century Gothic"/>
                <w:sz w:val="22"/>
                <w:szCs w:val="22"/>
              </w:rPr>
              <w:t>Improcedencia de reconocimiento del daño a la vida en relación.</w:t>
            </w:r>
          </w:p>
          <w:p w14:paraId="0FEC9D12" w14:textId="09DC3077" w:rsidR="00A53EE9" w:rsidRDefault="00A53EE9" w:rsidP="00C4153F">
            <w:pPr>
              <w:spacing w:line="276" w:lineRule="auto"/>
              <w:jc w:val="both"/>
              <w:rPr>
                <w:rFonts w:ascii="Century Gothic" w:hAnsi="Century Gothic"/>
                <w:sz w:val="22"/>
                <w:szCs w:val="22"/>
              </w:rPr>
            </w:pPr>
            <w:r>
              <w:rPr>
                <w:rFonts w:ascii="Century Gothic" w:hAnsi="Century Gothic"/>
                <w:sz w:val="22"/>
                <w:szCs w:val="22"/>
              </w:rPr>
              <w:t>8.         Improcedente de reconocimiento de daño a la salud mental</w:t>
            </w:r>
          </w:p>
          <w:p w14:paraId="31AEB6DB" w14:textId="1C64B68C" w:rsidR="00CA039A" w:rsidRDefault="00A53EE9" w:rsidP="00C4153F">
            <w:pPr>
              <w:spacing w:line="276" w:lineRule="auto"/>
              <w:jc w:val="both"/>
              <w:rPr>
                <w:rFonts w:ascii="Century Gothic" w:hAnsi="Century Gothic"/>
                <w:sz w:val="22"/>
                <w:szCs w:val="22"/>
              </w:rPr>
            </w:pPr>
            <w:r>
              <w:rPr>
                <w:rFonts w:ascii="Century Gothic" w:hAnsi="Century Gothic"/>
                <w:sz w:val="22"/>
                <w:szCs w:val="22"/>
              </w:rPr>
              <w:t>9</w:t>
            </w:r>
            <w:r w:rsidR="00CA039A">
              <w:rPr>
                <w:rFonts w:ascii="Century Gothic" w:hAnsi="Century Gothic"/>
                <w:sz w:val="22"/>
                <w:szCs w:val="22"/>
              </w:rPr>
              <w:t xml:space="preserve">.         </w:t>
            </w:r>
            <w:r w:rsidR="00CB6925">
              <w:rPr>
                <w:rFonts w:ascii="Century Gothic" w:hAnsi="Century Gothic"/>
                <w:sz w:val="22"/>
                <w:szCs w:val="22"/>
              </w:rPr>
              <w:t>Improcedencia de reconocimiento de daño a la salud o perjuicio fisiológico o daño fisiológico a la salud mental.</w:t>
            </w:r>
          </w:p>
          <w:p w14:paraId="0740C9D0" w14:textId="32360158" w:rsidR="000757E3" w:rsidRDefault="00A53EE9" w:rsidP="00CB6925">
            <w:pPr>
              <w:spacing w:line="276" w:lineRule="auto"/>
              <w:jc w:val="both"/>
              <w:rPr>
                <w:rFonts w:ascii="Century Gothic" w:hAnsi="Century Gothic"/>
                <w:sz w:val="22"/>
                <w:szCs w:val="22"/>
              </w:rPr>
            </w:pPr>
            <w:r>
              <w:rPr>
                <w:rFonts w:ascii="Century Gothic" w:hAnsi="Century Gothic"/>
                <w:sz w:val="22"/>
                <w:szCs w:val="22"/>
              </w:rPr>
              <w:t>10</w:t>
            </w:r>
            <w:r w:rsidR="00CA039A">
              <w:rPr>
                <w:rFonts w:ascii="Century Gothic" w:hAnsi="Century Gothic"/>
                <w:sz w:val="22"/>
                <w:szCs w:val="22"/>
              </w:rPr>
              <w:t xml:space="preserve">.        </w:t>
            </w:r>
            <w:r w:rsidR="00CB6925">
              <w:rPr>
                <w:rFonts w:ascii="Century Gothic" w:hAnsi="Century Gothic"/>
                <w:sz w:val="22"/>
                <w:szCs w:val="22"/>
              </w:rPr>
              <w:t>Genérica o innominada.</w:t>
            </w:r>
          </w:p>
          <w:p w14:paraId="7C74AD1E" w14:textId="5CDE48E9" w:rsidR="000757E3" w:rsidRDefault="000757E3" w:rsidP="00C4153F">
            <w:pPr>
              <w:spacing w:line="276" w:lineRule="auto"/>
              <w:jc w:val="both"/>
              <w:rPr>
                <w:rFonts w:ascii="Century Gothic" w:hAnsi="Century Gothic"/>
                <w:sz w:val="22"/>
                <w:szCs w:val="22"/>
              </w:rPr>
            </w:pPr>
          </w:p>
          <w:p w14:paraId="569FF879" w14:textId="4DE1217B" w:rsidR="00A53EE9" w:rsidRDefault="00A53EE9" w:rsidP="00C4153F">
            <w:pPr>
              <w:spacing w:line="276" w:lineRule="auto"/>
              <w:jc w:val="both"/>
              <w:rPr>
                <w:rFonts w:ascii="Century Gothic" w:hAnsi="Century Gothic"/>
                <w:sz w:val="22"/>
                <w:szCs w:val="22"/>
              </w:rPr>
            </w:pPr>
            <w:r>
              <w:rPr>
                <w:rFonts w:ascii="Century Gothic" w:hAnsi="Century Gothic"/>
                <w:sz w:val="22"/>
                <w:szCs w:val="22"/>
              </w:rPr>
              <w:t xml:space="preserve">Excepciones de fondo frente al llamamiento en garantía propuesto por </w:t>
            </w:r>
            <w:r w:rsidR="00E150BC">
              <w:rPr>
                <w:rFonts w:ascii="Century Gothic" w:hAnsi="Century Gothic"/>
                <w:sz w:val="22"/>
                <w:szCs w:val="22"/>
              </w:rPr>
              <w:t>LA COOPERATIVA DE TRANSPORTADORES FLOTAX DUITAMA.</w:t>
            </w:r>
          </w:p>
          <w:p w14:paraId="50CE4AD8" w14:textId="151A0E2C" w:rsidR="00E150BC" w:rsidRDefault="00E150BC" w:rsidP="00C4153F">
            <w:pPr>
              <w:spacing w:line="276" w:lineRule="auto"/>
              <w:jc w:val="both"/>
              <w:rPr>
                <w:rFonts w:ascii="Century Gothic" w:hAnsi="Century Gothic"/>
                <w:sz w:val="22"/>
                <w:szCs w:val="22"/>
              </w:rPr>
            </w:pPr>
          </w:p>
          <w:p w14:paraId="239E6F53" w14:textId="052DBF26"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Aplicación del principio de congruencia.</w:t>
            </w:r>
          </w:p>
          <w:p w14:paraId="470AD3AB" w14:textId="2BDA3CE8"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Falta de cobertura material del contrato de seguro, por cuando la Póliza de Seguro RCC. No AA009779 no ampara la responsabilidad civil extracontractual.</w:t>
            </w:r>
          </w:p>
          <w:p w14:paraId="6E5F5F8E" w14:textId="1D0A423D"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Inexistencia de obligación indemnizatoria por cuando no se ha realizado el riesgo asegurado en la póliza AA004123 y AA009779, en lo que respecta a los amparos de responsabilidad civil.</w:t>
            </w:r>
          </w:p>
          <w:p w14:paraId="2D9BF215" w14:textId="46D14A7E"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Riesgos expresamente excluidos en las pólizas de seguros No. AA004123 y AA009779.</w:t>
            </w:r>
          </w:p>
          <w:p w14:paraId="6623A973" w14:textId="2C4F6725"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Carácter meramente indemnizatorio que reviste los contratos de seguro.</w:t>
            </w:r>
          </w:p>
          <w:p w14:paraId="7D34BD52" w14:textId="654039C4"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En cualquier caso, de ninguna forma se podrá exceder el límite del valor asegurado.</w:t>
            </w:r>
          </w:p>
          <w:p w14:paraId="6BF506EA" w14:textId="6098FE3A"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Prescripción de las acciones derivadas de los contratos de seguro.</w:t>
            </w:r>
          </w:p>
          <w:p w14:paraId="685DEBCE" w14:textId="2D9B4D92"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Disponibilidad del valor asegurado.</w:t>
            </w:r>
          </w:p>
          <w:p w14:paraId="39FB9DA0" w14:textId="20EA90C3" w:rsidR="00E150BC" w:rsidRDefault="00E150BC" w:rsidP="00E150BC">
            <w:pPr>
              <w:pStyle w:val="Prrafodelista"/>
              <w:numPr>
                <w:ilvl w:val="0"/>
                <w:numId w:val="9"/>
              </w:numPr>
              <w:spacing w:line="276" w:lineRule="auto"/>
              <w:jc w:val="both"/>
              <w:rPr>
                <w:rFonts w:ascii="Century Gothic" w:hAnsi="Century Gothic"/>
                <w:sz w:val="22"/>
                <w:szCs w:val="22"/>
              </w:rPr>
            </w:pPr>
            <w:r>
              <w:rPr>
                <w:rFonts w:ascii="Century Gothic" w:hAnsi="Century Gothic"/>
                <w:sz w:val="22"/>
                <w:szCs w:val="22"/>
              </w:rPr>
              <w:t>Genérica o innominada.</w:t>
            </w:r>
          </w:p>
          <w:p w14:paraId="61C054AA" w14:textId="77777777" w:rsidR="00E150BC" w:rsidRPr="00E150BC" w:rsidRDefault="00E150BC" w:rsidP="00E150BC">
            <w:pPr>
              <w:pStyle w:val="Prrafodelista"/>
              <w:spacing w:line="276" w:lineRule="auto"/>
              <w:jc w:val="both"/>
              <w:rPr>
                <w:rFonts w:ascii="Century Gothic" w:hAnsi="Century Gothic"/>
                <w:sz w:val="22"/>
                <w:szCs w:val="22"/>
              </w:rPr>
            </w:pPr>
          </w:p>
          <w:p w14:paraId="5171AD8E" w14:textId="0AF623C5" w:rsidR="000757E3" w:rsidRDefault="000757E3" w:rsidP="00C4153F">
            <w:pPr>
              <w:spacing w:line="276" w:lineRule="auto"/>
              <w:jc w:val="both"/>
              <w:rPr>
                <w:rFonts w:ascii="Century Gothic" w:hAnsi="Century Gothic"/>
                <w:sz w:val="22"/>
                <w:szCs w:val="22"/>
              </w:rPr>
            </w:pPr>
            <w:r>
              <w:rPr>
                <w:rFonts w:ascii="Century Gothic" w:hAnsi="Century Gothic"/>
                <w:sz w:val="22"/>
                <w:szCs w:val="22"/>
              </w:rPr>
              <w:t>Excepciones de fondo frente al llamamiento en garantía</w:t>
            </w:r>
            <w:r w:rsidR="00CF5D04">
              <w:rPr>
                <w:rFonts w:ascii="Century Gothic" w:hAnsi="Century Gothic"/>
                <w:sz w:val="22"/>
                <w:szCs w:val="22"/>
              </w:rPr>
              <w:t xml:space="preserve"> propuesto por OSCAR JAVIER BOTIA GONZALEZ</w:t>
            </w:r>
            <w:r>
              <w:rPr>
                <w:rFonts w:ascii="Century Gothic" w:hAnsi="Century Gothic"/>
                <w:sz w:val="22"/>
                <w:szCs w:val="22"/>
              </w:rPr>
              <w:t xml:space="preserve">: </w:t>
            </w:r>
          </w:p>
          <w:p w14:paraId="7A460F0D" w14:textId="77777777" w:rsidR="000757E3" w:rsidRDefault="000757E3" w:rsidP="00C4153F">
            <w:pPr>
              <w:spacing w:line="276" w:lineRule="auto"/>
              <w:jc w:val="both"/>
              <w:rPr>
                <w:rFonts w:ascii="Century Gothic" w:hAnsi="Century Gothic"/>
                <w:sz w:val="22"/>
                <w:szCs w:val="22"/>
              </w:rPr>
            </w:pPr>
          </w:p>
          <w:p w14:paraId="344E008C" w14:textId="5DD6CA9D" w:rsidR="000757E3" w:rsidRDefault="00CF5D04"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Ineficacia del llamamiento en garantía.</w:t>
            </w:r>
          </w:p>
          <w:p w14:paraId="3B9E9F49" w14:textId="2EE6E199" w:rsidR="000757E3" w:rsidRDefault="00CF5D04"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Prescripción de la acción derivada del contrato de seguro.</w:t>
            </w:r>
          </w:p>
          <w:p w14:paraId="2B85002D" w14:textId="130B83F2"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lastRenderedPageBreak/>
              <w:t xml:space="preserve">Inexistencia de obligación indemnizatoria </w:t>
            </w:r>
            <w:r w:rsidR="00CF5D04">
              <w:rPr>
                <w:rFonts w:ascii="Century Gothic" w:hAnsi="Century Gothic"/>
                <w:sz w:val="22"/>
                <w:szCs w:val="22"/>
              </w:rPr>
              <w:t>por cuando no se ha realizado el riesgo asegurado en la póliza AA004123, en lo que respecta a los amparos de responsabilidad civil.</w:t>
            </w:r>
          </w:p>
          <w:p w14:paraId="10618468" w14:textId="3B3BE015"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 xml:space="preserve">Riesgos expresamente excluidos en la póliza de seguro </w:t>
            </w:r>
            <w:r w:rsidR="00CF5D04">
              <w:rPr>
                <w:rFonts w:ascii="Century Gothic" w:hAnsi="Century Gothic"/>
                <w:sz w:val="22"/>
                <w:szCs w:val="22"/>
              </w:rPr>
              <w:t>No. AA004123.</w:t>
            </w:r>
          </w:p>
          <w:p w14:paraId="1B36C5A1"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Carácter meramente indemnizatorio que revisten los contratos de seguros.</w:t>
            </w:r>
          </w:p>
          <w:p w14:paraId="07D4B923"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De ninguna forma se podrá exceder el límite del valor asegurado.</w:t>
            </w:r>
          </w:p>
          <w:p w14:paraId="1D14658F"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Sujeción a las condiciones particulares y generales del contrato de seguro, en la que se identifica la póliza, el clausulado y los amparos.</w:t>
            </w:r>
          </w:p>
          <w:p w14:paraId="5C6B8F87"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 xml:space="preserve">Disponibilidad del valor asegurado. </w:t>
            </w:r>
          </w:p>
          <w:p w14:paraId="52CE2D52" w14:textId="1833A160" w:rsidR="000757E3" w:rsidRP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 xml:space="preserve">Genérica o innominada. </w:t>
            </w:r>
          </w:p>
        </w:tc>
      </w:tr>
    </w:tbl>
    <w:p w14:paraId="0AA122B4" w14:textId="77777777" w:rsidR="00F67EF8" w:rsidRPr="001E0B01"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160D8" w:rsidRPr="001E0B01" w14:paraId="4B531C7D" w14:textId="77777777" w:rsidTr="40F7E47C">
        <w:trPr>
          <w:trHeight w:val="454"/>
        </w:trPr>
        <w:tc>
          <w:tcPr>
            <w:tcW w:w="3266" w:type="dxa"/>
            <w:vAlign w:val="center"/>
            <w:hideMark/>
          </w:tcPr>
          <w:p w14:paraId="3F99B56F" w14:textId="1315CCDB" w:rsidR="00EE687D" w:rsidRPr="001E0B01" w:rsidRDefault="006F0CAA" w:rsidP="006F0310">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Siniestro</w:t>
            </w:r>
          </w:p>
        </w:tc>
        <w:tc>
          <w:tcPr>
            <w:tcW w:w="6941" w:type="dxa"/>
            <w:vAlign w:val="center"/>
            <w:hideMark/>
          </w:tcPr>
          <w:p w14:paraId="06D242A3" w14:textId="5DF58F4E" w:rsidR="00EE687D" w:rsidRPr="001E0B01" w:rsidRDefault="00AF1BDF" w:rsidP="006F0310">
            <w:pPr>
              <w:jc w:val="both"/>
              <w:rPr>
                <w:rFonts w:ascii="Century Gothic" w:hAnsi="Century Gothic" w:cs="Segoe UI"/>
                <w:sz w:val="22"/>
                <w:szCs w:val="22"/>
                <w:lang w:eastAsia="es-CO"/>
              </w:rPr>
            </w:pPr>
            <w:r w:rsidRPr="00AF1BDF">
              <w:rPr>
                <w:rFonts w:ascii="Century Gothic" w:hAnsi="Century Gothic" w:cs="Segoe UI"/>
                <w:sz w:val="22"/>
                <w:szCs w:val="22"/>
                <w:lang w:eastAsia="es-CO"/>
              </w:rPr>
              <w:t>10167711</w:t>
            </w:r>
          </w:p>
        </w:tc>
      </w:tr>
      <w:tr w:rsidR="008160D8" w:rsidRPr="001E0B01" w14:paraId="7A21B905" w14:textId="77777777" w:rsidTr="40F7E47C">
        <w:trPr>
          <w:trHeight w:val="454"/>
        </w:trPr>
        <w:tc>
          <w:tcPr>
            <w:tcW w:w="3266" w:type="dxa"/>
            <w:vAlign w:val="center"/>
          </w:tcPr>
          <w:p w14:paraId="533380A9" w14:textId="7103E52D" w:rsidR="006F0CAA" w:rsidRPr="001E0B01" w:rsidRDefault="006F0CAA" w:rsidP="40F7E47C">
            <w:pPr>
              <w:jc w:val="both"/>
              <w:textAlignment w:val="baseline"/>
              <w:rPr>
                <w:rFonts w:ascii="Century Gothic" w:hAnsi="Century Gothic"/>
                <w:b/>
                <w:bCs/>
                <w:sz w:val="22"/>
                <w:szCs w:val="22"/>
                <w:shd w:val="clear" w:color="auto" w:fill="FFFFFF"/>
                <w:lang w:val="es-ES" w:eastAsia="es-CO"/>
              </w:rPr>
            </w:pPr>
            <w:r w:rsidRPr="001E0B01">
              <w:rPr>
                <w:rFonts w:ascii="Century Gothic" w:hAnsi="Century Gothic"/>
                <w:b/>
                <w:bCs/>
                <w:sz w:val="22"/>
                <w:szCs w:val="22"/>
                <w:shd w:val="clear" w:color="auto" w:fill="FFFFFF"/>
                <w:lang w:val="es-ES" w:eastAsia="es-CO"/>
              </w:rPr>
              <w:t>Caso Onbase</w:t>
            </w:r>
          </w:p>
        </w:tc>
        <w:tc>
          <w:tcPr>
            <w:tcW w:w="6941" w:type="dxa"/>
            <w:vAlign w:val="center"/>
          </w:tcPr>
          <w:p w14:paraId="79DBA3A4" w14:textId="0EB19683" w:rsidR="006F0CAA" w:rsidRPr="001E0B01" w:rsidRDefault="00AF1BDF" w:rsidP="006F0310">
            <w:pPr>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CA039A" w:rsidRPr="001E0B01" w14:paraId="00877764" w14:textId="77777777" w:rsidTr="40F7E47C">
        <w:trPr>
          <w:trHeight w:val="454"/>
        </w:trPr>
        <w:tc>
          <w:tcPr>
            <w:tcW w:w="3266" w:type="dxa"/>
            <w:vAlign w:val="center"/>
            <w:hideMark/>
          </w:tcPr>
          <w:p w14:paraId="749E810E"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Póliza</w:t>
            </w:r>
          </w:p>
        </w:tc>
        <w:tc>
          <w:tcPr>
            <w:tcW w:w="6941" w:type="dxa"/>
            <w:vAlign w:val="center"/>
          </w:tcPr>
          <w:p w14:paraId="7FC9EC9E" w14:textId="60F0F4F2"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RCE AA004123 – RCC AA009779</w:t>
            </w:r>
          </w:p>
        </w:tc>
      </w:tr>
      <w:tr w:rsidR="00CA039A" w:rsidRPr="001E0B01" w14:paraId="3260B646" w14:textId="77777777" w:rsidTr="40F7E47C">
        <w:trPr>
          <w:trHeight w:val="454"/>
        </w:trPr>
        <w:tc>
          <w:tcPr>
            <w:tcW w:w="3266" w:type="dxa"/>
            <w:vAlign w:val="center"/>
            <w:hideMark/>
          </w:tcPr>
          <w:p w14:paraId="67FBF2E5"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Certificado</w:t>
            </w:r>
          </w:p>
        </w:tc>
        <w:tc>
          <w:tcPr>
            <w:tcW w:w="6941" w:type="dxa"/>
            <w:vAlign w:val="center"/>
          </w:tcPr>
          <w:p w14:paraId="47A2248B" w14:textId="70E3134C"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RCE AA160120</w:t>
            </w:r>
            <w:r w:rsidR="00CA039A">
              <w:rPr>
                <w:rFonts w:ascii="Century Gothic" w:hAnsi="Century Gothic" w:cs="Segoe UI"/>
                <w:sz w:val="22"/>
                <w:szCs w:val="22"/>
                <w:lang w:eastAsia="es-CO"/>
              </w:rPr>
              <w:t xml:space="preserve"> – </w:t>
            </w:r>
            <w:r>
              <w:rPr>
                <w:rFonts w:ascii="Century Gothic" w:hAnsi="Century Gothic" w:cs="Segoe UI"/>
                <w:sz w:val="22"/>
                <w:szCs w:val="22"/>
                <w:lang w:eastAsia="es-CO"/>
              </w:rPr>
              <w:t>RCC AA165622</w:t>
            </w:r>
          </w:p>
        </w:tc>
      </w:tr>
      <w:tr w:rsidR="00CA039A" w:rsidRPr="001E0B01" w14:paraId="0BC7C6A3" w14:textId="77777777" w:rsidTr="40F7E47C">
        <w:trPr>
          <w:trHeight w:val="454"/>
        </w:trPr>
        <w:tc>
          <w:tcPr>
            <w:tcW w:w="3266" w:type="dxa"/>
            <w:vAlign w:val="center"/>
            <w:hideMark/>
          </w:tcPr>
          <w:p w14:paraId="433D63BC"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Orden</w:t>
            </w:r>
          </w:p>
        </w:tc>
        <w:tc>
          <w:tcPr>
            <w:tcW w:w="6941" w:type="dxa"/>
            <w:vAlign w:val="center"/>
          </w:tcPr>
          <w:p w14:paraId="25280801" w14:textId="0CC65545"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RCE 397</w:t>
            </w:r>
            <w:r w:rsidR="00CA039A">
              <w:rPr>
                <w:rFonts w:ascii="Century Gothic" w:hAnsi="Century Gothic" w:cs="Segoe UI"/>
                <w:sz w:val="22"/>
                <w:szCs w:val="22"/>
                <w:lang w:eastAsia="es-CO"/>
              </w:rPr>
              <w:t xml:space="preserve"> – </w:t>
            </w:r>
            <w:r>
              <w:rPr>
                <w:rFonts w:ascii="Century Gothic" w:hAnsi="Century Gothic" w:cs="Segoe UI"/>
                <w:sz w:val="22"/>
                <w:szCs w:val="22"/>
                <w:lang w:eastAsia="es-CO"/>
              </w:rPr>
              <w:t xml:space="preserve">RCC 391 </w:t>
            </w:r>
          </w:p>
        </w:tc>
      </w:tr>
      <w:tr w:rsidR="00CA039A" w:rsidRPr="001E0B01" w14:paraId="3ACEF28A" w14:textId="77777777" w:rsidTr="40F7E47C">
        <w:trPr>
          <w:trHeight w:val="454"/>
        </w:trPr>
        <w:tc>
          <w:tcPr>
            <w:tcW w:w="3266" w:type="dxa"/>
            <w:vAlign w:val="center"/>
          </w:tcPr>
          <w:p w14:paraId="0881BFDC" w14:textId="40C44F4A"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Sucursal</w:t>
            </w:r>
          </w:p>
        </w:tc>
        <w:tc>
          <w:tcPr>
            <w:tcW w:w="6941" w:type="dxa"/>
            <w:vAlign w:val="center"/>
          </w:tcPr>
          <w:p w14:paraId="74AA0D59" w14:textId="71500F66" w:rsidR="00CA039A" w:rsidRPr="001E0B01" w:rsidRDefault="00DF2553" w:rsidP="00CA039A">
            <w:pPr>
              <w:jc w:val="both"/>
              <w:rPr>
                <w:rFonts w:ascii="Century Gothic" w:hAnsi="Century Gothic" w:cs="Segoe UI"/>
                <w:sz w:val="22"/>
                <w:szCs w:val="22"/>
                <w:lang w:eastAsia="es-CO"/>
              </w:rPr>
            </w:pPr>
            <w:r>
              <w:rPr>
                <w:rFonts w:ascii="Century Gothic" w:hAnsi="Century Gothic" w:cs="Segoe UI"/>
                <w:sz w:val="22"/>
                <w:szCs w:val="22"/>
                <w:lang w:eastAsia="es-CO"/>
              </w:rPr>
              <w:t>Tunja</w:t>
            </w:r>
            <w:r w:rsidR="006B77D7">
              <w:rPr>
                <w:rFonts w:ascii="Century Gothic" w:hAnsi="Century Gothic" w:cs="Segoe UI"/>
                <w:sz w:val="22"/>
                <w:szCs w:val="22"/>
                <w:lang w:eastAsia="es-CO"/>
              </w:rPr>
              <w:t xml:space="preserve"> </w:t>
            </w:r>
          </w:p>
        </w:tc>
      </w:tr>
      <w:tr w:rsidR="00CA039A" w:rsidRPr="001E0B01" w14:paraId="4BCD09C7" w14:textId="77777777" w:rsidTr="40F7E47C">
        <w:trPr>
          <w:trHeight w:val="454"/>
        </w:trPr>
        <w:tc>
          <w:tcPr>
            <w:tcW w:w="3266" w:type="dxa"/>
            <w:vAlign w:val="center"/>
            <w:hideMark/>
          </w:tcPr>
          <w:p w14:paraId="0A1C1E81" w14:textId="17519C6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Placa del vehículo</w:t>
            </w:r>
          </w:p>
        </w:tc>
        <w:tc>
          <w:tcPr>
            <w:tcW w:w="6941" w:type="dxa"/>
            <w:vAlign w:val="center"/>
          </w:tcPr>
          <w:p w14:paraId="73CAF2AF" w14:textId="23164BF1"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XJA749</w:t>
            </w:r>
          </w:p>
        </w:tc>
      </w:tr>
      <w:tr w:rsidR="00CA039A" w:rsidRPr="001E0B01" w14:paraId="0BA9ECEE" w14:textId="77777777" w:rsidTr="40F7E47C">
        <w:trPr>
          <w:trHeight w:val="454"/>
        </w:trPr>
        <w:tc>
          <w:tcPr>
            <w:tcW w:w="3266" w:type="dxa"/>
            <w:vAlign w:val="center"/>
          </w:tcPr>
          <w:p w14:paraId="7B70AF59" w14:textId="749D67BE"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siniestro</w:t>
            </w:r>
          </w:p>
        </w:tc>
        <w:tc>
          <w:tcPr>
            <w:tcW w:w="6941" w:type="dxa"/>
            <w:vAlign w:val="center"/>
          </w:tcPr>
          <w:p w14:paraId="2D03F3BA" w14:textId="5020AF76"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5 DE AGOSTO DE 2020</w:t>
            </w:r>
          </w:p>
        </w:tc>
      </w:tr>
      <w:tr w:rsidR="00CA039A" w:rsidRPr="001E0B01" w14:paraId="05412033" w14:textId="77777777" w:rsidTr="40F7E47C">
        <w:trPr>
          <w:trHeight w:val="454"/>
        </w:trPr>
        <w:tc>
          <w:tcPr>
            <w:tcW w:w="3266" w:type="dxa"/>
            <w:vAlign w:val="center"/>
          </w:tcPr>
          <w:p w14:paraId="43E688BB" w14:textId="54B02C3E"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aviso</w:t>
            </w:r>
          </w:p>
        </w:tc>
        <w:tc>
          <w:tcPr>
            <w:tcW w:w="6941" w:type="dxa"/>
            <w:vAlign w:val="center"/>
          </w:tcPr>
          <w:p w14:paraId="7E184CA4" w14:textId="03E058A0" w:rsidR="00CA039A" w:rsidRPr="001E0B01" w:rsidRDefault="00643549" w:rsidP="00CA039A">
            <w:pPr>
              <w:jc w:val="both"/>
              <w:rPr>
                <w:rFonts w:ascii="Century Gothic" w:hAnsi="Century Gothic" w:cs="Segoe UI"/>
                <w:sz w:val="22"/>
                <w:szCs w:val="22"/>
                <w:lang w:eastAsia="es-CO"/>
              </w:rPr>
            </w:pPr>
            <w:r>
              <w:rPr>
                <w:rFonts w:ascii="Century Gothic" w:hAnsi="Century Gothic" w:cs="Segoe UI"/>
                <w:sz w:val="22"/>
                <w:szCs w:val="22"/>
                <w:lang w:eastAsia="es-CO"/>
              </w:rPr>
              <w:t>4 DE SEPTIEMBRE DE 2024</w:t>
            </w:r>
          </w:p>
        </w:tc>
      </w:tr>
      <w:tr w:rsidR="00CA039A" w:rsidRPr="001E0B01" w14:paraId="6DB6B020" w14:textId="77777777" w:rsidTr="40F7E47C">
        <w:trPr>
          <w:trHeight w:val="454"/>
        </w:trPr>
        <w:tc>
          <w:tcPr>
            <w:tcW w:w="3266" w:type="dxa"/>
            <w:vAlign w:val="center"/>
          </w:tcPr>
          <w:p w14:paraId="13FCE7D8" w14:textId="6EA7D194"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Colocación de reaseguro</w:t>
            </w:r>
          </w:p>
        </w:tc>
        <w:tc>
          <w:tcPr>
            <w:tcW w:w="6941" w:type="dxa"/>
            <w:vAlign w:val="center"/>
          </w:tcPr>
          <w:p w14:paraId="6857070F" w14:textId="0C6ACA36" w:rsidR="00CA039A" w:rsidRPr="001E0B01" w:rsidRDefault="005E4620" w:rsidP="00CA039A">
            <w:pPr>
              <w:jc w:val="both"/>
              <w:rPr>
                <w:rFonts w:ascii="Century Gothic" w:hAnsi="Century Gothic" w:cs="Segoe UI"/>
                <w:sz w:val="22"/>
                <w:szCs w:val="22"/>
                <w:lang w:eastAsia="es-CO"/>
              </w:rPr>
            </w:pPr>
            <w:r>
              <w:rPr>
                <w:rFonts w:ascii="Century Gothic" w:hAnsi="Century Gothic" w:cs="Segoe UI"/>
                <w:sz w:val="22"/>
                <w:szCs w:val="22"/>
                <w:lang w:eastAsia="es-CO"/>
              </w:rPr>
              <w:t>Pendiente</w:t>
            </w:r>
          </w:p>
        </w:tc>
      </w:tr>
      <w:tr w:rsidR="00CA039A" w:rsidRPr="001E0B01" w14:paraId="2F1DA9E6" w14:textId="77777777" w:rsidTr="40F7E47C">
        <w:trPr>
          <w:trHeight w:val="454"/>
        </w:trPr>
        <w:tc>
          <w:tcPr>
            <w:tcW w:w="3266" w:type="dxa"/>
            <w:vAlign w:val="center"/>
          </w:tcPr>
          <w:p w14:paraId="3ECF2237" w14:textId="5FB6285C"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Tomador</w:t>
            </w:r>
          </w:p>
        </w:tc>
        <w:tc>
          <w:tcPr>
            <w:tcW w:w="6941" w:type="dxa"/>
            <w:vAlign w:val="center"/>
          </w:tcPr>
          <w:p w14:paraId="2B607964" w14:textId="2CE9715A"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COOPERATIVA DE TRANSPORTADORES FLOTAX DUITAMA</w:t>
            </w:r>
          </w:p>
        </w:tc>
      </w:tr>
      <w:tr w:rsidR="00CA039A" w:rsidRPr="001E0B01" w14:paraId="1165CBE1" w14:textId="77777777" w:rsidTr="40F7E47C">
        <w:trPr>
          <w:trHeight w:val="454"/>
        </w:trPr>
        <w:tc>
          <w:tcPr>
            <w:tcW w:w="3266" w:type="dxa"/>
            <w:vAlign w:val="center"/>
          </w:tcPr>
          <w:p w14:paraId="640F2169" w14:textId="4903327C"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Asegurado</w:t>
            </w:r>
          </w:p>
        </w:tc>
        <w:tc>
          <w:tcPr>
            <w:tcW w:w="6941" w:type="dxa"/>
            <w:vAlign w:val="center"/>
          </w:tcPr>
          <w:p w14:paraId="3381B0BB" w14:textId="7E5A58A8" w:rsidR="00CA039A" w:rsidRPr="001E0B01" w:rsidRDefault="006B77D7" w:rsidP="00CA039A">
            <w:pPr>
              <w:jc w:val="both"/>
              <w:rPr>
                <w:rFonts w:ascii="Century Gothic" w:hAnsi="Century Gothic" w:cs="Segoe UI"/>
                <w:sz w:val="22"/>
                <w:szCs w:val="22"/>
                <w:lang w:eastAsia="es-CO"/>
              </w:rPr>
            </w:pPr>
            <w:r>
              <w:rPr>
                <w:rFonts w:ascii="Century Gothic" w:hAnsi="Century Gothic" w:cs="Segoe UI"/>
                <w:sz w:val="22"/>
                <w:szCs w:val="22"/>
                <w:lang w:eastAsia="es-CO"/>
              </w:rPr>
              <w:t>OSCAR JAVIER BOTIA GONZALEZ</w:t>
            </w:r>
          </w:p>
        </w:tc>
      </w:tr>
      <w:tr w:rsidR="00CA039A" w:rsidRPr="001E0B01" w14:paraId="513C2A8D" w14:textId="77777777" w:rsidTr="40F7E47C">
        <w:trPr>
          <w:trHeight w:val="454"/>
        </w:trPr>
        <w:tc>
          <w:tcPr>
            <w:tcW w:w="3266" w:type="dxa"/>
            <w:vAlign w:val="center"/>
            <w:hideMark/>
          </w:tcPr>
          <w:p w14:paraId="5E1FDA28" w14:textId="16DB1B8E"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Ramo</w:t>
            </w:r>
          </w:p>
        </w:tc>
        <w:tc>
          <w:tcPr>
            <w:tcW w:w="6941" w:type="dxa"/>
            <w:vAlign w:val="center"/>
          </w:tcPr>
          <w:p w14:paraId="0701202E" w14:textId="34C266F0" w:rsidR="00CA039A" w:rsidRPr="001E0B01"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R</w:t>
            </w:r>
            <w:r w:rsidR="0030264F">
              <w:rPr>
                <w:rFonts w:ascii="Century Gothic" w:hAnsi="Century Gothic" w:cs="Segoe UI"/>
                <w:sz w:val="22"/>
                <w:szCs w:val="22"/>
                <w:lang w:eastAsia="es-CO"/>
              </w:rPr>
              <w:t xml:space="preserve">CE </w:t>
            </w:r>
            <w:r w:rsidR="006B77D7">
              <w:rPr>
                <w:rFonts w:ascii="Century Gothic" w:hAnsi="Century Gothic" w:cs="Segoe UI"/>
                <w:sz w:val="22"/>
                <w:szCs w:val="22"/>
                <w:lang w:eastAsia="es-CO"/>
              </w:rPr>
              <w:t>–</w:t>
            </w:r>
            <w:r w:rsidR="0030264F">
              <w:rPr>
                <w:rFonts w:ascii="Century Gothic" w:hAnsi="Century Gothic" w:cs="Segoe UI"/>
                <w:sz w:val="22"/>
                <w:szCs w:val="22"/>
                <w:lang w:eastAsia="es-CO"/>
              </w:rPr>
              <w:t xml:space="preserve"> RCC</w:t>
            </w:r>
          </w:p>
        </w:tc>
      </w:tr>
      <w:tr w:rsidR="00CA039A" w:rsidRPr="001E0B01" w14:paraId="2F8ECFA3" w14:textId="77777777" w:rsidTr="40F7E47C">
        <w:trPr>
          <w:trHeight w:val="454"/>
        </w:trPr>
        <w:tc>
          <w:tcPr>
            <w:tcW w:w="3266" w:type="dxa"/>
            <w:vAlign w:val="center"/>
            <w:hideMark/>
          </w:tcPr>
          <w:p w14:paraId="0C3932A6" w14:textId="2792643B"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Cobertura</w:t>
            </w:r>
          </w:p>
        </w:tc>
        <w:tc>
          <w:tcPr>
            <w:tcW w:w="6941" w:type="dxa"/>
            <w:vAlign w:val="center"/>
          </w:tcPr>
          <w:p w14:paraId="0958D277" w14:textId="6AAC2719" w:rsidR="00CA039A" w:rsidRPr="001E0B01" w:rsidRDefault="007F06C9" w:rsidP="00CA039A">
            <w:pPr>
              <w:jc w:val="both"/>
              <w:rPr>
                <w:rFonts w:ascii="Century Gothic" w:hAnsi="Century Gothic" w:cs="Segoe UI"/>
                <w:sz w:val="22"/>
                <w:szCs w:val="22"/>
                <w:lang w:eastAsia="es-CO"/>
              </w:rPr>
            </w:pPr>
            <w:r>
              <w:rPr>
                <w:rFonts w:ascii="Century Gothic" w:hAnsi="Century Gothic" w:cs="Segoe UI"/>
                <w:sz w:val="22"/>
                <w:szCs w:val="22"/>
                <w:lang w:eastAsia="es-CO"/>
              </w:rPr>
              <w:t>Lesiones o muerte de una persona</w:t>
            </w:r>
          </w:p>
        </w:tc>
      </w:tr>
      <w:tr w:rsidR="00CA039A" w:rsidRPr="001E0B01" w14:paraId="59B4A554" w14:textId="77777777" w:rsidTr="40F7E47C">
        <w:trPr>
          <w:trHeight w:val="454"/>
        </w:trPr>
        <w:tc>
          <w:tcPr>
            <w:tcW w:w="3266" w:type="dxa"/>
            <w:vAlign w:val="center"/>
            <w:hideMark/>
          </w:tcPr>
          <w:p w14:paraId="0412A958"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Valor asegurado</w:t>
            </w:r>
          </w:p>
        </w:tc>
        <w:tc>
          <w:tcPr>
            <w:tcW w:w="6941" w:type="dxa"/>
            <w:vAlign w:val="center"/>
          </w:tcPr>
          <w:p w14:paraId="5AF73B8E" w14:textId="15A55100" w:rsidR="00CA039A" w:rsidRPr="001E0B01"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w:t>
            </w:r>
            <w:r w:rsidR="0030264F">
              <w:rPr>
                <w:rFonts w:ascii="Century Gothic" w:hAnsi="Century Gothic" w:cs="Segoe UI"/>
                <w:sz w:val="22"/>
                <w:szCs w:val="22"/>
                <w:lang w:eastAsia="es-CO"/>
              </w:rPr>
              <w:t>85.410.000</w:t>
            </w:r>
          </w:p>
        </w:tc>
      </w:tr>
      <w:tr w:rsidR="00CA039A" w:rsidRPr="001E0B01" w14:paraId="2F24D88E" w14:textId="77777777" w:rsidTr="40F7E47C">
        <w:trPr>
          <w:trHeight w:val="454"/>
        </w:trPr>
        <w:tc>
          <w:tcPr>
            <w:tcW w:w="3266" w:type="dxa"/>
            <w:vAlign w:val="center"/>
          </w:tcPr>
          <w:p w14:paraId="0E72F2CD" w14:textId="1A6BE851"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Audiencia prejudicial</w:t>
            </w:r>
          </w:p>
        </w:tc>
        <w:tc>
          <w:tcPr>
            <w:tcW w:w="6941" w:type="dxa"/>
            <w:vAlign w:val="center"/>
          </w:tcPr>
          <w:p w14:paraId="6AD9587E" w14:textId="1A358A47" w:rsidR="00CA039A" w:rsidRPr="001E0B01" w:rsidRDefault="00643549" w:rsidP="00CA039A">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00CA039A" w:rsidRPr="001E0B01" w14:paraId="658B9E4D" w14:textId="77777777" w:rsidTr="40F7E47C">
        <w:trPr>
          <w:trHeight w:val="454"/>
        </w:trPr>
        <w:tc>
          <w:tcPr>
            <w:tcW w:w="3266" w:type="dxa"/>
            <w:vAlign w:val="center"/>
            <w:hideMark/>
          </w:tcPr>
          <w:p w14:paraId="02377331" w14:textId="79A3F98F"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Ofrecimiento previo</w:t>
            </w:r>
          </w:p>
        </w:tc>
        <w:tc>
          <w:tcPr>
            <w:tcW w:w="6941" w:type="dxa"/>
            <w:vAlign w:val="center"/>
          </w:tcPr>
          <w:p w14:paraId="244AD2F4" w14:textId="258C0F0D" w:rsidR="00CA039A" w:rsidRPr="001E0B01"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 xml:space="preserve"> </w:t>
            </w:r>
            <w:r>
              <w:rPr>
                <w:rFonts w:ascii="Century Gothic" w:hAnsi="Century Gothic" w:cs="Segoe UI"/>
                <w:sz w:val="22"/>
                <w:szCs w:val="22"/>
                <w:lang w:eastAsia="es-CO"/>
              </w:rPr>
              <w:t>NO</w:t>
            </w:r>
          </w:p>
        </w:tc>
      </w:tr>
    </w:tbl>
    <w:p w14:paraId="397A1D68" w14:textId="77777777" w:rsidR="003B44CB" w:rsidRPr="001E0B01" w:rsidRDefault="003B44CB" w:rsidP="003314A2">
      <w:pPr>
        <w:spacing w:line="360" w:lineRule="auto"/>
        <w:rPr>
          <w:rFonts w:ascii="Century Gothic" w:hAnsi="Century Gothic"/>
          <w:sz w:val="22"/>
          <w:szCs w:val="22"/>
        </w:rPr>
      </w:pPr>
    </w:p>
    <w:p w14:paraId="61F56879" w14:textId="77777777" w:rsidR="0095378E" w:rsidRPr="001E0B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1E0B01" w:rsidRPr="001E0B01" w14:paraId="49B1F103" w14:textId="77777777" w:rsidTr="00BA1E5F">
        <w:tc>
          <w:tcPr>
            <w:tcW w:w="3687" w:type="dxa"/>
          </w:tcPr>
          <w:p w14:paraId="673B76C6" w14:textId="23992614" w:rsidR="002633C0" w:rsidRPr="001E0B01" w:rsidRDefault="00BA1E5F" w:rsidP="003314A2">
            <w:pPr>
              <w:spacing w:line="360" w:lineRule="auto"/>
              <w:rPr>
                <w:rFonts w:ascii="Century Gothic" w:hAnsi="Century Gothic"/>
                <w:sz w:val="22"/>
                <w:szCs w:val="22"/>
              </w:rPr>
            </w:pPr>
            <w:r w:rsidRPr="001E0B01">
              <w:rPr>
                <w:rFonts w:ascii="Century Gothic" w:hAnsi="Century Gothic"/>
                <w:b/>
                <w:bCs/>
                <w:sz w:val="22"/>
                <w:szCs w:val="22"/>
              </w:rPr>
              <w:t>Calificación de la contingencia</w:t>
            </w:r>
          </w:p>
        </w:tc>
        <w:tc>
          <w:tcPr>
            <w:tcW w:w="6520" w:type="dxa"/>
          </w:tcPr>
          <w:p w14:paraId="6F4874B3" w14:textId="5E15745B" w:rsidR="002633C0" w:rsidRPr="001E0B01" w:rsidRDefault="009E0C57" w:rsidP="003314A2">
            <w:pPr>
              <w:spacing w:line="360" w:lineRule="auto"/>
              <w:rPr>
                <w:rFonts w:ascii="Century Gothic" w:hAnsi="Century Gothic"/>
                <w:sz w:val="22"/>
                <w:szCs w:val="22"/>
              </w:rPr>
            </w:pPr>
            <w:r>
              <w:rPr>
                <w:rFonts w:ascii="Century Gothic" w:hAnsi="Century Gothic"/>
                <w:sz w:val="22"/>
                <w:szCs w:val="22"/>
              </w:rPr>
              <w:t>PROBABLE</w:t>
            </w:r>
          </w:p>
        </w:tc>
      </w:tr>
      <w:tr w:rsidR="001E0B01" w:rsidRPr="001E0B01" w14:paraId="47B026EC" w14:textId="77777777" w:rsidTr="00BA1E5F">
        <w:tc>
          <w:tcPr>
            <w:tcW w:w="3687" w:type="dxa"/>
          </w:tcPr>
          <w:p w14:paraId="4A77CED7" w14:textId="00C97735" w:rsidR="002633C0" w:rsidRPr="001E0B01" w:rsidRDefault="00BA1E5F" w:rsidP="003314A2">
            <w:pPr>
              <w:spacing w:line="360" w:lineRule="auto"/>
              <w:rPr>
                <w:rFonts w:ascii="Century Gothic" w:hAnsi="Century Gothic"/>
                <w:b/>
                <w:bCs/>
                <w:sz w:val="22"/>
                <w:szCs w:val="22"/>
              </w:rPr>
            </w:pPr>
            <w:r w:rsidRPr="001E0B01">
              <w:rPr>
                <w:rFonts w:ascii="Century Gothic" w:hAnsi="Century Gothic"/>
                <w:b/>
                <w:bCs/>
                <w:sz w:val="22"/>
                <w:szCs w:val="22"/>
              </w:rPr>
              <w:t xml:space="preserve">Reserva sugerida: </w:t>
            </w:r>
          </w:p>
        </w:tc>
        <w:tc>
          <w:tcPr>
            <w:tcW w:w="6520" w:type="dxa"/>
          </w:tcPr>
          <w:p w14:paraId="7146E445" w14:textId="625D05BC" w:rsidR="002633C0" w:rsidRPr="001E0B01" w:rsidRDefault="009E0C57" w:rsidP="003314A2">
            <w:pPr>
              <w:spacing w:line="360" w:lineRule="auto"/>
              <w:rPr>
                <w:rFonts w:ascii="Century Gothic" w:hAnsi="Century Gothic"/>
                <w:sz w:val="22"/>
                <w:szCs w:val="22"/>
              </w:rPr>
            </w:pPr>
            <w:r>
              <w:rPr>
                <w:rFonts w:ascii="Century Gothic" w:hAnsi="Century Gothic"/>
                <w:sz w:val="22"/>
                <w:szCs w:val="22"/>
              </w:rPr>
              <w:t>$</w:t>
            </w:r>
            <w:r w:rsidR="00345C21">
              <w:rPr>
                <w:rFonts w:ascii="Century Gothic" w:hAnsi="Century Gothic"/>
                <w:sz w:val="22"/>
                <w:szCs w:val="22"/>
              </w:rPr>
              <w:t>39.733.332</w:t>
            </w:r>
          </w:p>
        </w:tc>
      </w:tr>
      <w:tr w:rsidR="001E0B01" w:rsidRPr="001E0B01" w14:paraId="22F780E0" w14:textId="77777777" w:rsidTr="008B59F4">
        <w:tc>
          <w:tcPr>
            <w:tcW w:w="10207" w:type="dxa"/>
            <w:gridSpan w:val="2"/>
            <w:shd w:val="clear" w:color="auto" w:fill="C5E0B3" w:themeFill="accent6" w:themeFillTint="66"/>
            <w:vAlign w:val="center"/>
          </w:tcPr>
          <w:p w14:paraId="2E984764" w14:textId="51214522" w:rsidR="00BA1E5F" w:rsidRPr="001E0B01" w:rsidRDefault="00BA1E5F" w:rsidP="00BA1E5F">
            <w:pPr>
              <w:spacing w:line="360" w:lineRule="auto"/>
              <w:jc w:val="center"/>
              <w:rPr>
                <w:rFonts w:ascii="Century Gothic" w:hAnsi="Century Gothic"/>
                <w:sz w:val="22"/>
                <w:szCs w:val="22"/>
              </w:rPr>
            </w:pPr>
            <w:r w:rsidRPr="001E0B01">
              <w:rPr>
                <w:rFonts w:ascii="Century Gothic" w:hAnsi="Century Gothic"/>
                <w:b/>
                <w:bCs/>
                <w:sz w:val="22"/>
                <w:szCs w:val="22"/>
              </w:rPr>
              <w:t>Concepto del apoderado</w:t>
            </w:r>
          </w:p>
        </w:tc>
      </w:tr>
      <w:tr w:rsidR="001E0B01" w:rsidRPr="001E0B01" w14:paraId="4C51FAC2" w14:textId="77777777" w:rsidTr="00BA1E5F">
        <w:trPr>
          <w:trHeight w:val="3401"/>
        </w:trPr>
        <w:tc>
          <w:tcPr>
            <w:tcW w:w="10207" w:type="dxa"/>
            <w:gridSpan w:val="2"/>
            <w:vAlign w:val="center"/>
          </w:tcPr>
          <w:p w14:paraId="48DE3D13" w14:textId="6E3D49CB" w:rsidR="00E5777E" w:rsidRDefault="00E5777E" w:rsidP="00E5777E">
            <w:pPr>
              <w:spacing w:line="360" w:lineRule="auto"/>
              <w:jc w:val="both"/>
              <w:rPr>
                <w:rFonts w:ascii="Century Gothic" w:hAnsi="Century Gothic"/>
                <w:sz w:val="22"/>
                <w:szCs w:val="22"/>
              </w:rPr>
            </w:pPr>
            <w:r w:rsidRPr="001E0B01">
              <w:rPr>
                <w:rFonts w:ascii="Century Gothic" w:hAnsi="Century Gothic"/>
                <w:sz w:val="22"/>
                <w:szCs w:val="22"/>
              </w:rPr>
              <w:t>La contingencia se califica como</w:t>
            </w:r>
            <w:r w:rsidR="005E4620">
              <w:rPr>
                <w:rFonts w:ascii="Century Gothic" w:hAnsi="Century Gothic"/>
                <w:sz w:val="22"/>
                <w:szCs w:val="22"/>
              </w:rPr>
              <w:t xml:space="preserve"> </w:t>
            </w:r>
            <w:r w:rsidR="00E150BC">
              <w:rPr>
                <w:rFonts w:ascii="Century Gothic" w:hAnsi="Century Gothic"/>
                <w:sz w:val="22"/>
                <w:szCs w:val="22"/>
              </w:rPr>
              <w:t>PROBABLE</w:t>
            </w:r>
            <w:r w:rsidR="005E4620">
              <w:rPr>
                <w:rFonts w:ascii="Century Gothic" w:hAnsi="Century Gothic"/>
                <w:sz w:val="22"/>
                <w:szCs w:val="22"/>
              </w:rPr>
              <w:t xml:space="preserve"> </w:t>
            </w:r>
            <w:r w:rsidR="00A16CBE">
              <w:rPr>
                <w:rFonts w:ascii="Century Gothic" w:hAnsi="Century Gothic"/>
                <w:sz w:val="22"/>
                <w:szCs w:val="22"/>
              </w:rPr>
              <w:t>tenie</w:t>
            </w:r>
            <w:r w:rsidR="00742285">
              <w:rPr>
                <w:rFonts w:ascii="Century Gothic" w:hAnsi="Century Gothic"/>
                <w:sz w:val="22"/>
                <w:szCs w:val="22"/>
              </w:rPr>
              <w:t xml:space="preserve">ndo en cuenta que se encuentra acreditada la responsabilidad en cabeza del vehículo asegurado </w:t>
            </w:r>
            <w:r w:rsidR="0004146A">
              <w:rPr>
                <w:rFonts w:ascii="Century Gothic" w:hAnsi="Century Gothic"/>
                <w:sz w:val="22"/>
                <w:szCs w:val="22"/>
              </w:rPr>
              <w:t>y la</w:t>
            </w:r>
            <w:r w:rsidR="009E0C57">
              <w:rPr>
                <w:rFonts w:ascii="Century Gothic" w:hAnsi="Century Gothic"/>
                <w:sz w:val="22"/>
                <w:szCs w:val="22"/>
              </w:rPr>
              <w:t xml:space="preserve"> Póliza R.C. Extracontractual No. </w:t>
            </w:r>
            <w:r w:rsidR="009E0C57">
              <w:rPr>
                <w:rFonts w:ascii="Century Gothic" w:hAnsi="Century Gothic" w:cs="Segoe UI"/>
                <w:sz w:val="22"/>
                <w:szCs w:val="22"/>
                <w:lang w:eastAsia="es-CO"/>
              </w:rPr>
              <w:t>AA004123 presta cobertura material y temporal.</w:t>
            </w:r>
          </w:p>
          <w:p w14:paraId="6107BB8E" w14:textId="77777777" w:rsidR="00742285" w:rsidRDefault="00742285" w:rsidP="00E5777E">
            <w:pPr>
              <w:spacing w:line="360" w:lineRule="auto"/>
              <w:jc w:val="both"/>
              <w:rPr>
                <w:rFonts w:ascii="Century Gothic" w:hAnsi="Century Gothic"/>
                <w:sz w:val="22"/>
                <w:szCs w:val="22"/>
              </w:rPr>
            </w:pPr>
          </w:p>
          <w:p w14:paraId="10D9D381" w14:textId="1B18E69C" w:rsidR="00E5777E" w:rsidRDefault="00E5777E" w:rsidP="00E5777E">
            <w:pPr>
              <w:spacing w:line="360" w:lineRule="auto"/>
              <w:jc w:val="both"/>
              <w:rPr>
                <w:rFonts w:ascii="Century Gothic" w:hAnsi="Century Gothic"/>
                <w:sz w:val="22"/>
                <w:szCs w:val="22"/>
              </w:rPr>
            </w:pPr>
            <w:r>
              <w:rPr>
                <w:rFonts w:ascii="Century Gothic" w:hAnsi="Century Gothic"/>
                <w:sz w:val="22"/>
                <w:szCs w:val="22"/>
              </w:rPr>
              <w:t>Sea lo primero indicar que</w:t>
            </w:r>
            <w:r w:rsidR="00742285">
              <w:rPr>
                <w:rFonts w:ascii="Century Gothic" w:hAnsi="Century Gothic"/>
                <w:sz w:val="22"/>
                <w:szCs w:val="22"/>
              </w:rPr>
              <w:t xml:space="preserve"> frente a</w:t>
            </w:r>
            <w:r>
              <w:rPr>
                <w:rFonts w:ascii="Century Gothic" w:hAnsi="Century Gothic"/>
                <w:sz w:val="22"/>
                <w:szCs w:val="22"/>
              </w:rPr>
              <w:t xml:space="preserve"> la Póliza R.C. </w:t>
            </w:r>
            <w:r w:rsidR="005E4620">
              <w:rPr>
                <w:rFonts w:ascii="Century Gothic" w:hAnsi="Century Gothic"/>
                <w:sz w:val="22"/>
                <w:szCs w:val="22"/>
              </w:rPr>
              <w:t>Extrac</w:t>
            </w:r>
            <w:r>
              <w:rPr>
                <w:rFonts w:ascii="Century Gothic" w:hAnsi="Century Gothic"/>
                <w:sz w:val="22"/>
                <w:szCs w:val="22"/>
              </w:rPr>
              <w:t xml:space="preserve">ontractual No. </w:t>
            </w:r>
            <w:r w:rsidR="005E4620">
              <w:rPr>
                <w:rFonts w:ascii="Century Gothic" w:hAnsi="Century Gothic" w:cs="Segoe UI"/>
                <w:sz w:val="22"/>
                <w:szCs w:val="22"/>
                <w:lang w:eastAsia="es-CO"/>
              </w:rPr>
              <w:t>AA004123</w:t>
            </w:r>
            <w:r>
              <w:rPr>
                <w:rFonts w:ascii="Century Gothic" w:hAnsi="Century Gothic"/>
                <w:sz w:val="22"/>
                <w:szCs w:val="22"/>
              </w:rPr>
              <w:t xml:space="preserve"> </w:t>
            </w:r>
            <w:r w:rsidR="00742285">
              <w:rPr>
                <w:rFonts w:ascii="Century Gothic" w:hAnsi="Century Gothic"/>
                <w:sz w:val="22"/>
                <w:szCs w:val="22"/>
              </w:rPr>
              <w:t xml:space="preserve">la contingencia de califica como probable, pues </w:t>
            </w:r>
            <w:r>
              <w:rPr>
                <w:rFonts w:ascii="Century Gothic" w:hAnsi="Century Gothic"/>
                <w:sz w:val="22"/>
                <w:szCs w:val="22"/>
              </w:rPr>
              <w:t xml:space="preserve">presta cobertura material y temporal de conformidad con los hechos y pretensiones de la demanda. Frente a la cobertura temporal debe indicarse que el accidente de tránsito se presentó el </w:t>
            </w:r>
            <w:r w:rsidR="005E4620">
              <w:rPr>
                <w:rFonts w:ascii="Century Gothic" w:hAnsi="Century Gothic"/>
                <w:sz w:val="22"/>
                <w:szCs w:val="22"/>
              </w:rPr>
              <w:t xml:space="preserve">5 de </w:t>
            </w:r>
            <w:r w:rsidR="00923CD3">
              <w:rPr>
                <w:rFonts w:ascii="Century Gothic" w:hAnsi="Century Gothic"/>
                <w:sz w:val="22"/>
                <w:szCs w:val="22"/>
              </w:rPr>
              <w:t xml:space="preserve">mayo </w:t>
            </w:r>
            <w:r w:rsidR="005E4620">
              <w:rPr>
                <w:rFonts w:ascii="Century Gothic" w:hAnsi="Century Gothic"/>
                <w:sz w:val="22"/>
                <w:szCs w:val="22"/>
              </w:rPr>
              <w:t>d</w:t>
            </w:r>
            <w:r>
              <w:rPr>
                <w:rFonts w:ascii="Century Gothic" w:hAnsi="Century Gothic"/>
                <w:sz w:val="22"/>
                <w:szCs w:val="22"/>
              </w:rPr>
              <w:t xml:space="preserve">e 2020. Esto es, dentro de la vigencia comprendida desde el </w:t>
            </w:r>
            <w:r w:rsidR="005E4620">
              <w:rPr>
                <w:rFonts w:ascii="Century Gothic" w:hAnsi="Century Gothic"/>
                <w:sz w:val="22"/>
                <w:szCs w:val="22"/>
              </w:rPr>
              <w:t>12 de julio de 2019 a 12 de julio de 2020</w:t>
            </w:r>
            <w:r>
              <w:rPr>
                <w:rFonts w:ascii="Century Gothic" w:hAnsi="Century Gothic"/>
                <w:sz w:val="22"/>
                <w:szCs w:val="22"/>
              </w:rPr>
              <w:t xml:space="preserve">. Aunado a lo anterior, presta cobertura material, en tanto ampara la responsabilidad civil </w:t>
            </w:r>
            <w:r w:rsidR="00923CD3">
              <w:rPr>
                <w:rFonts w:ascii="Century Gothic" w:hAnsi="Century Gothic"/>
                <w:sz w:val="22"/>
                <w:szCs w:val="22"/>
              </w:rPr>
              <w:t>extra</w:t>
            </w:r>
            <w:r>
              <w:rPr>
                <w:rFonts w:ascii="Century Gothic" w:hAnsi="Century Gothic"/>
                <w:sz w:val="22"/>
                <w:szCs w:val="22"/>
              </w:rPr>
              <w:t>contractual, pretensión que se endilga al asegurado</w:t>
            </w:r>
            <w:r w:rsidR="00234EE0">
              <w:rPr>
                <w:rFonts w:ascii="Century Gothic" w:hAnsi="Century Gothic"/>
                <w:sz w:val="22"/>
                <w:szCs w:val="22"/>
              </w:rPr>
              <w:t>.</w:t>
            </w:r>
          </w:p>
          <w:p w14:paraId="6D9E1AA5" w14:textId="77777777" w:rsidR="005E4620" w:rsidRDefault="005E4620" w:rsidP="00E5777E">
            <w:pPr>
              <w:spacing w:line="360" w:lineRule="auto"/>
              <w:jc w:val="both"/>
              <w:rPr>
                <w:rFonts w:ascii="Century Gothic" w:hAnsi="Century Gothic"/>
                <w:sz w:val="22"/>
                <w:szCs w:val="22"/>
              </w:rPr>
            </w:pPr>
          </w:p>
          <w:p w14:paraId="4ABCF7FB" w14:textId="2C4A5527" w:rsidR="00AB228E" w:rsidRDefault="009B0910" w:rsidP="00E5777E">
            <w:pPr>
              <w:spacing w:line="360" w:lineRule="auto"/>
              <w:jc w:val="both"/>
              <w:rPr>
                <w:rFonts w:ascii="Century Gothic" w:hAnsi="Century Gothic"/>
                <w:sz w:val="22"/>
                <w:szCs w:val="22"/>
              </w:rPr>
            </w:pPr>
            <w:r>
              <w:rPr>
                <w:rFonts w:ascii="Century Gothic" w:hAnsi="Century Gothic"/>
                <w:sz w:val="22"/>
                <w:szCs w:val="22"/>
              </w:rPr>
              <w:t xml:space="preserve">Por otra parte, </w:t>
            </w:r>
            <w:r w:rsidR="00742285">
              <w:rPr>
                <w:rFonts w:ascii="Century Gothic" w:hAnsi="Century Gothic"/>
                <w:sz w:val="22"/>
                <w:szCs w:val="22"/>
              </w:rPr>
              <w:t xml:space="preserve">frente a </w:t>
            </w:r>
            <w:r>
              <w:rPr>
                <w:rFonts w:ascii="Century Gothic" w:hAnsi="Century Gothic"/>
                <w:sz w:val="22"/>
                <w:szCs w:val="22"/>
              </w:rPr>
              <w:t>la póliza RC</w:t>
            </w:r>
            <w:r w:rsidR="00923CD3">
              <w:rPr>
                <w:rFonts w:ascii="Century Gothic" w:hAnsi="Century Gothic"/>
                <w:sz w:val="22"/>
                <w:szCs w:val="22"/>
              </w:rPr>
              <w:t xml:space="preserve"> No. AA009779</w:t>
            </w:r>
            <w:r w:rsidR="00742285">
              <w:rPr>
                <w:rFonts w:ascii="Century Gothic" w:hAnsi="Century Gothic"/>
                <w:sz w:val="22"/>
                <w:szCs w:val="22"/>
              </w:rPr>
              <w:t xml:space="preserve"> la contingencia se califica como Remota</w:t>
            </w:r>
            <w:r>
              <w:rPr>
                <w:rFonts w:ascii="Century Gothic" w:hAnsi="Century Gothic"/>
                <w:sz w:val="22"/>
                <w:szCs w:val="22"/>
              </w:rPr>
              <w:t xml:space="preserve">, </w:t>
            </w:r>
            <w:r w:rsidR="00742285">
              <w:rPr>
                <w:rFonts w:ascii="Century Gothic" w:hAnsi="Century Gothic"/>
                <w:sz w:val="22"/>
                <w:szCs w:val="22"/>
              </w:rPr>
              <w:t xml:space="preserve">pues a pesar de </w:t>
            </w:r>
            <w:r>
              <w:rPr>
                <w:rFonts w:ascii="Century Gothic" w:hAnsi="Century Gothic"/>
                <w:sz w:val="22"/>
                <w:szCs w:val="22"/>
              </w:rPr>
              <w:t>presta</w:t>
            </w:r>
            <w:r w:rsidR="00742285">
              <w:rPr>
                <w:rFonts w:ascii="Century Gothic" w:hAnsi="Century Gothic"/>
                <w:sz w:val="22"/>
                <w:szCs w:val="22"/>
              </w:rPr>
              <w:t>r</w:t>
            </w:r>
            <w:r>
              <w:rPr>
                <w:rFonts w:ascii="Century Gothic" w:hAnsi="Century Gothic"/>
                <w:sz w:val="22"/>
                <w:szCs w:val="22"/>
              </w:rPr>
              <w:t xml:space="preserve"> cobertura temporal </w:t>
            </w:r>
            <w:r w:rsidR="00742285">
              <w:rPr>
                <w:rFonts w:ascii="Century Gothic" w:hAnsi="Century Gothic"/>
                <w:sz w:val="22"/>
                <w:szCs w:val="22"/>
              </w:rPr>
              <w:t>dado que</w:t>
            </w:r>
            <w:r w:rsidR="00A16CBE">
              <w:rPr>
                <w:rFonts w:ascii="Century Gothic" w:hAnsi="Century Gothic"/>
                <w:sz w:val="22"/>
                <w:szCs w:val="22"/>
              </w:rPr>
              <w:t xml:space="preserve"> el accidente ocurrió dentro de la vigencia comprendida desde el </w:t>
            </w:r>
            <w:r w:rsidR="00923CD3">
              <w:rPr>
                <w:rFonts w:ascii="Century Gothic" w:hAnsi="Century Gothic"/>
                <w:sz w:val="22"/>
                <w:szCs w:val="22"/>
              </w:rPr>
              <w:t>1 de diciembre de 2019 al 1 de diciembre de 2020</w:t>
            </w:r>
            <w:r>
              <w:rPr>
                <w:rFonts w:ascii="Century Gothic" w:hAnsi="Century Gothic"/>
                <w:sz w:val="22"/>
                <w:szCs w:val="22"/>
              </w:rPr>
              <w:t>, frente a la cobertura material</w:t>
            </w:r>
            <w:r w:rsidR="00923CD3">
              <w:rPr>
                <w:rFonts w:ascii="Century Gothic" w:hAnsi="Century Gothic"/>
                <w:sz w:val="22"/>
                <w:szCs w:val="22"/>
              </w:rPr>
              <w:t xml:space="preserve"> esta se torna ineficaz porque dicha póliza ampara exclusivamente los daños ocasionados a pasajeros del vehículo asegurado, más no a terceros como ocurre en el caso de marras.</w:t>
            </w:r>
            <w:r>
              <w:rPr>
                <w:rFonts w:ascii="Century Gothic" w:hAnsi="Century Gothic"/>
                <w:sz w:val="22"/>
                <w:szCs w:val="22"/>
              </w:rPr>
              <w:t xml:space="preserve"> </w:t>
            </w:r>
          </w:p>
          <w:p w14:paraId="0F93A7ED" w14:textId="77777777" w:rsidR="00E5777E" w:rsidRDefault="00E5777E" w:rsidP="00E5777E">
            <w:pPr>
              <w:spacing w:line="360" w:lineRule="auto"/>
              <w:jc w:val="both"/>
              <w:rPr>
                <w:rFonts w:ascii="Century Gothic" w:hAnsi="Century Gothic"/>
                <w:sz w:val="22"/>
                <w:szCs w:val="22"/>
              </w:rPr>
            </w:pPr>
          </w:p>
          <w:p w14:paraId="2E9DDB15" w14:textId="5B94AB15" w:rsidR="00E5777E" w:rsidRPr="00742285" w:rsidRDefault="00E5777E" w:rsidP="00E5777E">
            <w:pPr>
              <w:spacing w:line="360" w:lineRule="auto"/>
              <w:jc w:val="both"/>
              <w:rPr>
                <w:rFonts w:ascii="Century Gothic" w:hAnsi="Century Gothic"/>
                <w:sz w:val="20"/>
                <w:szCs w:val="20"/>
              </w:rPr>
            </w:pPr>
            <w:r>
              <w:rPr>
                <w:rFonts w:ascii="Century Gothic" w:hAnsi="Century Gothic"/>
                <w:sz w:val="22"/>
                <w:szCs w:val="22"/>
              </w:rPr>
              <w:t xml:space="preserve">Ahora bien, frente a la responsabilidad del asegurado debe advertirse que </w:t>
            </w:r>
            <w:r w:rsidR="009B0910">
              <w:rPr>
                <w:rFonts w:ascii="Century Gothic" w:hAnsi="Century Gothic"/>
                <w:sz w:val="22"/>
                <w:szCs w:val="22"/>
              </w:rPr>
              <w:t>está probada</w:t>
            </w:r>
            <w:r>
              <w:rPr>
                <w:rFonts w:ascii="Century Gothic" w:hAnsi="Century Gothic"/>
                <w:sz w:val="22"/>
                <w:szCs w:val="22"/>
              </w:rPr>
              <w:t xml:space="preserve">, </w:t>
            </w:r>
            <w:r w:rsidR="00CA648C">
              <w:rPr>
                <w:rFonts w:ascii="Century Gothic" w:hAnsi="Century Gothic"/>
                <w:sz w:val="22"/>
                <w:szCs w:val="22"/>
              </w:rPr>
              <w:t>principalmente</w:t>
            </w:r>
            <w:r>
              <w:rPr>
                <w:rFonts w:ascii="Century Gothic" w:hAnsi="Century Gothic"/>
                <w:sz w:val="22"/>
                <w:szCs w:val="22"/>
              </w:rPr>
              <w:t>, de acuerdo con el Informe Policial de Accidente de Tránsito</w:t>
            </w:r>
            <w:r w:rsidR="00CA648C">
              <w:rPr>
                <w:rFonts w:ascii="Century Gothic" w:hAnsi="Century Gothic"/>
                <w:sz w:val="22"/>
                <w:szCs w:val="22"/>
              </w:rPr>
              <w:t xml:space="preserve"> donde </w:t>
            </w:r>
            <w:r>
              <w:rPr>
                <w:rFonts w:ascii="Century Gothic" w:hAnsi="Century Gothic"/>
                <w:sz w:val="22"/>
                <w:szCs w:val="22"/>
              </w:rPr>
              <w:t xml:space="preserve">se atribuyó al </w:t>
            </w:r>
            <w:r w:rsidR="00923CD3">
              <w:rPr>
                <w:rFonts w:ascii="Century Gothic" w:hAnsi="Century Gothic"/>
                <w:sz w:val="22"/>
                <w:szCs w:val="22"/>
              </w:rPr>
              <w:t>vehículo asegurado</w:t>
            </w:r>
            <w:r w:rsidR="00CA648C">
              <w:rPr>
                <w:rFonts w:ascii="Century Gothic" w:hAnsi="Century Gothic"/>
                <w:sz w:val="22"/>
                <w:szCs w:val="22"/>
              </w:rPr>
              <w:t xml:space="preserve"> la </w:t>
            </w:r>
            <w:r w:rsidR="00923CD3">
              <w:rPr>
                <w:rFonts w:ascii="Century Gothic" w:hAnsi="Century Gothic"/>
                <w:sz w:val="22"/>
                <w:szCs w:val="22"/>
              </w:rPr>
              <w:t>hipótesis 202 (Falla en los frenos</w:t>
            </w:r>
            <w:r w:rsidR="00CA648C">
              <w:rPr>
                <w:rFonts w:ascii="Century Gothic" w:hAnsi="Century Gothic"/>
                <w:sz w:val="22"/>
                <w:szCs w:val="22"/>
              </w:rPr>
              <w:t>) s</w:t>
            </w:r>
            <w:r w:rsidR="00D73197">
              <w:rPr>
                <w:rFonts w:ascii="Century Gothic" w:hAnsi="Century Gothic"/>
                <w:sz w:val="22"/>
                <w:szCs w:val="22"/>
              </w:rPr>
              <w:t>in</w:t>
            </w:r>
            <w:r w:rsidR="00CA648C">
              <w:rPr>
                <w:rFonts w:ascii="Century Gothic" w:hAnsi="Century Gothic"/>
                <w:sz w:val="22"/>
                <w:szCs w:val="22"/>
              </w:rPr>
              <w:t xml:space="preserve"> evidencia</w:t>
            </w:r>
            <w:r w:rsidR="00D73197">
              <w:rPr>
                <w:rFonts w:ascii="Century Gothic" w:hAnsi="Century Gothic"/>
                <w:sz w:val="22"/>
                <w:szCs w:val="22"/>
              </w:rPr>
              <w:t>r</w:t>
            </w:r>
            <w:r w:rsidR="00CA648C">
              <w:rPr>
                <w:rFonts w:ascii="Century Gothic" w:hAnsi="Century Gothic"/>
                <w:sz w:val="22"/>
                <w:szCs w:val="22"/>
              </w:rPr>
              <w:t xml:space="preserve"> alguna causa extraña para la ocurrencia del accidente por lo que su actuación </w:t>
            </w:r>
            <w:r w:rsidR="00923CD3">
              <w:rPr>
                <w:rFonts w:ascii="Century Gothic" w:hAnsi="Century Gothic"/>
                <w:sz w:val="22"/>
                <w:szCs w:val="22"/>
              </w:rPr>
              <w:t xml:space="preserve">y </w:t>
            </w:r>
            <w:r w:rsidR="00742285">
              <w:rPr>
                <w:rFonts w:ascii="Century Gothic" w:hAnsi="Century Gothic"/>
                <w:sz w:val="22"/>
                <w:szCs w:val="22"/>
              </w:rPr>
              <w:t xml:space="preserve">el </w:t>
            </w:r>
            <w:r w:rsidR="00923CD3">
              <w:rPr>
                <w:rFonts w:ascii="Century Gothic" w:hAnsi="Century Gothic"/>
                <w:sz w:val="22"/>
                <w:szCs w:val="22"/>
              </w:rPr>
              <w:t>deber de cuidado sobre el vehículo recaerá sobre los demandados.</w:t>
            </w:r>
            <w:r w:rsidR="00742285">
              <w:rPr>
                <w:rFonts w:ascii="Century Gothic" w:hAnsi="Century Gothic"/>
                <w:sz w:val="22"/>
                <w:szCs w:val="22"/>
              </w:rPr>
              <w:t xml:space="preserve"> </w:t>
            </w:r>
            <w:r w:rsidR="00742285" w:rsidRPr="00742285">
              <w:rPr>
                <w:rFonts w:ascii="Century Gothic" w:hAnsi="Century Gothic"/>
                <w:bCs/>
                <w:sz w:val="22"/>
                <w:szCs w:val="22"/>
              </w:rPr>
              <w:t xml:space="preserve">Sobre el particular, la jurisprudencia de la Corte Suprema de Justicia ha determinado que las fallas mecánicas del vehículo no configuran causa extraña de fuerza mayor o caso fortuito, por no ser un hecho externo a la actividad transportadora (SC17723-2016; 07/12/2016, M.P. LUIS ALONSO RICO PUERTA), de modo que </w:t>
            </w:r>
            <w:r w:rsidR="00742285" w:rsidRPr="00742285">
              <w:rPr>
                <w:rFonts w:ascii="Century Gothic" w:hAnsi="Century Gothic"/>
                <w:bCs/>
                <w:sz w:val="22"/>
                <w:szCs w:val="22"/>
              </w:rPr>
              <w:lastRenderedPageBreak/>
              <w:t>haber perdido los frenos no puede considerarse como un caso fortuito, toda vez que la actividad de transporte prevé el desgaste y necesario cambio de piezas en los vehículos que prestan este servicio, como lo es el automotor asegurado. Por lo anterior, resulta claro que se incurrió en una conducta que incidió en la ocurrencia del accidente.</w:t>
            </w:r>
          </w:p>
          <w:p w14:paraId="78EA8001" w14:textId="77777777" w:rsidR="00E5777E" w:rsidRDefault="00E5777E" w:rsidP="00E5777E">
            <w:pPr>
              <w:spacing w:line="360" w:lineRule="auto"/>
              <w:jc w:val="both"/>
              <w:rPr>
                <w:rFonts w:ascii="Century Gothic" w:hAnsi="Century Gothic"/>
                <w:sz w:val="22"/>
                <w:szCs w:val="22"/>
              </w:rPr>
            </w:pPr>
          </w:p>
          <w:p w14:paraId="642A3B46" w14:textId="55DC88EC" w:rsidR="009B0910" w:rsidRDefault="009B0910" w:rsidP="009E0C57">
            <w:pPr>
              <w:spacing w:line="360" w:lineRule="auto"/>
              <w:jc w:val="both"/>
              <w:rPr>
                <w:rFonts w:ascii="Century Gothic" w:hAnsi="Century Gothic"/>
                <w:sz w:val="22"/>
                <w:szCs w:val="22"/>
              </w:rPr>
            </w:pPr>
            <w:r>
              <w:rPr>
                <w:rFonts w:ascii="Century Gothic" w:hAnsi="Century Gothic"/>
                <w:sz w:val="22"/>
                <w:szCs w:val="22"/>
              </w:rPr>
              <w:t xml:space="preserve">Finalmente, se resalta </w:t>
            </w:r>
            <w:r w:rsidR="00C257C7">
              <w:rPr>
                <w:rFonts w:ascii="Century Gothic" w:hAnsi="Century Gothic"/>
                <w:sz w:val="22"/>
                <w:szCs w:val="22"/>
              </w:rPr>
              <w:t>que,</w:t>
            </w:r>
            <w:r>
              <w:rPr>
                <w:rFonts w:ascii="Century Gothic" w:hAnsi="Century Gothic"/>
                <w:sz w:val="22"/>
                <w:szCs w:val="22"/>
              </w:rPr>
              <w:t xml:space="preserve"> si bien el llamamiento en garantía </w:t>
            </w:r>
            <w:r w:rsidR="009106ED">
              <w:rPr>
                <w:rFonts w:ascii="Century Gothic" w:hAnsi="Century Gothic"/>
                <w:sz w:val="22"/>
                <w:szCs w:val="22"/>
              </w:rPr>
              <w:t>propuesto por el señor</w:t>
            </w:r>
            <w:r>
              <w:rPr>
                <w:rFonts w:ascii="Century Gothic" w:hAnsi="Century Gothic"/>
                <w:sz w:val="22"/>
                <w:szCs w:val="22"/>
              </w:rPr>
              <w:t xml:space="preserve"> </w:t>
            </w:r>
            <w:r w:rsidR="00923CD3">
              <w:rPr>
                <w:rFonts w:ascii="Century Gothic" w:hAnsi="Century Gothic"/>
                <w:sz w:val="22"/>
                <w:szCs w:val="22"/>
              </w:rPr>
              <w:t xml:space="preserve">Oscar Javier </w:t>
            </w:r>
            <w:proofErr w:type="spellStart"/>
            <w:r w:rsidR="00923CD3">
              <w:rPr>
                <w:rFonts w:ascii="Century Gothic" w:hAnsi="Century Gothic"/>
                <w:sz w:val="22"/>
                <w:szCs w:val="22"/>
              </w:rPr>
              <w:t>Botia</w:t>
            </w:r>
            <w:proofErr w:type="spellEnd"/>
            <w:r w:rsidR="00923CD3">
              <w:rPr>
                <w:rFonts w:ascii="Century Gothic" w:hAnsi="Century Gothic"/>
                <w:sz w:val="22"/>
                <w:szCs w:val="22"/>
              </w:rPr>
              <w:t xml:space="preserve"> </w:t>
            </w:r>
            <w:r w:rsidR="0059278A">
              <w:rPr>
                <w:rFonts w:ascii="Century Gothic" w:hAnsi="Century Gothic"/>
                <w:sz w:val="22"/>
                <w:szCs w:val="22"/>
              </w:rPr>
              <w:t>González</w:t>
            </w:r>
            <w:r>
              <w:rPr>
                <w:rFonts w:ascii="Century Gothic" w:hAnsi="Century Gothic"/>
                <w:sz w:val="22"/>
                <w:szCs w:val="22"/>
              </w:rPr>
              <w:t xml:space="preserve">, </w:t>
            </w:r>
            <w:r w:rsidR="009E0C57">
              <w:rPr>
                <w:rFonts w:ascii="Century Gothic" w:hAnsi="Century Gothic"/>
                <w:sz w:val="22"/>
                <w:szCs w:val="22"/>
              </w:rPr>
              <w:t>no prospera</w:t>
            </w:r>
            <w:r w:rsidR="00D27AA8">
              <w:rPr>
                <w:rFonts w:ascii="Century Gothic" w:hAnsi="Century Gothic"/>
                <w:sz w:val="22"/>
                <w:szCs w:val="22"/>
              </w:rPr>
              <w:t>rá</w:t>
            </w:r>
            <w:r w:rsidR="009E0C57">
              <w:rPr>
                <w:rFonts w:ascii="Century Gothic" w:hAnsi="Century Gothic"/>
                <w:sz w:val="22"/>
                <w:szCs w:val="22"/>
              </w:rPr>
              <w:t xml:space="preserve"> en virtud de que operó la</w:t>
            </w:r>
            <w:r w:rsidR="00C257C7">
              <w:rPr>
                <w:rFonts w:ascii="Century Gothic" w:hAnsi="Century Gothic"/>
                <w:sz w:val="22"/>
                <w:szCs w:val="22"/>
              </w:rPr>
              <w:t xml:space="preserve"> prescripción</w:t>
            </w:r>
            <w:r w:rsidR="00D27AA8">
              <w:rPr>
                <w:rFonts w:ascii="Century Gothic" w:hAnsi="Century Gothic"/>
                <w:sz w:val="22"/>
                <w:szCs w:val="22"/>
              </w:rPr>
              <w:t xml:space="preserve"> ordinaria</w:t>
            </w:r>
            <w:r w:rsidR="00C257C7">
              <w:rPr>
                <w:rFonts w:ascii="Century Gothic" w:hAnsi="Century Gothic"/>
                <w:sz w:val="22"/>
                <w:szCs w:val="22"/>
              </w:rPr>
              <w:t xml:space="preserve">, lo </w:t>
            </w:r>
            <w:r w:rsidR="009E0C57">
              <w:rPr>
                <w:rFonts w:ascii="Century Gothic" w:hAnsi="Century Gothic"/>
                <w:sz w:val="22"/>
                <w:szCs w:val="22"/>
              </w:rPr>
              <w:t>cierto es</w:t>
            </w:r>
            <w:r w:rsidR="00C257C7">
              <w:rPr>
                <w:rFonts w:ascii="Century Gothic" w:hAnsi="Century Gothic"/>
                <w:sz w:val="22"/>
                <w:szCs w:val="22"/>
              </w:rPr>
              <w:t xml:space="preserve"> que</w:t>
            </w:r>
            <w:r w:rsidR="00D73197">
              <w:rPr>
                <w:rFonts w:ascii="Century Gothic" w:hAnsi="Century Gothic"/>
                <w:sz w:val="22"/>
                <w:szCs w:val="22"/>
              </w:rPr>
              <w:t xml:space="preserve"> </w:t>
            </w:r>
            <w:r w:rsidR="009E0C57">
              <w:rPr>
                <w:rFonts w:ascii="Century Gothic" w:hAnsi="Century Gothic"/>
                <w:sz w:val="22"/>
                <w:szCs w:val="22"/>
              </w:rPr>
              <w:t>el llamamiento pr</w:t>
            </w:r>
            <w:r w:rsidR="00D27AA8">
              <w:rPr>
                <w:rFonts w:ascii="Century Gothic" w:hAnsi="Century Gothic"/>
                <w:sz w:val="22"/>
                <w:szCs w:val="22"/>
              </w:rPr>
              <w:t>esentado por</w:t>
            </w:r>
            <w:r w:rsidR="009E0C57">
              <w:rPr>
                <w:rFonts w:ascii="Century Gothic" w:hAnsi="Century Gothic"/>
                <w:sz w:val="22"/>
                <w:szCs w:val="22"/>
              </w:rPr>
              <w:t xml:space="preserve"> la Cooperativa de Transportadores Flotax Duitama</w:t>
            </w:r>
            <w:r w:rsidR="009E0C57" w:rsidDel="009E0C57">
              <w:rPr>
                <w:rFonts w:ascii="Century Gothic" w:hAnsi="Century Gothic"/>
                <w:sz w:val="22"/>
                <w:szCs w:val="22"/>
              </w:rPr>
              <w:t xml:space="preserve"> </w:t>
            </w:r>
            <w:r w:rsidR="009E0C57">
              <w:rPr>
                <w:rFonts w:ascii="Century Gothic" w:hAnsi="Century Gothic"/>
                <w:sz w:val="22"/>
                <w:szCs w:val="22"/>
              </w:rPr>
              <w:t xml:space="preserve">sí se realizó en tiempo, por lo </w:t>
            </w:r>
            <w:r w:rsidR="0004146A">
              <w:rPr>
                <w:rFonts w:ascii="Century Gothic" w:hAnsi="Century Gothic"/>
                <w:sz w:val="22"/>
                <w:szCs w:val="22"/>
              </w:rPr>
              <w:t>que la</w:t>
            </w:r>
            <w:r w:rsidR="00C257C7">
              <w:rPr>
                <w:rFonts w:ascii="Century Gothic" w:hAnsi="Century Gothic"/>
                <w:sz w:val="22"/>
                <w:szCs w:val="22"/>
              </w:rPr>
              <w:t xml:space="preserve"> póliza de RC</w:t>
            </w:r>
            <w:r w:rsidR="0059278A">
              <w:rPr>
                <w:rFonts w:ascii="Century Gothic" w:hAnsi="Century Gothic"/>
                <w:sz w:val="22"/>
                <w:szCs w:val="22"/>
              </w:rPr>
              <w:t>E</w:t>
            </w:r>
            <w:r w:rsidR="00C257C7">
              <w:rPr>
                <w:rFonts w:ascii="Century Gothic" w:hAnsi="Century Gothic"/>
                <w:sz w:val="22"/>
                <w:szCs w:val="22"/>
              </w:rPr>
              <w:t xml:space="preserve"> podrá afectarse </w:t>
            </w:r>
            <w:r w:rsidR="00D27AA8">
              <w:rPr>
                <w:rFonts w:ascii="Century Gothic" w:hAnsi="Century Gothic"/>
                <w:sz w:val="22"/>
                <w:szCs w:val="22"/>
              </w:rPr>
              <w:t>y en tal virtud</w:t>
            </w:r>
            <w:r w:rsidR="009E0C57">
              <w:rPr>
                <w:rFonts w:ascii="Century Gothic" w:hAnsi="Century Gothic"/>
                <w:sz w:val="22"/>
                <w:szCs w:val="22"/>
              </w:rPr>
              <w:t xml:space="preserve"> </w:t>
            </w:r>
            <w:r w:rsidR="009106ED">
              <w:rPr>
                <w:rFonts w:ascii="Century Gothic" w:hAnsi="Century Gothic"/>
                <w:sz w:val="22"/>
                <w:szCs w:val="22"/>
              </w:rPr>
              <w:t xml:space="preserve">la contingencia </w:t>
            </w:r>
            <w:r w:rsidR="009E0C57">
              <w:rPr>
                <w:rFonts w:ascii="Century Gothic" w:hAnsi="Century Gothic"/>
                <w:sz w:val="22"/>
                <w:szCs w:val="22"/>
              </w:rPr>
              <w:t>se califica como</w:t>
            </w:r>
            <w:r w:rsidR="009106ED">
              <w:rPr>
                <w:rFonts w:ascii="Century Gothic" w:hAnsi="Century Gothic"/>
                <w:sz w:val="22"/>
                <w:szCs w:val="22"/>
              </w:rPr>
              <w:t xml:space="preserve"> PROBABLE.</w:t>
            </w:r>
          </w:p>
          <w:p w14:paraId="5E4B62E3" w14:textId="77777777" w:rsidR="00C257C7" w:rsidRDefault="00C257C7" w:rsidP="00E5777E">
            <w:pPr>
              <w:spacing w:line="360" w:lineRule="auto"/>
              <w:jc w:val="both"/>
              <w:rPr>
                <w:rFonts w:ascii="Century Gothic" w:hAnsi="Century Gothic"/>
                <w:sz w:val="22"/>
                <w:szCs w:val="22"/>
              </w:rPr>
            </w:pPr>
          </w:p>
          <w:p w14:paraId="573D9C39" w14:textId="77777777" w:rsidR="00E5777E" w:rsidRDefault="00E5777E" w:rsidP="00E5777E">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p w14:paraId="58FF1192" w14:textId="21B129E4" w:rsidR="00BA1E5F" w:rsidRPr="001E0B01" w:rsidRDefault="00BA1E5F" w:rsidP="001E0B01">
            <w:pPr>
              <w:spacing w:line="360" w:lineRule="auto"/>
              <w:jc w:val="both"/>
              <w:rPr>
                <w:rFonts w:ascii="Century Gothic" w:hAnsi="Century Gothic"/>
                <w:sz w:val="22"/>
                <w:szCs w:val="22"/>
              </w:rPr>
            </w:pPr>
          </w:p>
        </w:tc>
      </w:tr>
      <w:tr w:rsidR="001E0B01" w:rsidRPr="001E0B01" w14:paraId="6A3F4D91" w14:textId="77777777" w:rsidTr="008B59F4">
        <w:trPr>
          <w:trHeight w:val="1361"/>
        </w:trPr>
        <w:tc>
          <w:tcPr>
            <w:tcW w:w="10207" w:type="dxa"/>
            <w:gridSpan w:val="2"/>
            <w:vAlign w:val="center"/>
          </w:tcPr>
          <w:p w14:paraId="496E2EE0" w14:textId="77777777" w:rsidR="00A765D5" w:rsidRPr="002F458E" w:rsidRDefault="00A765D5" w:rsidP="0004146A">
            <w:pPr>
              <w:jc w:val="center"/>
              <w:rPr>
                <w:rFonts w:ascii="Century Gothic" w:hAnsi="Century Gothic"/>
                <w:b/>
                <w:bCs/>
                <w:sz w:val="22"/>
                <w:szCs w:val="22"/>
              </w:rPr>
            </w:pPr>
            <w:r w:rsidRPr="002F458E">
              <w:rPr>
                <w:rFonts w:ascii="Century Gothic" w:hAnsi="Century Gothic"/>
                <w:b/>
                <w:bCs/>
                <w:sz w:val="22"/>
                <w:szCs w:val="22"/>
              </w:rPr>
              <w:lastRenderedPageBreak/>
              <w:t>GUSTAVO ALBERTO HERRERA ÁVILA</w:t>
            </w:r>
          </w:p>
          <w:p w14:paraId="23091AFF" w14:textId="12AF3907" w:rsidR="00A765D5" w:rsidRPr="002F458E" w:rsidRDefault="00A765D5" w:rsidP="0004146A">
            <w:pPr>
              <w:jc w:val="center"/>
              <w:rPr>
                <w:rFonts w:ascii="Century Gothic" w:hAnsi="Century Gothic"/>
                <w:b/>
                <w:bCs/>
                <w:sz w:val="22"/>
                <w:szCs w:val="22"/>
              </w:rPr>
            </w:pPr>
            <w:r w:rsidRPr="002F458E">
              <w:rPr>
                <w:rFonts w:ascii="Century Gothic" w:hAnsi="Century Gothic"/>
                <w:b/>
                <w:bCs/>
                <w:sz w:val="22"/>
                <w:szCs w:val="22"/>
              </w:rPr>
              <w:t>C.C. Nº</w:t>
            </w:r>
            <w:r w:rsidR="00EF30E2">
              <w:rPr>
                <w:rFonts w:ascii="Century Gothic" w:hAnsi="Century Gothic"/>
                <w:b/>
                <w:bCs/>
                <w:sz w:val="22"/>
                <w:szCs w:val="22"/>
              </w:rPr>
              <w:t>.</w:t>
            </w:r>
            <w:r w:rsidRPr="002F458E">
              <w:rPr>
                <w:rFonts w:ascii="Century Gothic" w:hAnsi="Century Gothic"/>
                <w:b/>
                <w:bCs/>
                <w:sz w:val="22"/>
                <w:szCs w:val="22"/>
              </w:rPr>
              <w:t>19.395.114 de Bogotá</w:t>
            </w:r>
          </w:p>
          <w:p w14:paraId="383B06A9" w14:textId="77777777" w:rsidR="00BA1E5F" w:rsidRDefault="00A765D5" w:rsidP="0004146A">
            <w:pPr>
              <w:jc w:val="center"/>
              <w:rPr>
                <w:rFonts w:ascii="Century Gothic" w:hAnsi="Century Gothic"/>
                <w:b/>
                <w:bCs/>
                <w:sz w:val="22"/>
                <w:szCs w:val="22"/>
              </w:rPr>
            </w:pPr>
            <w:r w:rsidRPr="002F458E">
              <w:rPr>
                <w:rFonts w:ascii="Century Gothic" w:hAnsi="Century Gothic"/>
                <w:b/>
                <w:bCs/>
                <w:sz w:val="22"/>
                <w:szCs w:val="22"/>
              </w:rPr>
              <w:t>T.P. N°</w:t>
            </w:r>
            <w:r w:rsidR="00EF30E2">
              <w:rPr>
                <w:rFonts w:ascii="Century Gothic" w:hAnsi="Century Gothic"/>
                <w:b/>
                <w:bCs/>
                <w:sz w:val="22"/>
                <w:szCs w:val="22"/>
              </w:rPr>
              <w:t>.</w:t>
            </w:r>
            <w:r w:rsidRPr="002F458E">
              <w:rPr>
                <w:rFonts w:ascii="Century Gothic" w:hAnsi="Century Gothic"/>
                <w:b/>
                <w:bCs/>
                <w:sz w:val="22"/>
                <w:szCs w:val="22"/>
              </w:rPr>
              <w:t>39.116 del C. S. de la J.</w:t>
            </w:r>
          </w:p>
          <w:p w14:paraId="3A806213" w14:textId="66B61EEC" w:rsidR="00EF30E2" w:rsidRPr="001E0B01" w:rsidRDefault="00EF30E2" w:rsidP="0004146A">
            <w:pPr>
              <w:jc w:val="center"/>
              <w:rPr>
                <w:rFonts w:ascii="Century Gothic" w:hAnsi="Century Gothic"/>
                <w:b/>
                <w:bCs/>
                <w:sz w:val="22"/>
                <w:szCs w:val="22"/>
              </w:rPr>
            </w:pPr>
            <w:r>
              <w:rPr>
                <w:rFonts w:ascii="Century Gothic" w:hAnsi="Century Gothic"/>
                <w:b/>
                <w:bCs/>
                <w:sz w:val="22"/>
                <w:szCs w:val="22"/>
              </w:rPr>
              <w:t>BSDM</w:t>
            </w:r>
          </w:p>
        </w:tc>
      </w:tr>
    </w:tbl>
    <w:p w14:paraId="66CA6B89" w14:textId="77777777" w:rsidR="002633C0" w:rsidRPr="001E0B01" w:rsidRDefault="002633C0" w:rsidP="003314A2">
      <w:pPr>
        <w:spacing w:line="360" w:lineRule="auto"/>
        <w:rPr>
          <w:rFonts w:ascii="Century Gothic" w:hAnsi="Century Gothic"/>
          <w:color w:val="FF0000"/>
          <w:sz w:val="22"/>
          <w:szCs w:val="22"/>
        </w:rPr>
      </w:pPr>
    </w:p>
    <w:sectPr w:rsidR="002633C0" w:rsidRPr="001E0B01"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1BB9" w14:textId="77777777" w:rsidR="00DB13B5" w:rsidRDefault="00DB13B5" w:rsidP="00E7033F">
      <w:r>
        <w:separator/>
      </w:r>
    </w:p>
  </w:endnote>
  <w:endnote w:type="continuationSeparator" w:id="0">
    <w:p w14:paraId="63DA8B3B" w14:textId="77777777" w:rsidR="00DB13B5" w:rsidRDefault="00DB13B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10F4" w14:textId="77777777" w:rsidR="00DB13B5" w:rsidRDefault="00DB13B5" w:rsidP="00E7033F">
      <w:r>
        <w:separator/>
      </w:r>
    </w:p>
  </w:footnote>
  <w:footnote w:type="continuationSeparator" w:id="0">
    <w:p w14:paraId="71391006" w14:textId="77777777" w:rsidR="00DB13B5" w:rsidRDefault="00DB13B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7E72"/>
    <w:multiLevelType w:val="hybridMultilevel"/>
    <w:tmpl w:val="4A9222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CAB600D"/>
    <w:multiLevelType w:val="hybridMultilevel"/>
    <w:tmpl w:val="A3489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AF194A"/>
    <w:multiLevelType w:val="hybridMultilevel"/>
    <w:tmpl w:val="C88897A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501E465B"/>
    <w:multiLevelType w:val="hybridMultilevel"/>
    <w:tmpl w:val="826274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64862FE"/>
    <w:multiLevelType w:val="hybridMultilevel"/>
    <w:tmpl w:val="6B2A9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543C25"/>
    <w:multiLevelType w:val="hybridMultilevel"/>
    <w:tmpl w:val="2214AF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E6B3126"/>
    <w:multiLevelType w:val="hybridMultilevel"/>
    <w:tmpl w:val="FF1A4D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37701289">
    <w:abstractNumId w:val="4"/>
  </w:num>
  <w:num w:numId="2" w16cid:durableId="1855529596">
    <w:abstractNumId w:val="3"/>
  </w:num>
  <w:num w:numId="3" w16cid:durableId="1304115558">
    <w:abstractNumId w:val="8"/>
  </w:num>
  <w:num w:numId="4" w16cid:durableId="564142843">
    <w:abstractNumId w:val="7"/>
  </w:num>
  <w:num w:numId="5" w16cid:durableId="1430084287">
    <w:abstractNumId w:val="6"/>
  </w:num>
  <w:num w:numId="6" w16cid:durableId="1816481452">
    <w:abstractNumId w:val="2"/>
  </w:num>
  <w:num w:numId="7" w16cid:durableId="127165441">
    <w:abstractNumId w:val="0"/>
  </w:num>
  <w:num w:numId="8" w16cid:durableId="695430288">
    <w:abstractNumId w:val="5"/>
  </w:num>
  <w:num w:numId="9" w16cid:durableId="110561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35C"/>
    <w:rsid w:val="0000718D"/>
    <w:rsid w:val="00015115"/>
    <w:rsid w:val="000156A5"/>
    <w:rsid w:val="000263D7"/>
    <w:rsid w:val="0004146A"/>
    <w:rsid w:val="00044BFD"/>
    <w:rsid w:val="000554F9"/>
    <w:rsid w:val="00060489"/>
    <w:rsid w:val="00062FD5"/>
    <w:rsid w:val="00072BFC"/>
    <w:rsid w:val="000757E3"/>
    <w:rsid w:val="00090462"/>
    <w:rsid w:val="0009070C"/>
    <w:rsid w:val="00090E1A"/>
    <w:rsid w:val="000A59B0"/>
    <w:rsid w:val="000C0384"/>
    <w:rsid w:val="000D23FC"/>
    <w:rsid w:val="000E4329"/>
    <w:rsid w:val="000E527F"/>
    <w:rsid w:val="000F6F26"/>
    <w:rsid w:val="00103D94"/>
    <w:rsid w:val="001129B6"/>
    <w:rsid w:val="00113720"/>
    <w:rsid w:val="00134177"/>
    <w:rsid w:val="00135810"/>
    <w:rsid w:val="00136FF9"/>
    <w:rsid w:val="00141EC5"/>
    <w:rsid w:val="00154943"/>
    <w:rsid w:val="001600B2"/>
    <w:rsid w:val="00176DDA"/>
    <w:rsid w:val="00181E11"/>
    <w:rsid w:val="00197E4C"/>
    <w:rsid w:val="001C44B4"/>
    <w:rsid w:val="001E096B"/>
    <w:rsid w:val="001E0B01"/>
    <w:rsid w:val="001E1616"/>
    <w:rsid w:val="001E5C79"/>
    <w:rsid w:val="00214299"/>
    <w:rsid w:val="00215A5B"/>
    <w:rsid w:val="002200A2"/>
    <w:rsid w:val="0023114B"/>
    <w:rsid w:val="00234EE0"/>
    <w:rsid w:val="00260B3B"/>
    <w:rsid w:val="00263011"/>
    <w:rsid w:val="002633C0"/>
    <w:rsid w:val="002644A0"/>
    <w:rsid w:val="002A0E98"/>
    <w:rsid w:val="002B6099"/>
    <w:rsid w:val="002C2BB1"/>
    <w:rsid w:val="002C70D0"/>
    <w:rsid w:val="002D350B"/>
    <w:rsid w:val="002D5D22"/>
    <w:rsid w:val="002E02BD"/>
    <w:rsid w:val="002E1D33"/>
    <w:rsid w:val="0030264F"/>
    <w:rsid w:val="00311097"/>
    <w:rsid w:val="00314CAF"/>
    <w:rsid w:val="00322D86"/>
    <w:rsid w:val="00324E27"/>
    <w:rsid w:val="003314A2"/>
    <w:rsid w:val="00332250"/>
    <w:rsid w:val="00332379"/>
    <w:rsid w:val="00345C21"/>
    <w:rsid w:val="00356A4E"/>
    <w:rsid w:val="003827E1"/>
    <w:rsid w:val="003B3757"/>
    <w:rsid w:val="003B44CB"/>
    <w:rsid w:val="003B7F1A"/>
    <w:rsid w:val="003E53FD"/>
    <w:rsid w:val="003E7143"/>
    <w:rsid w:val="00403BFC"/>
    <w:rsid w:val="00413A1F"/>
    <w:rsid w:val="00415C13"/>
    <w:rsid w:val="0043051F"/>
    <w:rsid w:val="00432EE1"/>
    <w:rsid w:val="00437455"/>
    <w:rsid w:val="00462BBD"/>
    <w:rsid w:val="00466B92"/>
    <w:rsid w:val="00493936"/>
    <w:rsid w:val="004B031F"/>
    <w:rsid w:val="004B3A9B"/>
    <w:rsid w:val="004C6D3C"/>
    <w:rsid w:val="004C7D4E"/>
    <w:rsid w:val="00504D95"/>
    <w:rsid w:val="00504FFB"/>
    <w:rsid w:val="00516577"/>
    <w:rsid w:val="00525A8D"/>
    <w:rsid w:val="00564BB3"/>
    <w:rsid w:val="0059278A"/>
    <w:rsid w:val="00595847"/>
    <w:rsid w:val="005A74AD"/>
    <w:rsid w:val="005B593B"/>
    <w:rsid w:val="005C01BA"/>
    <w:rsid w:val="005C0A57"/>
    <w:rsid w:val="005C319A"/>
    <w:rsid w:val="005D4257"/>
    <w:rsid w:val="005E4620"/>
    <w:rsid w:val="005F3EDD"/>
    <w:rsid w:val="005F61D3"/>
    <w:rsid w:val="0060538A"/>
    <w:rsid w:val="006056E7"/>
    <w:rsid w:val="00615265"/>
    <w:rsid w:val="00622882"/>
    <w:rsid w:val="00631BF8"/>
    <w:rsid w:val="00643549"/>
    <w:rsid w:val="0064593C"/>
    <w:rsid w:val="0066008F"/>
    <w:rsid w:val="00694306"/>
    <w:rsid w:val="006A1563"/>
    <w:rsid w:val="006B77D7"/>
    <w:rsid w:val="006C2B65"/>
    <w:rsid w:val="006E57AC"/>
    <w:rsid w:val="006E64CA"/>
    <w:rsid w:val="006F0310"/>
    <w:rsid w:val="006F0CAA"/>
    <w:rsid w:val="00713958"/>
    <w:rsid w:val="0073642F"/>
    <w:rsid w:val="00742285"/>
    <w:rsid w:val="007443CD"/>
    <w:rsid w:val="00761B63"/>
    <w:rsid w:val="007661BA"/>
    <w:rsid w:val="007A49B9"/>
    <w:rsid w:val="007B3A92"/>
    <w:rsid w:val="007C11E2"/>
    <w:rsid w:val="007C37D7"/>
    <w:rsid w:val="007F06C9"/>
    <w:rsid w:val="007F6A2D"/>
    <w:rsid w:val="00800137"/>
    <w:rsid w:val="008160D8"/>
    <w:rsid w:val="00824209"/>
    <w:rsid w:val="008248D3"/>
    <w:rsid w:val="00850A4B"/>
    <w:rsid w:val="0086005A"/>
    <w:rsid w:val="008717AA"/>
    <w:rsid w:val="0089206F"/>
    <w:rsid w:val="008B59F4"/>
    <w:rsid w:val="008B61E5"/>
    <w:rsid w:val="008B685D"/>
    <w:rsid w:val="008C0390"/>
    <w:rsid w:val="008D0DA4"/>
    <w:rsid w:val="008D446C"/>
    <w:rsid w:val="008E249B"/>
    <w:rsid w:val="008E2CA5"/>
    <w:rsid w:val="008E3FC8"/>
    <w:rsid w:val="008F6B57"/>
    <w:rsid w:val="009106ED"/>
    <w:rsid w:val="00915111"/>
    <w:rsid w:val="00923CD3"/>
    <w:rsid w:val="00927C9B"/>
    <w:rsid w:val="00935BB1"/>
    <w:rsid w:val="009366F5"/>
    <w:rsid w:val="00950A8C"/>
    <w:rsid w:val="0095378E"/>
    <w:rsid w:val="009557C0"/>
    <w:rsid w:val="0095762A"/>
    <w:rsid w:val="00965542"/>
    <w:rsid w:val="009820E4"/>
    <w:rsid w:val="009860A7"/>
    <w:rsid w:val="00987619"/>
    <w:rsid w:val="00992368"/>
    <w:rsid w:val="00996B7A"/>
    <w:rsid w:val="009A06ED"/>
    <w:rsid w:val="009A3FDB"/>
    <w:rsid w:val="009B0910"/>
    <w:rsid w:val="009B35A3"/>
    <w:rsid w:val="009B7092"/>
    <w:rsid w:val="009D1F2D"/>
    <w:rsid w:val="009D2C4A"/>
    <w:rsid w:val="009E0C57"/>
    <w:rsid w:val="009F7D35"/>
    <w:rsid w:val="00A16CBE"/>
    <w:rsid w:val="00A47CB8"/>
    <w:rsid w:val="00A51E4E"/>
    <w:rsid w:val="00A539EA"/>
    <w:rsid w:val="00A53EE9"/>
    <w:rsid w:val="00A54B88"/>
    <w:rsid w:val="00A54EE5"/>
    <w:rsid w:val="00A56556"/>
    <w:rsid w:val="00A66CFC"/>
    <w:rsid w:val="00A765D5"/>
    <w:rsid w:val="00A81DE4"/>
    <w:rsid w:val="00A904FF"/>
    <w:rsid w:val="00A97AED"/>
    <w:rsid w:val="00AB228E"/>
    <w:rsid w:val="00AC7271"/>
    <w:rsid w:val="00AD110F"/>
    <w:rsid w:val="00AE1E1C"/>
    <w:rsid w:val="00AE5D3A"/>
    <w:rsid w:val="00AF1BDF"/>
    <w:rsid w:val="00B2787D"/>
    <w:rsid w:val="00B80D24"/>
    <w:rsid w:val="00B90E05"/>
    <w:rsid w:val="00BA0472"/>
    <w:rsid w:val="00BA1E5F"/>
    <w:rsid w:val="00BA1EBE"/>
    <w:rsid w:val="00BB7717"/>
    <w:rsid w:val="00BD2441"/>
    <w:rsid w:val="00BF6B7B"/>
    <w:rsid w:val="00C20FAC"/>
    <w:rsid w:val="00C257C7"/>
    <w:rsid w:val="00C35664"/>
    <w:rsid w:val="00C4153F"/>
    <w:rsid w:val="00C66BB7"/>
    <w:rsid w:val="00C94D61"/>
    <w:rsid w:val="00CA039A"/>
    <w:rsid w:val="00CA648C"/>
    <w:rsid w:val="00CB6925"/>
    <w:rsid w:val="00CC6D0A"/>
    <w:rsid w:val="00CD6FA8"/>
    <w:rsid w:val="00CD73D9"/>
    <w:rsid w:val="00CF3A52"/>
    <w:rsid w:val="00CF5D04"/>
    <w:rsid w:val="00CF61EA"/>
    <w:rsid w:val="00D27AA8"/>
    <w:rsid w:val="00D33414"/>
    <w:rsid w:val="00D33E78"/>
    <w:rsid w:val="00D35F0D"/>
    <w:rsid w:val="00D561CD"/>
    <w:rsid w:val="00D63A16"/>
    <w:rsid w:val="00D73197"/>
    <w:rsid w:val="00D8594D"/>
    <w:rsid w:val="00D90F74"/>
    <w:rsid w:val="00D94E6D"/>
    <w:rsid w:val="00D96F8F"/>
    <w:rsid w:val="00DB13B5"/>
    <w:rsid w:val="00DB3F20"/>
    <w:rsid w:val="00DD4F01"/>
    <w:rsid w:val="00DD6A64"/>
    <w:rsid w:val="00DD71DA"/>
    <w:rsid w:val="00DE5BEB"/>
    <w:rsid w:val="00DF130E"/>
    <w:rsid w:val="00DF2553"/>
    <w:rsid w:val="00E150BC"/>
    <w:rsid w:val="00E25E3A"/>
    <w:rsid w:val="00E26ED3"/>
    <w:rsid w:val="00E34074"/>
    <w:rsid w:val="00E363A7"/>
    <w:rsid w:val="00E4543B"/>
    <w:rsid w:val="00E5260A"/>
    <w:rsid w:val="00E5777E"/>
    <w:rsid w:val="00E7033F"/>
    <w:rsid w:val="00E70FE1"/>
    <w:rsid w:val="00E802BC"/>
    <w:rsid w:val="00E832F2"/>
    <w:rsid w:val="00EA183D"/>
    <w:rsid w:val="00EB4FDE"/>
    <w:rsid w:val="00EB5FFB"/>
    <w:rsid w:val="00EB7F20"/>
    <w:rsid w:val="00ED6F44"/>
    <w:rsid w:val="00EE687D"/>
    <w:rsid w:val="00EF30E2"/>
    <w:rsid w:val="00F024DE"/>
    <w:rsid w:val="00F068FC"/>
    <w:rsid w:val="00F4036C"/>
    <w:rsid w:val="00F5150F"/>
    <w:rsid w:val="00F6209E"/>
    <w:rsid w:val="00F626C1"/>
    <w:rsid w:val="00F62D63"/>
    <w:rsid w:val="00F64A89"/>
    <w:rsid w:val="00F67EF8"/>
    <w:rsid w:val="00F856C2"/>
    <w:rsid w:val="00F8715C"/>
    <w:rsid w:val="00F90650"/>
    <w:rsid w:val="00F937F8"/>
    <w:rsid w:val="00F93917"/>
    <w:rsid w:val="00FA39A9"/>
    <w:rsid w:val="00FC01A7"/>
    <w:rsid w:val="00FC45D1"/>
    <w:rsid w:val="00FC4C03"/>
    <w:rsid w:val="00FD0FD5"/>
    <w:rsid w:val="00FD164B"/>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6ACF438C-B534-4BD8-B1CB-B1F7BDC0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32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431732">
      <w:bodyDiv w:val="1"/>
      <w:marLeft w:val="0"/>
      <w:marRight w:val="0"/>
      <w:marTop w:val="0"/>
      <w:marBottom w:val="0"/>
      <w:divBdr>
        <w:top w:val="none" w:sz="0" w:space="0" w:color="auto"/>
        <w:left w:val="none" w:sz="0" w:space="0" w:color="auto"/>
        <w:bottom w:val="none" w:sz="0" w:space="0" w:color="auto"/>
        <w:right w:val="none" w:sz="0" w:space="0" w:color="auto"/>
      </w:divBdr>
    </w:div>
    <w:div w:id="1781298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4.xml><?xml version="1.0" encoding="utf-8"?>
<ds:datastoreItem xmlns:ds="http://schemas.openxmlformats.org/officeDocument/2006/customXml" ds:itemID="{842EFDDE-6406-9140-85F6-5EC2E7B1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2317</Words>
  <Characters>12747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2025-05-26T23:13:00Z</dcterms:created>
  <dcterms:modified xsi:type="dcterms:W3CDTF">2025-05-26T23:13:00Z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