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1A88" w14:textId="77777777" w:rsidR="007B24CE" w:rsidRDefault="007B24CE" w:rsidP="007B24C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Código Único de Identificación: 11 001 31 05-012-2023-00003 -01</w:t>
      </w:r>
    </w:p>
    <w:p w14:paraId="35339A5D" w14:textId="77777777" w:rsidR="007B24CE" w:rsidRDefault="007B24CE" w:rsidP="007B24C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Demandante: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>FREDY LUIS GARCÍA HERNÁNDEZ.</w:t>
      </w:r>
    </w:p>
    <w:p w14:paraId="17B5BC27" w14:textId="77777777" w:rsidR="007B24CE" w:rsidRDefault="007B24CE" w:rsidP="007B24CE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Demandado: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>COLPENSIONES Y COLFONDOS S.A.</w:t>
      </w:r>
    </w:p>
    <w:p w14:paraId="31FFD9E5" w14:textId="53159508" w:rsidR="007B24CE" w:rsidRDefault="007B24CE" w:rsidP="007B24C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18"/>
          <w:szCs w:val="18"/>
          <w:lang w:val="es-CO"/>
        </w:rPr>
      </w:pPr>
    </w:p>
    <w:p w14:paraId="52F71C37" w14:textId="77777777" w:rsidR="0021500F" w:rsidRDefault="0021500F" w:rsidP="007B24C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18"/>
          <w:szCs w:val="18"/>
          <w:lang w:val="es-CO"/>
        </w:rPr>
      </w:pPr>
    </w:p>
    <w:p w14:paraId="3F56E2BC" w14:textId="77777777" w:rsidR="007B24CE" w:rsidRDefault="007B24CE" w:rsidP="0021500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REPÚBLICA DE COLOMBIA</w:t>
      </w:r>
    </w:p>
    <w:p w14:paraId="03451726" w14:textId="77777777" w:rsidR="007B24CE" w:rsidRDefault="007B24CE" w:rsidP="0021500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TRIBUNAL SUPERIOR DISTRITO JUDICIAL DE BOGOTÁ</w:t>
      </w:r>
    </w:p>
    <w:p w14:paraId="0C95BFE9" w14:textId="77777777" w:rsidR="007B24CE" w:rsidRDefault="007B24CE" w:rsidP="0021500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SALA SEXTA DE DECISIÓN LABORAL</w:t>
      </w:r>
    </w:p>
    <w:p w14:paraId="0A027EE4" w14:textId="77777777" w:rsidR="0021500F" w:rsidRDefault="0021500F" w:rsidP="0021500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67EFFC7A" w14:textId="385E056A" w:rsidR="007B24CE" w:rsidRDefault="007B24CE" w:rsidP="0021500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GUSTAVO ALIRIO TUPAZ PARRA</w:t>
      </w:r>
    </w:p>
    <w:p w14:paraId="7CB5B2F1" w14:textId="77777777" w:rsidR="007B24CE" w:rsidRDefault="007B24CE" w:rsidP="0021500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Magistrado ponente.</w:t>
      </w:r>
    </w:p>
    <w:p w14:paraId="0CBC8C46" w14:textId="77777777" w:rsidR="0021500F" w:rsidRDefault="0021500F" w:rsidP="0021500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19EC847" w14:textId="6D024FCE" w:rsidR="007B24CE" w:rsidRDefault="007B24CE" w:rsidP="0021500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Bogotá, D.C., treinta (30) de abril de dos mil veinticuatro (2024).</w:t>
      </w:r>
    </w:p>
    <w:p w14:paraId="59EAD679" w14:textId="77777777" w:rsidR="0021500F" w:rsidRDefault="0021500F" w:rsidP="007B24C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3CF049C" w14:textId="77777777" w:rsidR="0021500F" w:rsidRDefault="0021500F" w:rsidP="007B24C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3762808" w14:textId="2132C57D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Discutido y Aprobado según Acta No 004.</w:t>
      </w:r>
    </w:p>
    <w:p w14:paraId="06EA8564" w14:textId="7777777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I. ASUNTO</w:t>
      </w:r>
    </w:p>
    <w:p w14:paraId="238167DB" w14:textId="77777777" w:rsidR="0021500F" w:rsidRDefault="0021500F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84420FD" w14:textId="0CDAA62E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Se decide el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RECURSO DE APELACIÓN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interpuesto por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COLFONDOS</w:t>
      </w:r>
      <w:r w:rsidR="00824C72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S.A.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 la providencia proferida 01 de septiembre de 2023 dentro del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proceso ordinario laboral que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FREDY LUIS GARCÍA HERNÁNDEZ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adelanta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contra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COLPENSIONES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la recurrente.</w:t>
      </w:r>
    </w:p>
    <w:p w14:paraId="38BD2872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28B25A03" w14:textId="3B25EB35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II. ANTECEDENTES</w:t>
      </w:r>
    </w:p>
    <w:p w14:paraId="7049381F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5D33DF3C" w14:textId="4BC56F3C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1. Pretensiones.</w:t>
      </w:r>
    </w:p>
    <w:p w14:paraId="0BE0D254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88131EA" w14:textId="74BAE164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lo que aquí concierne con la demanda se solicita se declare la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ineficacia del traslado realizado dentro del régimen de ahorro individual con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solidaridad a través de COLFONDOS S.A.; y que se encuentra válidamente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afiliado a COLPENSIONES. Como consecuencia de lo anterior, solicita que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COLFONDOS S.A. devuelva todos los valores que recibió, tales como,</w:t>
      </w:r>
    </w:p>
    <w:p w14:paraId="18F8CE76" w14:textId="17831FA4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aportes, rendimientos, intereses, frutos, gastos de administración, y demás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rubros que hubiese recibido a título de cotizaciones.</w:t>
      </w:r>
    </w:p>
    <w:p w14:paraId="63CC3A56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C1533A0" w14:textId="7777777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2. Actuación Procesal.</w:t>
      </w:r>
    </w:p>
    <w:p w14:paraId="2F2CF896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9FE4B96" w14:textId="09E5AFC5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COLFONDOS S.A. dio contestación a la demanda el 08 de agosto de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2023, fecha en la que también solicitó el llamamiento en garantía de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MAPFRE COLOMBIA VIDA SEGUROS S.A., COMPAÑÍA DE SEGUROS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BOLÍVAR S.A., SEGUROS DE VIDA COLPATRIA. y ASEGURADORA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ALLIANZ SEGUROS DE VIDA S.A., fundamentado en que estas son las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entidades con la que se suscribió el contrato de seguro previsional para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cubrir los riesgos de invalidez y muerte del demandante (archivo 14).</w:t>
      </w:r>
    </w:p>
    <w:p w14:paraId="29613145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BA67C8E" w14:textId="7777777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3. Providencia Recurrida.</w:t>
      </w:r>
    </w:p>
    <w:p w14:paraId="2DDA25C1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A1B5324" w14:textId="6A3F7068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En auto del 01 de septiembre de 2023 el Juzgado de Conocimiento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negó el llamamiento en garantía, señalando que, en caso de prosperar la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demanda, es el fondo privado quien debe responder por todos los valores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recibidos y que serán objeto de devolución; y que ello, es de sus propios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recursos (archivo 15).</w:t>
      </w:r>
    </w:p>
    <w:p w14:paraId="02405C99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55514C97" w14:textId="1EC83906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4. Argumentos del recurrente.</w:t>
      </w:r>
    </w:p>
    <w:p w14:paraId="2AE54673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A4B4CED" w14:textId="64E55293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Expresó que, si se declara la ineficacia de traslado, esta tiene por efecto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restituir las cosas a su estado anterior, por lo que, todos los actos que se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hubieran podido celebrar en cumplimiento de tal traslado seguirían la misma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suerte; y </w:t>
      </w:r>
      <w:proofErr w:type="gram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</w:t>
      </w:r>
      <w:proofErr w:type="gram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por lo anterior, las entidades aseguradoras deben devolver lo que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recibieron por concepto de seguros previsionales (archivo 16).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5C3467DA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5D30BC6" w14:textId="7777777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5. Actuación Procesal en Segunda Instancia.</w:t>
      </w:r>
    </w:p>
    <w:p w14:paraId="2C7C6450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8341372" w14:textId="449BD579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Allegadas las diligencias a esta Corporación, mediante el auto de fecha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05 de febrero de 2024, se admitió el recurso de apelación. Luego, se dispuso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correr el respectivo traslado a las partes para alegar, oportunidad que fue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utilizada por la parte actora, para reafirmar sus argumentos.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64C56A38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825B184" w14:textId="77777777" w:rsidR="00824C72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Ingresadas las diligencias al despacho, se observa que no existe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nulidad que invalide lo actuado y finalmente, se advierte que en virtud de lo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previsto en el artículo 66 A del CPTSS, la competencia del Tribunal se limita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al estudio exclusivo de las materias objeto del recurso. </w:t>
      </w:r>
    </w:p>
    <w:p w14:paraId="3395D16C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25CED9C" w14:textId="09D7263D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ello se le veda 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Sala adentrarse en puntos que están al margen de la discusión, o que no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fueron aducidos al sustentar el recurso.</w:t>
      </w:r>
    </w:p>
    <w:p w14:paraId="1CF5F900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1DE224B2" w14:textId="7777777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III. CONSIDERACIONES PARA DECIDIR</w:t>
      </w:r>
    </w:p>
    <w:p w14:paraId="6E1E43AC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9EA41EC" w14:textId="48918081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Sentado lo anterior y conforme a los reparos expuestos en la apelación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la Sala encuentra como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problema jurídico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resolver el siguiente: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203C688A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0EA185F" w14:textId="73748AA2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¿Es viable o no el llamamiento en garantía efectuado por COLFONDOS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de MAPFRE COLOMBIA VIDA SEGUROS S.A., </w:t>
      </w:r>
      <w:proofErr w:type="gram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COMPAÑÍA DE SEGUROS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BOLÍVAR S.A., SEGUROS DE VIDA COLPATRIA y ASEGURADORA ALLIANZ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S.A.?</w:t>
      </w:r>
      <w:proofErr w:type="gramEnd"/>
    </w:p>
    <w:p w14:paraId="2535BF0A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7FB5BD6A" w14:textId="58F76049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Tesis</w:t>
      </w:r>
    </w:p>
    <w:p w14:paraId="764B64EE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A308197" w14:textId="19EEB96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Confirmar la decisión de primer grado.</w:t>
      </w:r>
    </w:p>
    <w:p w14:paraId="3EAF286E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1E88840" w14:textId="4DCFF9CE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Veamos las razones que llevan a la Sala a consentir en ello.</w:t>
      </w:r>
    </w:p>
    <w:p w14:paraId="579799A6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40BFC59C" w14:textId="456BE75C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Del Llamamiento en Garantía.</w:t>
      </w:r>
    </w:p>
    <w:p w14:paraId="6CA695DC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F2ADFA0" w14:textId="537EA060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 xml:space="preserve">El artículo 64 del C.G.P, establece que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“quien afirme tener derecho</w:t>
      </w:r>
      <w:r w:rsidR="00824C72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legal o contractual a exigir de otro la indemnización del perjuicio que llegare a</w:t>
      </w:r>
      <w:r w:rsidR="00824C72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sufrir o el reembolso total o parcial del pago que tuviere que hacer como</w:t>
      </w:r>
      <w:r w:rsidR="00824C72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resultado de la sentencia que se dicte en el proceso que promueva o se le</w:t>
      </w:r>
      <w:r w:rsidR="00824C72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promueva, o quien de acuerdo con la ley sustancial tenga derecho al</w:t>
      </w:r>
    </w:p>
    <w:p w14:paraId="5C3F7549" w14:textId="6C85E75C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</w:pP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saneamiento por evicción, podrá pedir, en la demanda o dentro del término</w:t>
      </w:r>
      <w:r w:rsidR="00824C72"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  <w:t>para contestarla, que en el mismo proceso se resuelva sobre tal relación”.</w:t>
      </w:r>
    </w:p>
    <w:p w14:paraId="57EA49DE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Italic" w:hAnsi="BookmanOldStyle,Italic" w:cs="BookmanOldStyle,Italic"/>
          <w:i/>
          <w:iCs/>
          <w:kern w:val="0"/>
          <w:sz w:val="24"/>
          <w:szCs w:val="24"/>
          <w:lang w:val="es-CO"/>
        </w:rPr>
      </w:pPr>
    </w:p>
    <w:p w14:paraId="33806B82" w14:textId="4D11E964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esta manera, es posible que una parte efectué la citación en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garantía en todos aquellos casos en los que </w:t>
      </w:r>
      <w:proofErr w:type="gram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considere</w:t>
      </w:r>
      <w:proofErr w:type="gram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que en cabeza de este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puede existir una obligación de índole legal o contractual con el fin de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garantizar la indemnización de un perjuicio o el reembolso de un pago, de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modo que, le corresponderá al juzgador en virtud del llamamiento en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garantía resolver la relación jurídica existente entre garante y garantizado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el mismo proceso. En consecuencia, el pronunciamiento que se realiza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sentencia respecto de la relación jurídica inicial entre demandante y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demandado, - en caso de que su sentido afecte la que determinó el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llamamiento-, es lo que permite entrar a decidir respecto de la segunda.</w:t>
      </w:r>
    </w:p>
    <w:p w14:paraId="2BBDB321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43A2A8E" w14:textId="716B6C5A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Al respecto, en providencia CSJ AL 3220 de 2015, reiteró lo expuesto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la CSJ Rad. 28246 del 2007, en la que se dijo que la entidad llamada en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garantía es parte circunstancial al proceso al que se le convoque; y que la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responsabilidad de la convocada al proceso como llamada en garantía no es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autónoma frente a quien no tiene ningún vínculo contractual, es una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relación derivada de la que se ha constituido por las relaciones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contractuales bajo el supuesto ineludible de la existencia de una obligación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entre quien es la garantizada, la entidad demanda, y el actor.</w:t>
      </w:r>
    </w:p>
    <w:p w14:paraId="501C7A64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5A996C6" w14:textId="355D6175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 mismo, en sentencia CSJ SL2548-2021, se recordó que el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llamamiento en garantía permite que quien es demandado vincule al debate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 un tercero, para que, en virtud de un nexo legal o contractual, responda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las condenas que se le impongan, en el evento en que el convocante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resulte desfavorecido con la sentencia que ponga fin al proceso, como</w:t>
      </w:r>
    </w:p>
    <w:p w14:paraId="3533F559" w14:textId="7CB663A4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consecuencia de la condena impuesta. Igualmente, en sentencia CSJ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SC5885-2016 que fuere reiterada en auto CSJ AC2900-2017, se precisó que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relación material del llamamiento involucra únicamente al llamante y 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llamada, no se expande a ningún otro sujeto procesal ni siquiera a la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parte actora, al punto que solo será objeto de estudio en el evento de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prosperidad de las súplicas, de modo que si estas se desestiman resulta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inocuo o innecesario su estudio.</w:t>
      </w:r>
    </w:p>
    <w:p w14:paraId="78AC2678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AED5722" w14:textId="2F102CCC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Conforme a lo expuesto, es claro que el llamamiento en garantía tiene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como fin brindar la posibilidad al juzgador de conocer las obligaciones en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cabeza de un tercero ajeno al proceso, de manera que, estos puedan ser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discutidos dentro del mismo en virtud del principio de la economía procesal.</w:t>
      </w:r>
    </w:p>
    <w:p w14:paraId="23DF68C3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18062E30" w14:textId="53F24530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Así las cosas, como se indicó desde el inicio de este proveído,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COLFONDOS S.A, insiste en el llamamiento en garantía de MAPFRE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COLOMBIA VIDA SEGUROS S.A., COMPAÑÍA DE SEGUROS BOLÍVAR S.A.,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DE VIDA COLPATRIA y ASEGURADORA ALLIANZ SEGUROS DE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VIDA S.A., pues asegura que en virtud de los contratos de seguro previsional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n.°</w:t>
      </w:r>
      <w:proofErr w:type="spellEnd"/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>0209000001-1, 006, 061, 1000002, 1000003, 5030-0000002-01, 02, 03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04, 6000-0000015-01 y 02, 6000-0000018-01, 02 y 03, y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9201409003175, las que se aduce se encontraban vigentes para la época en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la que se permaneció en dicho fondo privado –desde el 13 de junio de 1996-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es su obligación devolver los valores recibidos por concepto de prima, en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caso de que la A.F.P. resulte condenada a la restitución de este concepto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como consecuencia de la ineficacia del traslado (archivo 14).</w:t>
      </w:r>
    </w:p>
    <w:p w14:paraId="2F10401A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0CF8524" w14:textId="053151E4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 obstante, en sentir de esta Corporación, no es posible derivar el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nexo legal o contractual entre COLFONDOS S.A y MAPFRE COLOMBIA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VIDA SEGUROS S.A., COMPAÑÍA DE SEGUROS BOLÍVAR S.A., SEGUROS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VIDA COLPATRIA y ASEGURADORA ALLIANZ SEGUROS DE VIDA S.A.,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que estas últimas respondan por las condenas que se le impongan en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virtud de las referidas pólizas de seguro, puesto que las aseguradoras cuya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integración se pretende, no están obligadas a cubrir ninguna de las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eventuales condenas, atendiendo que lo peticionado en autos no es otra cosa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que la declaratoria de la ineficacia del traslado de régimen, por falta de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asesoría e ilustración, por no haberse suministrado una información, clara,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cierta y comprensible, de la afiliación realizada por la demandante al R.A.I.S.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 el consecuente retorno al régimen de prima media con prestación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definida y el traslado de la totalidad de los aportes pagados junto con sus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rendimientos. El anterior razonamiento encuentra sustento en lo previsto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el artículo 1087 de la Ley 100 de 1993, que impone a las administradoras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 fondos de pensiones el deber de contratar seguros colectivos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previsionales que concurran a la financiación de las pensiones de invalidez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y sobrevivientes que deban reconocerse a los afiliados del R.A.I.S., lo que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implica que la garantía contratada sólo se activa cuando ocurre el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reconocimiento de dichas prestaciones –invalidez y sobrevivientes- y se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requiere completar el capital respectivo para su pago al beneficiario,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aspectos no comprendidos en la discusión de autos, lo que desde luego torna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improcedente el llamamiento e impide darle el trámite respectivo.</w:t>
      </w:r>
    </w:p>
    <w:p w14:paraId="5C425960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456A5B78" w14:textId="0304CCB9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En ese orden, se itera, ninguna de las obligaciones que eventualmente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deriven de una sentencia favorable al actor incumbe a la entidad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aseguradora según el objeto de las pólizas que se contrató por parte de la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A.F.P. recurrente, y en ese orden, tal como lo concluyó la juez de primer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grado, no se cumplen los requisitos exigidos por en el estatuto adjetivo civil</w:t>
      </w:r>
    </w:p>
    <w:p w14:paraId="155484B8" w14:textId="1A79F176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para integrar a MAPFRE COLOMBIA VIDA SEGUROS S.A., COMPAÑÍA DE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SEGUROS BOLÍVAR S.A., SEGUROS DE VIDA COLPATRIA y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ASEGURADORA ALLIANZ SEGUROS DE VIDA S.A., como llamadas en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garantía.</w:t>
      </w:r>
    </w:p>
    <w:p w14:paraId="1BA7C31C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6841695E" w14:textId="283C42A4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Por lo expuesto, no resulta viable que el llamamiento en garantía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efectuado por COLFONDOS S.A., a las aseguradoras aludidas, por lo que,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 CONFIRMARÁ el auto apelado, de acuerdo con lo considerado.</w:t>
      </w:r>
    </w:p>
    <w:p w14:paraId="57468D0B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07438F4" w14:textId="7777777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IV. COSTAS EN SEGUNDA INSTANCIA</w:t>
      </w:r>
    </w:p>
    <w:p w14:paraId="670AACED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75B9C181" w14:textId="489DC13A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No se impondrán costas.</w:t>
      </w:r>
    </w:p>
    <w:p w14:paraId="4B6E1E7D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72415C09" w14:textId="1F98FEA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V. DECISIÓN</w:t>
      </w:r>
    </w:p>
    <w:p w14:paraId="30BC1A6B" w14:textId="77777777" w:rsidR="00824C72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lastRenderedPageBreak/>
        <w:t xml:space="preserve">En mérito de lo expuesto, el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TRIBUNAL SUPERIOR DEL DISTRITO</w:t>
      </w:r>
      <w:r w:rsidR="00824C72"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JUDICIAL DE BOGOTÁ, D.C., SALA SEXTA DE DECISIÓN LABORAL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,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</w:p>
    <w:p w14:paraId="449EEA1B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2739EC15" w14:textId="3B4E444C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R E S U E L V E</w:t>
      </w:r>
    </w:p>
    <w:p w14:paraId="7E6F683A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44EC68EC" w14:textId="3323C5FE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PRIMERO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. – </w:t>
      </w: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CONFIRMAR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auto proferido el 01 de septiembre de 2023 por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el Juzgado Doce Laboral del Circuito de Bogotá, de acuerdo con lo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considerado.</w:t>
      </w:r>
    </w:p>
    <w:p w14:paraId="3C81F349" w14:textId="7777777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 xml:space="preserve">SEGUNDO. –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Sin costas en esta instancia.</w:t>
      </w:r>
    </w:p>
    <w:p w14:paraId="7A565D35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3A26E839" w14:textId="3F70FDD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Esta providencia se notificará por ESTADO VIRTUAL elaborado por la</w:t>
      </w:r>
      <w:r w:rsidR="00824C72">
        <w:rPr>
          <w:rFonts w:ascii="BookmanOldStyle" w:hAnsi="BookmanOldStyle" w:cs="BookmanOldStyle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Secretaría de esta Sala.</w:t>
      </w:r>
    </w:p>
    <w:p w14:paraId="27511634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</w:p>
    <w:p w14:paraId="01A7B039" w14:textId="6CC6F27A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kern w:val="0"/>
          <w:sz w:val="24"/>
          <w:szCs w:val="24"/>
          <w:lang w:val="es-CO"/>
        </w:rPr>
        <w:t>Los Magistrados,</w:t>
      </w:r>
    </w:p>
    <w:p w14:paraId="22E6AB49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19202232" w14:textId="6CCD814F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GUSTAVO ALIRIO TUPAZ PARRA</w:t>
      </w:r>
    </w:p>
    <w:p w14:paraId="4280C6D2" w14:textId="77777777" w:rsidR="00824C72" w:rsidRDefault="00824C72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5640DABF" w14:textId="24D5CC0B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sz w:val="18"/>
          <w:szCs w:val="18"/>
          <w:lang w:val="es-CO"/>
        </w:rPr>
      </w:pPr>
    </w:p>
    <w:p w14:paraId="1114BCC3" w14:textId="77777777" w:rsidR="007B24CE" w:rsidRDefault="007B24CE" w:rsidP="00824C72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ELCY JIMENA VALENCIA CASTRILLÓN</w:t>
      </w:r>
    </w:p>
    <w:p w14:paraId="66A716D5" w14:textId="77777777" w:rsidR="00824C72" w:rsidRDefault="00824C72" w:rsidP="00824C72">
      <w:pPr>
        <w:jc w:val="both"/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</w:pPr>
    </w:p>
    <w:p w14:paraId="5C5A12DB" w14:textId="046D0D62" w:rsidR="00B9243D" w:rsidRDefault="007B24CE" w:rsidP="00824C72">
      <w:pPr>
        <w:jc w:val="both"/>
      </w:pPr>
      <w:r>
        <w:rPr>
          <w:rFonts w:ascii="BookmanOldStyle,Bold" w:hAnsi="BookmanOldStyle,Bold" w:cs="BookmanOldStyle,Bold"/>
          <w:b/>
          <w:bCs/>
          <w:kern w:val="0"/>
          <w:sz w:val="24"/>
          <w:szCs w:val="24"/>
          <w:lang w:val="es-CO"/>
        </w:rPr>
        <w:t>LORENZO TORRES RUSSY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CE"/>
    <w:rsid w:val="0021500F"/>
    <w:rsid w:val="00737460"/>
    <w:rsid w:val="007B24CE"/>
    <w:rsid w:val="00824C72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06BF"/>
  <w15:chartTrackingRefBased/>
  <w15:docId w15:val="{DCF16511-6B8F-4270-91DA-70DF1FC2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1594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2024-05-03T22:53:00Z</dcterms:created>
  <dcterms:modified xsi:type="dcterms:W3CDTF">2024-05-03T23:00:00Z</dcterms:modified>
</cp:coreProperties>
</file>