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42DC" w14:textId="77777777" w:rsidR="00974A53" w:rsidRDefault="00974A53" w:rsidP="00CD14BF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kern w:val="0"/>
          <w:sz w:val="33"/>
          <w:szCs w:val="33"/>
          <w:lang w:val="es-CO"/>
        </w:rPr>
      </w:pPr>
      <w:r>
        <w:rPr>
          <w:rFonts w:ascii="Garamond,Bold" w:hAnsi="Garamond,Bold" w:cs="Garamond,Bold"/>
          <w:b/>
          <w:bCs/>
          <w:kern w:val="0"/>
          <w:sz w:val="33"/>
          <w:szCs w:val="33"/>
          <w:lang w:val="es-CO"/>
        </w:rPr>
        <w:t>REPÚBLICA DE COLOMBIA</w:t>
      </w:r>
    </w:p>
    <w:p w14:paraId="7775BA99" w14:textId="77777777" w:rsidR="00974A53" w:rsidRDefault="00974A53" w:rsidP="00CD14BF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kern w:val="0"/>
          <w:sz w:val="33"/>
          <w:szCs w:val="33"/>
          <w:lang w:val="es-CO"/>
        </w:rPr>
      </w:pPr>
      <w:r>
        <w:rPr>
          <w:rFonts w:ascii="Garamond,Bold" w:hAnsi="Garamond,Bold" w:cs="Garamond,Bold"/>
          <w:b/>
          <w:bCs/>
          <w:kern w:val="0"/>
          <w:sz w:val="33"/>
          <w:szCs w:val="33"/>
          <w:lang w:val="es-CO"/>
        </w:rPr>
        <w:t>RAMA JUDICIAL</w:t>
      </w:r>
    </w:p>
    <w:p w14:paraId="7A848720" w14:textId="77777777" w:rsidR="00974A53" w:rsidRDefault="00974A53" w:rsidP="00CD14BF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kern w:val="0"/>
          <w:sz w:val="33"/>
          <w:szCs w:val="33"/>
          <w:lang w:val="es-CO"/>
        </w:rPr>
      </w:pPr>
      <w:r>
        <w:rPr>
          <w:rFonts w:ascii="Garamond,Bold" w:hAnsi="Garamond,Bold" w:cs="Garamond,Bold"/>
          <w:b/>
          <w:bCs/>
          <w:kern w:val="0"/>
          <w:sz w:val="33"/>
          <w:szCs w:val="33"/>
          <w:lang w:val="es-CO"/>
        </w:rPr>
        <w:t>TRIBUNAL SUPERIOR DEL DISTRITO JUDICIAL</w:t>
      </w:r>
    </w:p>
    <w:p w14:paraId="4940C718" w14:textId="77777777" w:rsidR="00974A53" w:rsidRDefault="00974A53" w:rsidP="00CD14BF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kern w:val="0"/>
          <w:sz w:val="33"/>
          <w:szCs w:val="33"/>
          <w:lang w:val="es-CO"/>
        </w:rPr>
      </w:pPr>
      <w:r>
        <w:rPr>
          <w:rFonts w:ascii="Garamond,Bold" w:hAnsi="Garamond,Bold" w:cs="Garamond,Bold"/>
          <w:b/>
          <w:bCs/>
          <w:kern w:val="0"/>
          <w:sz w:val="33"/>
          <w:szCs w:val="33"/>
          <w:lang w:val="es-CO"/>
        </w:rPr>
        <w:t>SALA CIVIL</w:t>
      </w:r>
    </w:p>
    <w:p w14:paraId="5522AFEB" w14:textId="77777777" w:rsidR="00974A53" w:rsidRDefault="00974A53" w:rsidP="00CD14BF">
      <w:pPr>
        <w:autoSpaceDE w:val="0"/>
        <w:autoSpaceDN w:val="0"/>
        <w:adjustRightInd w:val="0"/>
        <w:spacing w:after="0" w:line="240" w:lineRule="auto"/>
        <w:jc w:val="center"/>
        <w:rPr>
          <w:rFonts w:ascii="Garamond,Italic" w:hAnsi="Garamond,Italic" w:cs="Garamond,Italic"/>
          <w:i/>
          <w:iCs/>
          <w:kern w:val="0"/>
          <w:sz w:val="31"/>
          <w:szCs w:val="31"/>
          <w:lang w:val="es-CO"/>
        </w:rPr>
      </w:pPr>
      <w:r>
        <w:rPr>
          <w:rFonts w:ascii="Garamond,Italic" w:hAnsi="Garamond,Italic" w:cs="Garamond,Italic"/>
          <w:i/>
          <w:iCs/>
          <w:kern w:val="0"/>
          <w:sz w:val="31"/>
          <w:szCs w:val="31"/>
          <w:lang w:val="es-CO"/>
        </w:rPr>
        <w:t>Bogotá D.C., siete (7) de marzo de dos mil veinticuatro (2024)</w:t>
      </w:r>
    </w:p>
    <w:p w14:paraId="05839EF9" w14:textId="77777777" w:rsidR="00CD14BF" w:rsidRDefault="00CD14BF" w:rsidP="00974A53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kern w:val="0"/>
          <w:sz w:val="31"/>
          <w:szCs w:val="31"/>
          <w:lang w:val="es-CO"/>
        </w:rPr>
      </w:pPr>
    </w:p>
    <w:p w14:paraId="2EC3C029" w14:textId="7A400819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1"/>
          <w:szCs w:val="31"/>
          <w:lang w:val="es-CO"/>
        </w:rPr>
      </w:pPr>
      <w:r>
        <w:rPr>
          <w:rFonts w:ascii="Garamond,Italic" w:hAnsi="Garamond,Italic" w:cs="Garamond,Italic"/>
          <w:i/>
          <w:iCs/>
          <w:kern w:val="0"/>
          <w:sz w:val="31"/>
          <w:szCs w:val="31"/>
          <w:lang w:val="es-CO"/>
        </w:rPr>
        <w:t xml:space="preserve">Proceso N. </w:t>
      </w:r>
      <w:r>
        <w:rPr>
          <w:rFonts w:ascii="Garamond" w:hAnsi="Garamond" w:cs="Garamond"/>
          <w:kern w:val="0"/>
          <w:sz w:val="31"/>
          <w:szCs w:val="31"/>
          <w:lang w:val="es-CO"/>
        </w:rPr>
        <w:t>110013103041202200085 01</w:t>
      </w:r>
    </w:p>
    <w:p w14:paraId="26AFAD0D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1"/>
          <w:szCs w:val="31"/>
          <w:lang w:val="es-CO"/>
        </w:rPr>
      </w:pPr>
      <w:r>
        <w:rPr>
          <w:rFonts w:ascii="Garamond,Italic" w:hAnsi="Garamond,Italic" w:cs="Garamond,Italic"/>
          <w:i/>
          <w:iCs/>
          <w:kern w:val="0"/>
          <w:sz w:val="31"/>
          <w:szCs w:val="31"/>
          <w:lang w:val="es-CO"/>
        </w:rPr>
        <w:t xml:space="preserve">Clase: </w:t>
      </w:r>
      <w:r>
        <w:rPr>
          <w:rFonts w:ascii="Garamond" w:hAnsi="Garamond" w:cs="Garamond"/>
          <w:kern w:val="0"/>
          <w:sz w:val="31"/>
          <w:szCs w:val="31"/>
          <w:lang w:val="es-CO"/>
        </w:rPr>
        <w:t>VERBAL – RESPONSABILIDAD MÉDICA</w:t>
      </w:r>
    </w:p>
    <w:p w14:paraId="3C8EA27D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1"/>
          <w:szCs w:val="31"/>
          <w:lang w:val="es-CO"/>
        </w:rPr>
      </w:pPr>
      <w:r>
        <w:rPr>
          <w:rFonts w:ascii="Garamond,Italic" w:hAnsi="Garamond,Italic" w:cs="Garamond,Italic"/>
          <w:i/>
          <w:iCs/>
          <w:kern w:val="0"/>
          <w:sz w:val="31"/>
          <w:szCs w:val="31"/>
          <w:lang w:val="es-CO"/>
        </w:rPr>
        <w:t xml:space="preserve">Demandante </w:t>
      </w:r>
      <w:r>
        <w:rPr>
          <w:rFonts w:ascii="Garamond" w:hAnsi="Garamond" w:cs="Garamond"/>
          <w:kern w:val="0"/>
          <w:sz w:val="31"/>
          <w:szCs w:val="31"/>
          <w:lang w:val="es-CO"/>
        </w:rPr>
        <w:t>ANA SOFÍA ESCANDÓN CHEMAS y otros</w:t>
      </w:r>
    </w:p>
    <w:p w14:paraId="46FC7C49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1"/>
          <w:szCs w:val="31"/>
          <w:lang w:val="es-CO"/>
        </w:rPr>
      </w:pPr>
      <w:r>
        <w:rPr>
          <w:rFonts w:ascii="Garamond,Italic" w:hAnsi="Garamond,Italic" w:cs="Garamond,Italic"/>
          <w:i/>
          <w:iCs/>
          <w:kern w:val="0"/>
          <w:sz w:val="31"/>
          <w:szCs w:val="31"/>
          <w:lang w:val="es-CO"/>
        </w:rPr>
        <w:t xml:space="preserve">Demandado: </w:t>
      </w:r>
      <w:r>
        <w:rPr>
          <w:rFonts w:ascii="Garamond" w:hAnsi="Garamond" w:cs="Garamond"/>
          <w:kern w:val="0"/>
          <w:sz w:val="31"/>
          <w:szCs w:val="31"/>
          <w:lang w:val="es-CO"/>
        </w:rPr>
        <w:t>EPS COMPENSAR y otros</w:t>
      </w:r>
    </w:p>
    <w:p w14:paraId="667A3B41" w14:textId="77777777" w:rsidR="00CD14BF" w:rsidRDefault="00CD14BF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kern w:val="0"/>
          <w:sz w:val="31"/>
          <w:szCs w:val="31"/>
          <w:lang w:val="es-CO"/>
        </w:rPr>
      </w:pPr>
    </w:p>
    <w:p w14:paraId="5FA3EB21" w14:textId="42DC8655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1"/>
          <w:szCs w:val="31"/>
          <w:lang w:val="es-CO"/>
        </w:rPr>
      </w:pPr>
      <w:r>
        <w:rPr>
          <w:rFonts w:ascii="Garamond,Bold" w:hAnsi="Garamond,Bold" w:cs="Garamond,Bold"/>
          <w:b/>
          <w:bCs/>
          <w:kern w:val="0"/>
          <w:sz w:val="31"/>
          <w:szCs w:val="31"/>
          <w:lang w:val="es-CO"/>
        </w:rPr>
        <w:t xml:space="preserve">1. </w:t>
      </w:r>
      <w:r>
        <w:rPr>
          <w:rFonts w:ascii="Garamond" w:hAnsi="Garamond" w:cs="Garamond"/>
          <w:kern w:val="0"/>
          <w:sz w:val="31"/>
          <w:szCs w:val="31"/>
          <w:lang w:val="es-CO"/>
        </w:rPr>
        <w:t>El suscrito magistrado rechaza de plano la solicitud de nulidad que</w:t>
      </w:r>
      <w:r w:rsidR="00007F5D">
        <w:rPr>
          <w:rFonts w:ascii="Garamond" w:hAnsi="Garamond" w:cs="Garamond"/>
          <w:kern w:val="0"/>
          <w:sz w:val="31"/>
          <w:szCs w:val="31"/>
          <w:lang w:val="es-CO"/>
        </w:rPr>
        <w:t xml:space="preserve"> </w:t>
      </w:r>
      <w:r>
        <w:rPr>
          <w:rFonts w:ascii="Garamond" w:hAnsi="Garamond" w:cs="Garamond"/>
          <w:kern w:val="0"/>
          <w:sz w:val="31"/>
          <w:szCs w:val="31"/>
          <w:lang w:val="es-CO"/>
        </w:rPr>
        <w:t>la parte demandante formuló en el asunto de la referencia, toda vez que la</w:t>
      </w:r>
      <w:r w:rsidR="00007F5D">
        <w:rPr>
          <w:rFonts w:ascii="Garamond" w:hAnsi="Garamond" w:cs="Garamond"/>
          <w:kern w:val="0"/>
          <w:sz w:val="31"/>
          <w:szCs w:val="31"/>
          <w:lang w:val="es-CO"/>
        </w:rPr>
        <w:t xml:space="preserve"> </w:t>
      </w:r>
      <w:r>
        <w:rPr>
          <w:rFonts w:ascii="Garamond" w:hAnsi="Garamond" w:cs="Garamond"/>
          <w:kern w:val="0"/>
          <w:sz w:val="31"/>
          <w:szCs w:val="31"/>
          <w:lang w:val="es-CO"/>
        </w:rPr>
        <w:t>situación advertida no encaja en la causal 5ª del artículo 133 del C.G.P.</w:t>
      </w:r>
    </w:p>
    <w:p w14:paraId="0669886D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</w:p>
    <w:p w14:paraId="1EA3D6B3" w14:textId="1B845292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En verdad, al proponer su solicitud de anulación, la parte actora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puso de presente que la juzgadora de primer grado, en el curso de la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audiencia de 12 de diciembre de 2023, negó el decreto de una prueba de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oficio, determinación que mantuvo incólume y respecto de la cual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concedió el recurso subsidiario de apelación interpuesto; sin embargo -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relata el memorialista-, antes de remitir el expediente al superior para que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se surtiera el trámite de la alzada, profirió y notificó el fallo de primera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instancia; de donde surge evidente que dicha vicisitud –al margen de si</w:t>
      </w:r>
    </w:p>
    <w:p w14:paraId="1BEDDEC6" w14:textId="1851D700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se configuró- no se amolda a la causal de nulidad en que se soportó el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reclamo en esta oportunidad, como es de rigor cuando se pide la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invalidación del trámite.</w:t>
      </w:r>
    </w:p>
    <w:p w14:paraId="41BD684A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</w:p>
    <w:p w14:paraId="5C3AF08A" w14:textId="1727F03B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Es que, la circunstancia de no haberse remitido el expediente al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superior para surtir la apelación de un auto antes de que se adoptara la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determinación que le puso fin a la primera instancia no significa que en</w:t>
      </w:r>
    </w:p>
    <w:p w14:paraId="729DA68D" w14:textId="600A22CE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el juicio se hubiere omitido la oportunidad para solicitar, decretar o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practicar pruebas, que es el supuesto de hecho a que se refiere el numeral</w:t>
      </w:r>
    </w:p>
    <w:p w14:paraId="250B623D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5° del artículo 133 de la Ley 1564 de 2012.</w:t>
      </w:r>
    </w:p>
    <w:p w14:paraId="3ADFAC12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</w:p>
    <w:p w14:paraId="495760F2" w14:textId="7558397D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Obsérvese que las pruebas pedidas por los demandantes fueron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decretadas y practicadas en las audiencias de 23 de agosto y 11 y 12 de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lastRenderedPageBreak/>
        <w:t>diciembre de 2023</w:t>
      </w:r>
      <w:r>
        <w:rPr>
          <w:rFonts w:ascii="Garamond" w:hAnsi="Garamond" w:cs="Garamond"/>
          <w:kern w:val="0"/>
          <w:sz w:val="19"/>
          <w:szCs w:val="19"/>
          <w:lang w:val="es-CO"/>
        </w:rPr>
        <w:t>1</w:t>
      </w:r>
      <w:r>
        <w:rPr>
          <w:rFonts w:ascii="Garamond" w:hAnsi="Garamond" w:cs="Garamond"/>
          <w:kern w:val="0"/>
          <w:sz w:val="32"/>
          <w:szCs w:val="32"/>
          <w:lang w:val="es-CO"/>
        </w:rPr>
        <w:t>, cosa distinta es que la probanza que solicitaron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incorporar a última hora se hubiere negado por las razones que esgrimió</w:t>
      </w:r>
    </w:p>
    <w:p w14:paraId="7710D208" w14:textId="4AB1E228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la juzgadora de primera instancia, así como que la alzada interpuesta en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forma subsidiaria no se hubiere resuelto por haberse proferido el fallo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de primer grado que no fue controvertido por los interesados, aspectos</w:t>
      </w:r>
    </w:p>
    <w:p w14:paraId="1E5734FF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estos últimos que no se acompasan con el supuesto de hecho a que alude</w:t>
      </w:r>
    </w:p>
    <w:p w14:paraId="1298C9FF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la causal de anulación en comentario.</w:t>
      </w:r>
    </w:p>
    <w:p w14:paraId="566242D8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</w:p>
    <w:p w14:paraId="1CB1AF04" w14:textId="5B2E3A84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Así, resulta fácil colegir la falta de coincidencia entre los supuestos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fácticos narrados y la causal de nulidad sobre la cual se estructuró la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solicitud de invalidez, esto es, la establecida en el numeral 5° del artículo</w:t>
      </w:r>
    </w:p>
    <w:p w14:paraId="6793FA14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133 del CGP.</w:t>
      </w:r>
    </w:p>
    <w:p w14:paraId="4D6AD483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</w:p>
    <w:p w14:paraId="63D27095" w14:textId="1A45DF82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Al precisar los alcances de la hipótesis de invalidación que viene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de mencionarse, la Corte Suprema de Justicia precisó:</w:t>
      </w:r>
    </w:p>
    <w:p w14:paraId="5622A16E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</w:p>
    <w:p w14:paraId="3A50D899" w14:textId="21CB248B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0"/>
          <w:szCs w:val="30"/>
          <w:lang w:val="es-CO"/>
        </w:rPr>
      </w:pPr>
      <w:r>
        <w:rPr>
          <w:rFonts w:ascii="Garamond" w:hAnsi="Garamond" w:cs="Garamond"/>
          <w:kern w:val="0"/>
          <w:sz w:val="30"/>
          <w:szCs w:val="30"/>
          <w:lang w:val="es-CO"/>
        </w:rPr>
        <w:t>“(…) el motivo que sustente [la invalidez] debe ser en efecto,</w:t>
      </w:r>
      <w:r w:rsidR="00007F5D">
        <w:rPr>
          <w:rFonts w:ascii="Garamond" w:hAnsi="Garamond" w:cs="Garamond"/>
          <w:kern w:val="0"/>
          <w:sz w:val="30"/>
          <w:szCs w:val="30"/>
          <w:lang w:val="es-CO"/>
        </w:rPr>
        <w:t xml:space="preserve"> </w:t>
      </w:r>
      <w:r>
        <w:rPr>
          <w:rFonts w:ascii="Garamond" w:hAnsi="Garamond" w:cs="Garamond"/>
          <w:kern w:val="0"/>
          <w:sz w:val="30"/>
          <w:szCs w:val="30"/>
          <w:lang w:val="es-CO"/>
        </w:rPr>
        <w:t>constitutivo de nulidad, por lo que, examinado sin mayores</w:t>
      </w:r>
      <w:r w:rsidR="00007F5D">
        <w:rPr>
          <w:rFonts w:ascii="Garamond" w:hAnsi="Garamond" w:cs="Garamond"/>
          <w:kern w:val="0"/>
          <w:sz w:val="30"/>
          <w:szCs w:val="30"/>
          <w:lang w:val="es-CO"/>
        </w:rPr>
        <w:t xml:space="preserve"> </w:t>
      </w:r>
      <w:r>
        <w:rPr>
          <w:rFonts w:ascii="Garamond" w:hAnsi="Garamond" w:cs="Garamond"/>
          <w:kern w:val="0"/>
          <w:sz w:val="30"/>
          <w:szCs w:val="30"/>
          <w:lang w:val="es-CO"/>
        </w:rPr>
        <w:t>profundidades lo que se sanciona con la nulidad en la causal</w:t>
      </w:r>
      <w:r w:rsidR="00007F5D">
        <w:rPr>
          <w:rFonts w:ascii="Garamond" w:hAnsi="Garamond" w:cs="Garamond"/>
          <w:kern w:val="0"/>
          <w:sz w:val="30"/>
          <w:szCs w:val="30"/>
          <w:lang w:val="es-CO"/>
        </w:rPr>
        <w:t xml:space="preserve"> </w:t>
      </w:r>
      <w:r>
        <w:rPr>
          <w:rFonts w:ascii="Garamond" w:hAnsi="Garamond" w:cs="Garamond"/>
          <w:kern w:val="0"/>
          <w:sz w:val="30"/>
          <w:szCs w:val="30"/>
          <w:lang w:val="es-CO"/>
        </w:rPr>
        <w:t>6º del artículo 140 del Código de Procedimiento Civil [hoy 5ª</w:t>
      </w:r>
      <w:r w:rsidR="00007F5D">
        <w:rPr>
          <w:rFonts w:ascii="Garamond" w:hAnsi="Garamond" w:cs="Garamond"/>
          <w:kern w:val="0"/>
          <w:sz w:val="30"/>
          <w:szCs w:val="30"/>
          <w:lang w:val="es-CO"/>
        </w:rPr>
        <w:t xml:space="preserve"> </w:t>
      </w:r>
      <w:r>
        <w:rPr>
          <w:rFonts w:ascii="Garamond" w:hAnsi="Garamond" w:cs="Garamond"/>
          <w:kern w:val="0"/>
          <w:sz w:val="30"/>
          <w:szCs w:val="30"/>
          <w:lang w:val="es-CO"/>
        </w:rPr>
        <w:t>del artículo 133 del C.G.P.], puede fácilmente concluirse que</w:t>
      </w:r>
      <w:r w:rsidR="00007F5D">
        <w:rPr>
          <w:rFonts w:ascii="Garamond" w:hAnsi="Garamond" w:cs="Garamond"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no es la práctica de la prueba, aun tildada de anómala,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sino la omisión de los términos u oportunidades para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pedirla o practicarla, lo que se erige en motivo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invalidante del proceso y por ende de la sentencia”</w:t>
      </w:r>
      <w:r>
        <w:rPr>
          <w:rFonts w:ascii="Garamond,Bold" w:hAnsi="Garamond,Bold" w:cs="Garamond,Bold"/>
          <w:b/>
          <w:bCs/>
          <w:kern w:val="0"/>
          <w:sz w:val="19"/>
          <w:szCs w:val="19"/>
          <w:lang w:val="es-CO"/>
        </w:rPr>
        <w:t xml:space="preserve"> </w:t>
      </w:r>
      <w:r>
        <w:rPr>
          <w:rFonts w:ascii="Garamond" w:hAnsi="Garamond" w:cs="Garamond"/>
          <w:kern w:val="0"/>
          <w:sz w:val="30"/>
          <w:szCs w:val="30"/>
          <w:lang w:val="es-CO"/>
        </w:rPr>
        <w:t>(se</w:t>
      </w:r>
      <w:r w:rsidR="00007F5D">
        <w:rPr>
          <w:rFonts w:ascii="Garamond" w:hAnsi="Garamond" w:cs="Garamond"/>
          <w:kern w:val="0"/>
          <w:sz w:val="30"/>
          <w:szCs w:val="30"/>
          <w:lang w:val="es-CO"/>
        </w:rPr>
        <w:t xml:space="preserve"> </w:t>
      </w:r>
      <w:r>
        <w:rPr>
          <w:rFonts w:ascii="Garamond" w:hAnsi="Garamond" w:cs="Garamond"/>
          <w:kern w:val="0"/>
          <w:sz w:val="30"/>
          <w:szCs w:val="30"/>
          <w:lang w:val="es-CO"/>
        </w:rPr>
        <w:t>resalta).</w:t>
      </w:r>
    </w:p>
    <w:p w14:paraId="4FDF0139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0"/>
          <w:szCs w:val="30"/>
          <w:lang w:val="es-CO"/>
        </w:rPr>
      </w:pPr>
    </w:p>
    <w:p w14:paraId="4A9230CF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En decisión más añeja, esa misma Corporación manifestó:</w:t>
      </w:r>
    </w:p>
    <w:p w14:paraId="36495868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0"/>
          <w:szCs w:val="30"/>
          <w:lang w:val="es-CO"/>
        </w:rPr>
      </w:pPr>
    </w:p>
    <w:p w14:paraId="2A2AB052" w14:textId="552208F6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0"/>
          <w:szCs w:val="30"/>
          <w:lang w:val="es-CO"/>
        </w:rPr>
      </w:pPr>
      <w:r>
        <w:rPr>
          <w:rFonts w:ascii="Garamond" w:hAnsi="Garamond" w:cs="Garamond"/>
          <w:kern w:val="0"/>
          <w:sz w:val="30"/>
          <w:szCs w:val="30"/>
          <w:lang w:val="es-CO"/>
        </w:rPr>
        <w:t>“[L]a nulidad procesal que se deriva de haberse omitido los</w:t>
      </w:r>
      <w:r w:rsidR="00007F5D">
        <w:rPr>
          <w:rFonts w:ascii="Garamond" w:hAnsi="Garamond" w:cs="Garamond"/>
          <w:kern w:val="0"/>
          <w:sz w:val="30"/>
          <w:szCs w:val="30"/>
          <w:lang w:val="es-CO"/>
        </w:rPr>
        <w:t xml:space="preserve"> </w:t>
      </w:r>
      <w:r>
        <w:rPr>
          <w:rFonts w:ascii="Garamond" w:hAnsi="Garamond" w:cs="Garamond"/>
          <w:kern w:val="0"/>
          <w:sz w:val="30"/>
          <w:szCs w:val="30"/>
          <w:lang w:val="es-CO"/>
        </w:rPr>
        <w:t>términos u oportunidades para pedir o practicar pruebas,</w:t>
      </w:r>
      <w:r w:rsidR="00007F5D">
        <w:rPr>
          <w:rFonts w:ascii="Garamond" w:hAnsi="Garamond" w:cs="Garamond"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sólo tiene cabida en los casos de haberse cercenado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los estadios procesales legalmente previstos para tales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efectos</w:t>
      </w:r>
      <w:r>
        <w:rPr>
          <w:rFonts w:ascii="Garamond" w:hAnsi="Garamond" w:cs="Garamond"/>
          <w:kern w:val="0"/>
          <w:sz w:val="30"/>
          <w:szCs w:val="30"/>
          <w:lang w:val="es-CO"/>
        </w:rPr>
        <w:t xml:space="preserve">,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pero nunca para controvertir las razones que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en un momento dado fueron aducidas por el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sentenciador al resolver sobre la práctica de las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pruebas solicitadas, decretándolas o negándolas </w:t>
      </w:r>
      <w:r>
        <w:rPr>
          <w:rFonts w:ascii="Garamond" w:hAnsi="Garamond" w:cs="Garamond"/>
          <w:kern w:val="0"/>
          <w:sz w:val="30"/>
          <w:szCs w:val="30"/>
          <w:lang w:val="es-CO"/>
        </w:rPr>
        <w:t>(...),</w:t>
      </w:r>
      <w:r w:rsidR="00007F5D">
        <w:rPr>
          <w:rFonts w:ascii="Garamond" w:hAnsi="Garamond" w:cs="Garamond"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como tampoco para reclamar contra lo que pudo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rodear la materialización o no de un medio, porque el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>control de esos tópicos la ley lo reserva a los recursos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o procedimientos ordinarios que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lastRenderedPageBreak/>
        <w:t>sean procedentes en</w:t>
      </w:r>
      <w:r w:rsidR="00007F5D"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 </w:t>
      </w:r>
      <w:r>
        <w:rPr>
          <w:rFonts w:ascii="Garamond,Bold" w:hAnsi="Garamond,Bold" w:cs="Garamond,Bold"/>
          <w:b/>
          <w:bCs/>
          <w:kern w:val="0"/>
          <w:sz w:val="30"/>
          <w:szCs w:val="30"/>
          <w:lang w:val="es-CO"/>
        </w:rPr>
        <w:t xml:space="preserve">cada caso específico </w:t>
      </w:r>
      <w:r>
        <w:rPr>
          <w:rFonts w:ascii="Garamond" w:hAnsi="Garamond" w:cs="Garamond"/>
          <w:kern w:val="0"/>
          <w:sz w:val="30"/>
          <w:szCs w:val="30"/>
          <w:lang w:val="es-CO"/>
        </w:rPr>
        <w:t>(</w:t>
      </w:r>
      <w:proofErr w:type="spellStart"/>
      <w:r>
        <w:rPr>
          <w:rFonts w:ascii="Garamond" w:hAnsi="Garamond" w:cs="Garamond"/>
          <w:kern w:val="0"/>
          <w:sz w:val="30"/>
          <w:szCs w:val="30"/>
          <w:lang w:val="es-CO"/>
        </w:rPr>
        <w:t>sent</w:t>
      </w:r>
      <w:proofErr w:type="spellEnd"/>
      <w:r>
        <w:rPr>
          <w:rFonts w:ascii="Garamond" w:hAnsi="Garamond" w:cs="Garamond"/>
          <w:kern w:val="0"/>
          <w:sz w:val="30"/>
          <w:szCs w:val="30"/>
          <w:lang w:val="es-CO"/>
        </w:rPr>
        <w:t>. de 21 de septiembre de 2004,</w:t>
      </w:r>
      <w:r w:rsidR="00007F5D">
        <w:rPr>
          <w:rFonts w:ascii="Garamond" w:hAnsi="Garamond" w:cs="Garamond"/>
          <w:kern w:val="0"/>
          <w:sz w:val="30"/>
          <w:szCs w:val="30"/>
          <w:lang w:val="es-CO"/>
        </w:rPr>
        <w:t xml:space="preserve"> </w:t>
      </w:r>
      <w:proofErr w:type="spellStart"/>
      <w:r>
        <w:rPr>
          <w:rFonts w:ascii="Garamond" w:hAnsi="Garamond" w:cs="Garamond"/>
          <w:kern w:val="0"/>
          <w:sz w:val="30"/>
          <w:szCs w:val="30"/>
          <w:lang w:val="es-CO"/>
        </w:rPr>
        <w:t>exp</w:t>
      </w:r>
      <w:proofErr w:type="spellEnd"/>
      <w:r>
        <w:rPr>
          <w:rFonts w:ascii="Garamond" w:hAnsi="Garamond" w:cs="Garamond"/>
          <w:kern w:val="0"/>
          <w:sz w:val="30"/>
          <w:szCs w:val="30"/>
          <w:lang w:val="es-CO"/>
        </w:rPr>
        <w:t>. 3030)” (CSJ. SC. 011-2006, se subraya y resalta).</w:t>
      </w:r>
    </w:p>
    <w:p w14:paraId="4B8A15F6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</w:p>
    <w:p w14:paraId="7F5D1B7D" w14:textId="153DDCAD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 xml:space="preserve">En ese orden de exposición, es claro que la </w:t>
      </w:r>
      <w:r>
        <w:rPr>
          <w:rFonts w:ascii="Garamond,Italic" w:hAnsi="Garamond,Italic" w:cs="Garamond,Italic"/>
          <w:i/>
          <w:iCs/>
          <w:kern w:val="0"/>
          <w:sz w:val="32"/>
          <w:szCs w:val="32"/>
          <w:lang w:val="es-CO"/>
        </w:rPr>
        <w:t xml:space="preserve">causa petendi </w:t>
      </w:r>
      <w:r>
        <w:rPr>
          <w:rFonts w:ascii="Garamond" w:hAnsi="Garamond" w:cs="Garamond"/>
          <w:kern w:val="0"/>
          <w:sz w:val="32"/>
          <w:szCs w:val="32"/>
          <w:lang w:val="es-CO"/>
        </w:rPr>
        <w:t>no tiene la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 xml:space="preserve">aptitud de estructurar </w:t>
      </w:r>
      <w:r>
        <w:rPr>
          <w:rFonts w:ascii="Garamond,Italic" w:hAnsi="Garamond,Italic" w:cs="Garamond,Italic"/>
          <w:i/>
          <w:iCs/>
          <w:kern w:val="0"/>
          <w:sz w:val="32"/>
          <w:szCs w:val="32"/>
          <w:lang w:val="es-CO"/>
        </w:rPr>
        <w:t xml:space="preserve">ex ante, </w:t>
      </w:r>
      <w:r>
        <w:rPr>
          <w:rFonts w:ascii="Garamond" w:hAnsi="Garamond" w:cs="Garamond"/>
          <w:kern w:val="0"/>
          <w:sz w:val="32"/>
          <w:szCs w:val="32"/>
          <w:lang w:val="es-CO"/>
        </w:rPr>
        <w:t>el móvil específico que se eligió para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cimentar la solicitud de nulidad.</w:t>
      </w:r>
    </w:p>
    <w:p w14:paraId="319CD54A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</w:p>
    <w:p w14:paraId="271FE787" w14:textId="77777777" w:rsidR="00007F5D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,Bold" w:hAnsi="Garamond,Bold" w:cs="Garamond,Bold"/>
          <w:b/>
          <w:bCs/>
          <w:kern w:val="0"/>
          <w:sz w:val="32"/>
          <w:szCs w:val="32"/>
          <w:lang w:val="es-CO"/>
        </w:rPr>
        <w:t xml:space="preserve">2. </w:t>
      </w:r>
      <w:r>
        <w:rPr>
          <w:rFonts w:ascii="Garamond" w:hAnsi="Garamond" w:cs="Garamond"/>
          <w:kern w:val="0"/>
          <w:sz w:val="32"/>
          <w:szCs w:val="32"/>
          <w:lang w:val="es-CO"/>
        </w:rPr>
        <w:t>En cualquier caso, la solicitud de invalidación deviene fútil,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porque así se accediera a ella y si en simple gracia de discusión se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concluyera que la apelación de auto lucía admisible y que la probanza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negada sí debía practicarse, de todos modos, la circunstancia de no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haberse apelado la sentencia de primer grado – aspecto que no discute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el memorialista- hacía inane la valoración del medio suasorio en segunda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instancia, pues ninguna incidencia tendría en la resolución adoptada por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 xml:space="preserve">la juez </w:t>
      </w:r>
      <w:r>
        <w:rPr>
          <w:rFonts w:ascii="Garamond,Italic" w:hAnsi="Garamond,Italic" w:cs="Garamond,Italic"/>
          <w:i/>
          <w:iCs/>
          <w:kern w:val="0"/>
          <w:sz w:val="32"/>
          <w:szCs w:val="32"/>
          <w:lang w:val="es-CO"/>
        </w:rPr>
        <w:t>a quo</w:t>
      </w:r>
      <w:r>
        <w:rPr>
          <w:rFonts w:ascii="Garamond" w:hAnsi="Garamond" w:cs="Garamond"/>
          <w:kern w:val="0"/>
          <w:sz w:val="32"/>
          <w:szCs w:val="32"/>
          <w:lang w:val="es-CO"/>
        </w:rPr>
        <w:t xml:space="preserve">. </w:t>
      </w:r>
    </w:p>
    <w:p w14:paraId="7C2A2522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</w:p>
    <w:p w14:paraId="6FAF5A75" w14:textId="0E01F53F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En verdad, la valoración de la reseñada prueba ningún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influjo podría tener en la determinación adoptada por la primera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instancia, pues esta se tornó inmodificable o alcanzó plena firmeza tres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días después de notificada, por haber vencido el término sin haberse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interpuesto los recursos que resultaban procedentes, de conformidad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con lo previsto en el artículo 302 del C.G.P.</w:t>
      </w:r>
    </w:p>
    <w:p w14:paraId="0ED06E7A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</w:p>
    <w:p w14:paraId="75D2466A" w14:textId="284C2570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De ahí que el legislador, precisamente, sobre la base de la inutilidad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que comporta resolver apelaciones de autos cuando la sentencia de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primer grado no hubiere sido apelada, dispone que dichos medios de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impugnación deberán declararse desiertos. Inclusive, advierte que, si no</w:t>
      </w:r>
    </w:p>
    <w:p w14:paraId="370A9286" w14:textId="4ECC0D94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obstante el superior ha resuelto apelaciones contra autos, estas</w:t>
      </w:r>
      <w:r w:rsidR="00007F5D">
        <w:rPr>
          <w:rFonts w:ascii="Garamond" w:hAnsi="Garamond" w:cs="Garamond"/>
          <w:kern w:val="0"/>
          <w:sz w:val="32"/>
          <w:szCs w:val="32"/>
          <w:lang w:val="es-CO"/>
        </w:rPr>
        <w:t xml:space="preserve"> </w:t>
      </w:r>
      <w:r>
        <w:rPr>
          <w:rFonts w:ascii="Garamond" w:hAnsi="Garamond" w:cs="Garamond"/>
          <w:kern w:val="0"/>
          <w:sz w:val="32"/>
          <w:szCs w:val="32"/>
          <w:lang w:val="es-CO"/>
        </w:rPr>
        <w:t>“quedarán sin efecto” si el juez de primera instancia profiere la sentencia</w:t>
      </w:r>
    </w:p>
    <w:p w14:paraId="2BA3F4D9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 xml:space="preserve">antes de recibir la comunicación de que trata el artículo 326, </w:t>
      </w:r>
      <w:r>
        <w:rPr>
          <w:rFonts w:ascii="Garamond,Italic" w:hAnsi="Garamond,Italic" w:cs="Garamond,Italic"/>
          <w:i/>
          <w:iCs/>
          <w:kern w:val="0"/>
          <w:sz w:val="32"/>
          <w:szCs w:val="32"/>
          <w:lang w:val="es-CO"/>
        </w:rPr>
        <w:t>ídem</w:t>
      </w:r>
      <w:r>
        <w:rPr>
          <w:rFonts w:ascii="Garamond" w:hAnsi="Garamond" w:cs="Garamond"/>
          <w:kern w:val="0"/>
          <w:sz w:val="32"/>
          <w:szCs w:val="32"/>
          <w:lang w:val="es-CO"/>
        </w:rPr>
        <w:t>, y esta</w:t>
      </w:r>
    </w:p>
    <w:p w14:paraId="4BF4FE53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no es apelada.</w:t>
      </w:r>
    </w:p>
    <w:p w14:paraId="636E6CAF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</w:p>
    <w:p w14:paraId="10CD99A9" w14:textId="0531D2BE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En su oportunidad devuélvase el expediente al estrado judicial de</w:t>
      </w:r>
    </w:p>
    <w:p w14:paraId="3A8CA443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2"/>
          <w:szCs w:val="32"/>
          <w:lang w:val="es-CO"/>
        </w:rPr>
      </w:pPr>
      <w:r>
        <w:rPr>
          <w:rFonts w:ascii="Garamond" w:hAnsi="Garamond" w:cs="Garamond"/>
          <w:kern w:val="0"/>
          <w:sz w:val="32"/>
          <w:szCs w:val="32"/>
          <w:lang w:val="es-CO"/>
        </w:rPr>
        <w:t>primer grado.</w:t>
      </w:r>
    </w:p>
    <w:p w14:paraId="7083E7B2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kern w:val="0"/>
          <w:sz w:val="31"/>
          <w:szCs w:val="31"/>
          <w:lang w:val="es-CO"/>
        </w:rPr>
      </w:pPr>
    </w:p>
    <w:p w14:paraId="40867D33" w14:textId="1E4C4F1E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kern w:val="0"/>
          <w:sz w:val="31"/>
          <w:szCs w:val="31"/>
          <w:lang w:val="es-CO"/>
        </w:rPr>
      </w:pPr>
      <w:r>
        <w:rPr>
          <w:rFonts w:ascii="Garamond,Bold" w:hAnsi="Garamond,Bold" w:cs="Garamond,Bold"/>
          <w:b/>
          <w:bCs/>
          <w:kern w:val="0"/>
          <w:sz w:val="31"/>
          <w:szCs w:val="31"/>
          <w:lang w:val="es-CO"/>
        </w:rPr>
        <w:t>NOTIFÍQUESE Y CÚMPLASE</w:t>
      </w:r>
    </w:p>
    <w:p w14:paraId="6AE257EF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1"/>
          <w:szCs w:val="31"/>
          <w:lang w:val="es-CO"/>
        </w:rPr>
      </w:pPr>
    </w:p>
    <w:p w14:paraId="027DE5B9" w14:textId="0F5C818B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1"/>
          <w:szCs w:val="31"/>
          <w:lang w:val="es-CO"/>
        </w:rPr>
      </w:pPr>
      <w:r>
        <w:rPr>
          <w:rFonts w:ascii="Garamond" w:hAnsi="Garamond" w:cs="Garamond"/>
          <w:kern w:val="0"/>
          <w:sz w:val="31"/>
          <w:szCs w:val="31"/>
          <w:lang w:val="es-CO"/>
        </w:rPr>
        <w:lastRenderedPageBreak/>
        <w:t>El magistrado,</w:t>
      </w:r>
    </w:p>
    <w:p w14:paraId="250CB068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kern w:val="0"/>
          <w:sz w:val="31"/>
          <w:szCs w:val="31"/>
          <w:lang w:val="es-CO"/>
        </w:rPr>
      </w:pPr>
    </w:p>
    <w:p w14:paraId="32E295AB" w14:textId="08544CA3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kern w:val="0"/>
          <w:sz w:val="31"/>
          <w:szCs w:val="31"/>
          <w:lang w:val="es-CO"/>
        </w:rPr>
      </w:pPr>
      <w:r>
        <w:rPr>
          <w:rFonts w:ascii="Garamond,Bold" w:hAnsi="Garamond,Bold" w:cs="Garamond,Bold"/>
          <w:b/>
          <w:bCs/>
          <w:kern w:val="0"/>
          <w:sz w:val="31"/>
          <w:szCs w:val="31"/>
          <w:lang w:val="es-CO"/>
        </w:rPr>
        <w:t>MANUEL ALFONSO ZAMUDIO MORA</w:t>
      </w:r>
    </w:p>
    <w:p w14:paraId="6C168AC6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1"/>
          <w:szCs w:val="31"/>
          <w:lang w:val="es-CO"/>
        </w:rPr>
      </w:pPr>
    </w:p>
    <w:p w14:paraId="39948216" w14:textId="72D8392E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31"/>
          <w:szCs w:val="31"/>
          <w:lang w:val="es-CO"/>
        </w:rPr>
      </w:pPr>
      <w:r>
        <w:rPr>
          <w:rFonts w:ascii="Garamond" w:hAnsi="Garamond" w:cs="Garamond"/>
          <w:kern w:val="0"/>
          <w:sz w:val="31"/>
          <w:szCs w:val="31"/>
          <w:lang w:val="es-CO"/>
        </w:rPr>
        <w:t>(firma electrónica)</w:t>
      </w:r>
    </w:p>
    <w:p w14:paraId="473E79A2" w14:textId="77777777" w:rsidR="00007F5D" w:rsidRDefault="00007F5D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</w:p>
    <w:p w14:paraId="114F62FB" w14:textId="37D6D1E1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Firmado Por:</w:t>
      </w:r>
    </w:p>
    <w:p w14:paraId="2D94FA9F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Manuel Alfonso Zamudio Mora</w:t>
      </w:r>
    </w:p>
    <w:p w14:paraId="475F6B85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Magistrado</w:t>
      </w:r>
    </w:p>
    <w:p w14:paraId="32ACAB47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Sala 005 Civil</w:t>
      </w:r>
    </w:p>
    <w:p w14:paraId="25339418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Tribunal Superior De Bogotá, D.C. - Bogotá D.C.,</w:t>
      </w:r>
    </w:p>
    <w:p w14:paraId="46C51344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1180FA89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1C1823A7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Código de verificación: b6abbc89d9685b4b55fbaef9dc6edc00231fb33b64338b99e4501df3054177f1</w:t>
      </w:r>
    </w:p>
    <w:p w14:paraId="651C74E3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16"/>
          <w:szCs w:val="16"/>
          <w:lang w:val="es-CO"/>
        </w:rPr>
      </w:pPr>
      <w:r>
        <w:rPr>
          <w:rFonts w:ascii="Helvetica" w:hAnsi="Helvetica" w:cs="Helvetica"/>
          <w:kern w:val="0"/>
          <w:sz w:val="16"/>
          <w:szCs w:val="16"/>
          <w:lang w:val="es-CO"/>
        </w:rPr>
        <w:t>Documento generado en 07/03/2024 03:48:18 PM</w:t>
      </w:r>
    </w:p>
    <w:p w14:paraId="0FBD23A6" w14:textId="77777777" w:rsidR="00974A53" w:rsidRDefault="00974A53" w:rsidP="00007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0"/>
          <w:szCs w:val="20"/>
          <w:lang w:val="es-CO"/>
        </w:rPr>
      </w:pPr>
      <w:r>
        <w:rPr>
          <w:rFonts w:ascii="Helvetica" w:hAnsi="Helvetica" w:cs="Helvetica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Helvetica" w:hAnsi="Helvetica" w:cs="Helvetica"/>
          <w:kern w:val="0"/>
          <w:sz w:val="20"/>
          <w:szCs w:val="20"/>
          <w:lang w:val="es-CO"/>
        </w:rPr>
        <w:t>éste</w:t>
      </w:r>
      <w:proofErr w:type="gramEnd"/>
      <w:r>
        <w:rPr>
          <w:rFonts w:ascii="Helvetica" w:hAnsi="Helvetica" w:cs="Helvetica"/>
          <w:kern w:val="0"/>
          <w:sz w:val="20"/>
          <w:szCs w:val="20"/>
          <w:lang w:val="es-CO"/>
        </w:rPr>
        <w:t xml:space="preserve"> documento electrónico en la siguiente URL:</w:t>
      </w:r>
    </w:p>
    <w:p w14:paraId="457DACB8" w14:textId="660D6275" w:rsidR="00B9243D" w:rsidRDefault="00974A53" w:rsidP="00007F5D">
      <w:pPr>
        <w:jc w:val="both"/>
      </w:pPr>
      <w:r>
        <w:rPr>
          <w:rFonts w:ascii="Helvetica" w:hAnsi="Helvetica" w:cs="Helvetica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53"/>
    <w:rsid w:val="00007F5D"/>
    <w:rsid w:val="00737460"/>
    <w:rsid w:val="00974A53"/>
    <w:rsid w:val="00B9243D"/>
    <w:rsid w:val="00CD14BF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2B77"/>
  <w15:chartTrackingRefBased/>
  <w15:docId w15:val="{67386414-4047-4A12-AECC-4A930E3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960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2024-03-08T21:45:00Z</dcterms:created>
  <dcterms:modified xsi:type="dcterms:W3CDTF">2024-03-08T21:51:00Z</dcterms:modified>
</cp:coreProperties>
</file>