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Look w:val="04A0" w:firstRow="1" w:lastRow="0" w:firstColumn="1" w:lastColumn="0" w:noHBand="0" w:noVBand="1"/>
      </w:tblPr>
      <w:tblGrid>
        <w:gridCol w:w="4414"/>
        <w:gridCol w:w="4414"/>
      </w:tblGrid>
      <w:tr w:rsidR="00F71FFD" w14:paraId="1B42FBF1" w14:textId="77777777" w:rsidTr="00F71FFD">
        <w:trPr>
          <w:jc w:val="center"/>
        </w:trPr>
        <w:tc>
          <w:tcPr>
            <w:tcW w:w="4414" w:type="dxa"/>
          </w:tcPr>
          <w:p w14:paraId="52A67229" w14:textId="76CE5147" w:rsidR="00F71FFD" w:rsidRPr="00D724F1" w:rsidRDefault="00F71FFD">
            <w:pPr>
              <w:rPr>
                <w:rFonts w:ascii="Arial" w:hAnsi="Arial" w:cs="Arial"/>
                <w:b/>
                <w:bCs/>
                <w:sz w:val="22"/>
                <w:szCs w:val="22"/>
              </w:rPr>
            </w:pPr>
            <w:r w:rsidRPr="00D724F1">
              <w:rPr>
                <w:rFonts w:ascii="Arial" w:hAnsi="Arial" w:cs="Arial"/>
                <w:b/>
                <w:bCs/>
                <w:sz w:val="22"/>
                <w:szCs w:val="22"/>
              </w:rPr>
              <w:t>JUZGADO</w:t>
            </w:r>
          </w:p>
        </w:tc>
        <w:tc>
          <w:tcPr>
            <w:tcW w:w="4414" w:type="dxa"/>
          </w:tcPr>
          <w:p w14:paraId="56768116" w14:textId="468B8790" w:rsidR="00F71FFD" w:rsidRPr="00D724F1" w:rsidRDefault="00F71FFD">
            <w:pPr>
              <w:rPr>
                <w:rFonts w:ascii="Arial" w:hAnsi="Arial" w:cs="Arial"/>
                <w:sz w:val="22"/>
                <w:szCs w:val="22"/>
              </w:rPr>
            </w:pPr>
            <w:r w:rsidRPr="00D724F1">
              <w:rPr>
                <w:rFonts w:ascii="Arial" w:hAnsi="Arial" w:cs="Arial"/>
                <w:sz w:val="22"/>
                <w:szCs w:val="22"/>
              </w:rPr>
              <w:t>Juzgado Segundo Civil Municipal de Guadalajara de Buga</w:t>
            </w:r>
          </w:p>
        </w:tc>
      </w:tr>
      <w:tr w:rsidR="00F71FFD" w14:paraId="5AD4DF2E" w14:textId="77777777" w:rsidTr="00F71FFD">
        <w:trPr>
          <w:jc w:val="center"/>
        </w:trPr>
        <w:tc>
          <w:tcPr>
            <w:tcW w:w="4414" w:type="dxa"/>
          </w:tcPr>
          <w:p w14:paraId="73C802F2" w14:textId="1204C204" w:rsidR="00F71FFD" w:rsidRPr="00D724F1" w:rsidRDefault="00F71FFD">
            <w:pPr>
              <w:rPr>
                <w:rFonts w:ascii="Arial" w:hAnsi="Arial" w:cs="Arial"/>
                <w:b/>
                <w:bCs/>
                <w:sz w:val="22"/>
                <w:szCs w:val="22"/>
              </w:rPr>
            </w:pPr>
            <w:r w:rsidRPr="00D724F1">
              <w:rPr>
                <w:rFonts w:ascii="Arial" w:hAnsi="Arial" w:cs="Arial"/>
                <w:b/>
                <w:bCs/>
                <w:sz w:val="22"/>
                <w:szCs w:val="22"/>
              </w:rPr>
              <w:t xml:space="preserve">DEMANDANTE </w:t>
            </w:r>
          </w:p>
        </w:tc>
        <w:tc>
          <w:tcPr>
            <w:tcW w:w="4414" w:type="dxa"/>
          </w:tcPr>
          <w:p w14:paraId="5B25F92B" w14:textId="39609176" w:rsidR="00F71FFD" w:rsidRPr="00D724F1" w:rsidRDefault="00F71FFD">
            <w:pPr>
              <w:rPr>
                <w:rFonts w:ascii="Arial" w:hAnsi="Arial" w:cs="Arial"/>
                <w:sz w:val="22"/>
                <w:szCs w:val="22"/>
              </w:rPr>
            </w:pPr>
            <w:r w:rsidRPr="00D724F1">
              <w:rPr>
                <w:rFonts w:ascii="Arial" w:hAnsi="Arial" w:cs="Arial"/>
                <w:sz w:val="22"/>
                <w:szCs w:val="22"/>
              </w:rPr>
              <w:t>Jenny Ximena Giraldo Casañas</w:t>
            </w:r>
          </w:p>
        </w:tc>
      </w:tr>
      <w:tr w:rsidR="00F71FFD" w14:paraId="442BA10A" w14:textId="77777777" w:rsidTr="00F71FFD">
        <w:trPr>
          <w:jc w:val="center"/>
        </w:trPr>
        <w:tc>
          <w:tcPr>
            <w:tcW w:w="4414" w:type="dxa"/>
          </w:tcPr>
          <w:p w14:paraId="3382CB84" w14:textId="27307A79" w:rsidR="00F71FFD" w:rsidRPr="00D724F1" w:rsidRDefault="00F71FFD">
            <w:pPr>
              <w:rPr>
                <w:rFonts w:ascii="Arial" w:hAnsi="Arial" w:cs="Arial"/>
                <w:b/>
                <w:bCs/>
                <w:sz w:val="22"/>
                <w:szCs w:val="22"/>
              </w:rPr>
            </w:pPr>
            <w:r w:rsidRPr="00D724F1">
              <w:rPr>
                <w:rFonts w:ascii="Arial" w:hAnsi="Arial" w:cs="Arial"/>
                <w:b/>
                <w:bCs/>
                <w:sz w:val="22"/>
                <w:szCs w:val="22"/>
              </w:rPr>
              <w:t>DEMANDADO</w:t>
            </w:r>
          </w:p>
        </w:tc>
        <w:tc>
          <w:tcPr>
            <w:tcW w:w="4414" w:type="dxa"/>
          </w:tcPr>
          <w:p w14:paraId="3BC65EB2" w14:textId="0B33BD34" w:rsidR="00F71FFD" w:rsidRPr="00D724F1" w:rsidRDefault="00F71FFD">
            <w:pPr>
              <w:rPr>
                <w:rFonts w:ascii="Arial" w:hAnsi="Arial" w:cs="Arial"/>
                <w:sz w:val="22"/>
                <w:szCs w:val="22"/>
              </w:rPr>
            </w:pPr>
            <w:r w:rsidRPr="00D724F1">
              <w:rPr>
                <w:rFonts w:ascii="Arial" w:hAnsi="Arial" w:cs="Arial"/>
                <w:sz w:val="22"/>
                <w:szCs w:val="22"/>
              </w:rPr>
              <w:t xml:space="preserve">Liberty Seguros S.A. </w:t>
            </w:r>
          </w:p>
        </w:tc>
      </w:tr>
      <w:tr w:rsidR="00F71FFD" w14:paraId="0B83731A" w14:textId="77777777" w:rsidTr="00F71FFD">
        <w:trPr>
          <w:trHeight w:val="96"/>
          <w:jc w:val="center"/>
        </w:trPr>
        <w:tc>
          <w:tcPr>
            <w:tcW w:w="4414" w:type="dxa"/>
          </w:tcPr>
          <w:p w14:paraId="58CDD652" w14:textId="6E0E2322" w:rsidR="00F71FFD" w:rsidRPr="00D724F1" w:rsidRDefault="00F71FFD">
            <w:pPr>
              <w:rPr>
                <w:rFonts w:ascii="Arial" w:hAnsi="Arial" w:cs="Arial"/>
                <w:b/>
                <w:bCs/>
                <w:sz w:val="22"/>
                <w:szCs w:val="22"/>
              </w:rPr>
            </w:pPr>
            <w:r w:rsidRPr="00D724F1">
              <w:rPr>
                <w:rFonts w:ascii="Arial" w:hAnsi="Arial" w:cs="Arial"/>
                <w:b/>
                <w:bCs/>
                <w:sz w:val="22"/>
                <w:szCs w:val="22"/>
              </w:rPr>
              <w:t>RADICADO</w:t>
            </w:r>
          </w:p>
        </w:tc>
        <w:tc>
          <w:tcPr>
            <w:tcW w:w="4414" w:type="dxa"/>
          </w:tcPr>
          <w:p w14:paraId="6BA3F1E3" w14:textId="4A41747B" w:rsidR="00F71FFD" w:rsidRPr="00D724F1" w:rsidRDefault="00F71FFD">
            <w:pPr>
              <w:rPr>
                <w:rFonts w:ascii="Arial" w:hAnsi="Arial" w:cs="Arial"/>
                <w:sz w:val="22"/>
                <w:szCs w:val="22"/>
              </w:rPr>
            </w:pPr>
            <w:r w:rsidRPr="00D724F1">
              <w:rPr>
                <w:rFonts w:ascii="Arial" w:hAnsi="Arial" w:cs="Arial"/>
                <w:sz w:val="22"/>
                <w:szCs w:val="22"/>
              </w:rPr>
              <w:t>761114003002-</w:t>
            </w:r>
            <w:r w:rsidRPr="00D724F1">
              <w:rPr>
                <w:rFonts w:ascii="Arial" w:hAnsi="Arial" w:cs="Arial"/>
                <w:b/>
                <w:bCs/>
                <w:sz w:val="22"/>
                <w:szCs w:val="22"/>
                <w:u w:val="single"/>
              </w:rPr>
              <w:t>2021-00518</w:t>
            </w:r>
            <w:r w:rsidRPr="00D724F1">
              <w:rPr>
                <w:rFonts w:ascii="Arial" w:hAnsi="Arial" w:cs="Arial"/>
                <w:sz w:val="22"/>
                <w:szCs w:val="22"/>
              </w:rPr>
              <w:t>-00</w:t>
            </w:r>
          </w:p>
        </w:tc>
      </w:tr>
    </w:tbl>
    <w:p w14:paraId="2247ED33" w14:textId="77777777" w:rsidR="00181E66" w:rsidRDefault="00181E66"/>
    <w:p w14:paraId="62163033" w14:textId="08440C44" w:rsidR="00F71FFD" w:rsidRPr="00D724F1" w:rsidRDefault="00F71FFD" w:rsidP="00D724F1">
      <w:pPr>
        <w:spacing w:line="360" w:lineRule="auto"/>
        <w:rPr>
          <w:rFonts w:ascii="Arial" w:hAnsi="Arial" w:cs="Arial"/>
          <w:sz w:val="22"/>
          <w:szCs w:val="22"/>
        </w:rPr>
      </w:pPr>
      <w:r w:rsidRPr="00D724F1">
        <w:rPr>
          <w:rFonts w:ascii="Arial" w:hAnsi="Arial" w:cs="Arial"/>
          <w:sz w:val="22"/>
          <w:szCs w:val="22"/>
        </w:rPr>
        <w:t>Buenos días, estimada área de informes</w:t>
      </w:r>
    </w:p>
    <w:p w14:paraId="0807250F" w14:textId="77777777" w:rsidR="00F71FFD" w:rsidRPr="00D724F1" w:rsidRDefault="00F71FFD" w:rsidP="00D724F1">
      <w:pPr>
        <w:spacing w:line="360" w:lineRule="auto"/>
        <w:rPr>
          <w:rFonts w:ascii="Arial" w:hAnsi="Arial" w:cs="Arial"/>
          <w:sz w:val="22"/>
          <w:szCs w:val="22"/>
        </w:rPr>
      </w:pPr>
    </w:p>
    <w:p w14:paraId="542167AB" w14:textId="4351E076" w:rsidR="00F71FFD" w:rsidRDefault="00F71FFD" w:rsidP="00D724F1">
      <w:pPr>
        <w:spacing w:line="360" w:lineRule="auto"/>
        <w:jc w:val="both"/>
        <w:rPr>
          <w:rFonts w:ascii="Arial" w:hAnsi="Arial" w:cs="Arial"/>
          <w:sz w:val="22"/>
          <w:szCs w:val="22"/>
        </w:rPr>
      </w:pPr>
      <w:r w:rsidRPr="00D724F1">
        <w:rPr>
          <w:rFonts w:ascii="Arial" w:hAnsi="Arial" w:cs="Arial"/>
          <w:sz w:val="22"/>
          <w:szCs w:val="22"/>
        </w:rPr>
        <w:t xml:space="preserve">Por medio del presente remito informe contentivo del trámite procesal, indicando desde un inicio que tanto la decisión de primera instancia como el fallo de tutela son favorables a nuestros intereses </w:t>
      </w:r>
      <w:r w:rsidR="00D724F1" w:rsidRPr="00D724F1">
        <w:rPr>
          <w:rFonts w:ascii="Arial" w:hAnsi="Arial" w:cs="Arial"/>
          <w:sz w:val="22"/>
          <w:szCs w:val="22"/>
        </w:rPr>
        <w:t xml:space="preserve">por desestimar las pretensiones y negar el amparo constitucional de conformidad con los argumentos que se esgrimen a continuación. </w:t>
      </w:r>
    </w:p>
    <w:p w14:paraId="0BEBB6C8" w14:textId="77777777" w:rsidR="00B37B11" w:rsidRPr="00D724F1" w:rsidRDefault="00B37B11" w:rsidP="00D724F1">
      <w:pPr>
        <w:spacing w:line="360" w:lineRule="auto"/>
        <w:jc w:val="both"/>
        <w:rPr>
          <w:rFonts w:ascii="Arial" w:hAnsi="Arial" w:cs="Arial"/>
          <w:sz w:val="22"/>
          <w:szCs w:val="22"/>
        </w:rPr>
      </w:pPr>
    </w:p>
    <w:p w14:paraId="21477C39" w14:textId="452FBE00" w:rsidR="00B37B11" w:rsidRDefault="00B37B11" w:rsidP="00B37B11">
      <w:pPr>
        <w:pStyle w:val="Prrafodelista"/>
        <w:numPr>
          <w:ilvl w:val="0"/>
          <w:numId w:val="2"/>
        </w:numPr>
        <w:spacing w:line="360" w:lineRule="auto"/>
        <w:jc w:val="both"/>
        <w:rPr>
          <w:rFonts w:ascii="Arial" w:hAnsi="Arial" w:cs="Arial"/>
          <w:b/>
          <w:bCs/>
          <w:sz w:val="22"/>
          <w:szCs w:val="22"/>
        </w:rPr>
      </w:pPr>
      <w:r w:rsidRPr="00B37B11">
        <w:rPr>
          <w:rFonts w:ascii="Arial" w:hAnsi="Arial" w:cs="Arial"/>
          <w:b/>
          <w:bCs/>
          <w:sz w:val="22"/>
          <w:szCs w:val="22"/>
        </w:rPr>
        <w:t>Trámite de primera instancia</w:t>
      </w:r>
    </w:p>
    <w:p w14:paraId="392CF131" w14:textId="77777777" w:rsidR="00B37B11" w:rsidRPr="00B37B11" w:rsidRDefault="00B37B11" w:rsidP="00B37B11">
      <w:pPr>
        <w:pStyle w:val="Prrafodelista"/>
        <w:spacing w:line="360" w:lineRule="auto"/>
        <w:jc w:val="both"/>
        <w:rPr>
          <w:rFonts w:ascii="Arial" w:hAnsi="Arial" w:cs="Arial"/>
          <w:b/>
          <w:bCs/>
          <w:sz w:val="22"/>
          <w:szCs w:val="22"/>
        </w:rPr>
      </w:pPr>
    </w:p>
    <w:p w14:paraId="19C25BBA" w14:textId="0D4E0702" w:rsidR="00D724F1" w:rsidRDefault="00D724F1" w:rsidP="00D724F1">
      <w:pPr>
        <w:spacing w:line="360" w:lineRule="auto"/>
        <w:jc w:val="both"/>
        <w:rPr>
          <w:rFonts w:ascii="Arial" w:hAnsi="Arial" w:cs="Arial"/>
          <w:sz w:val="22"/>
          <w:szCs w:val="22"/>
        </w:rPr>
      </w:pPr>
      <w:r w:rsidRPr="00D724F1">
        <w:rPr>
          <w:rFonts w:ascii="Arial" w:hAnsi="Arial" w:cs="Arial"/>
          <w:sz w:val="22"/>
          <w:szCs w:val="22"/>
        </w:rPr>
        <w:t xml:space="preserve">Sea lo primero indicar que el </w:t>
      </w:r>
      <w:r w:rsidRPr="00D724F1">
        <w:rPr>
          <w:rFonts w:ascii="Arial" w:hAnsi="Arial" w:cs="Arial"/>
          <w:i/>
          <w:iCs/>
          <w:sz w:val="22"/>
          <w:szCs w:val="22"/>
        </w:rPr>
        <w:t>A quo</w:t>
      </w:r>
      <w:r w:rsidRPr="00D724F1">
        <w:rPr>
          <w:rFonts w:ascii="Arial" w:hAnsi="Arial" w:cs="Arial"/>
          <w:sz w:val="22"/>
          <w:szCs w:val="22"/>
        </w:rPr>
        <w:t xml:space="preserve"> en sentencia proferida en estrados el día 04 de octubre de 2023 negó las pretensiones del libelo demandatorio al encontrar probadas las excepciones de mérito denominadas “</w:t>
      </w:r>
      <w:r w:rsidRPr="00D724F1">
        <w:rPr>
          <w:rFonts w:ascii="Arial" w:hAnsi="Arial" w:cs="Arial"/>
          <w:i/>
          <w:iCs/>
          <w:sz w:val="22"/>
          <w:szCs w:val="22"/>
        </w:rPr>
        <w:t>inexistencia de responsabilidad extracontractual debido a que la parte demandante no ha acreditado los elementos propios de la responsabilidad pretendida</w:t>
      </w:r>
      <w:r w:rsidRPr="00D724F1">
        <w:rPr>
          <w:rFonts w:ascii="Arial" w:hAnsi="Arial" w:cs="Arial"/>
          <w:sz w:val="22"/>
          <w:szCs w:val="22"/>
        </w:rPr>
        <w:t>” e “</w:t>
      </w:r>
      <w:r w:rsidRPr="00D724F1">
        <w:rPr>
          <w:rFonts w:ascii="Arial" w:hAnsi="Arial" w:cs="Arial"/>
          <w:i/>
          <w:iCs/>
          <w:sz w:val="22"/>
          <w:szCs w:val="22"/>
        </w:rPr>
        <w:t>inexistencia de responsabilidad atribuible a la parte demandada por ausencia del nexo causal requerido- falta de prueba contundente para imputar responsabilidad a los demandados- incumplimiento de la carga de la prueba del demandante</w:t>
      </w:r>
      <w:r w:rsidRPr="00D724F1">
        <w:rPr>
          <w:rFonts w:ascii="Arial" w:hAnsi="Arial" w:cs="Arial"/>
          <w:sz w:val="22"/>
          <w:szCs w:val="22"/>
        </w:rPr>
        <w:t>”</w:t>
      </w:r>
      <w:r>
        <w:rPr>
          <w:rFonts w:ascii="Arial" w:hAnsi="Arial" w:cs="Arial"/>
          <w:sz w:val="22"/>
          <w:szCs w:val="22"/>
        </w:rPr>
        <w:t xml:space="preserve">. </w:t>
      </w:r>
    </w:p>
    <w:p w14:paraId="218CEEF7" w14:textId="77777777" w:rsidR="00D724F1" w:rsidRDefault="00D724F1" w:rsidP="00D724F1">
      <w:pPr>
        <w:spacing w:line="360" w:lineRule="auto"/>
        <w:jc w:val="both"/>
        <w:rPr>
          <w:rFonts w:ascii="Arial" w:hAnsi="Arial" w:cs="Arial"/>
          <w:sz w:val="22"/>
          <w:szCs w:val="22"/>
        </w:rPr>
      </w:pPr>
    </w:p>
    <w:p w14:paraId="7B4AF6A3" w14:textId="77777777" w:rsidR="00B37B11" w:rsidRDefault="00DB6149" w:rsidP="00D724F1">
      <w:pPr>
        <w:spacing w:line="360" w:lineRule="auto"/>
        <w:jc w:val="both"/>
        <w:rPr>
          <w:rFonts w:ascii="Arial" w:hAnsi="Arial" w:cs="Arial"/>
          <w:sz w:val="22"/>
          <w:szCs w:val="22"/>
        </w:rPr>
      </w:pPr>
      <w:r>
        <w:rPr>
          <w:rFonts w:ascii="Arial" w:hAnsi="Arial" w:cs="Arial"/>
          <w:sz w:val="22"/>
          <w:szCs w:val="22"/>
        </w:rPr>
        <w:t>Someramente, la decisión del juez de primer grado se sustenta en (i) en el plenario no reposaba prueba alguna que permitiera concluir que los perjuicios sufridos por la demandante están relacionados directamente con el accidente de tránsito comoquiera que se alega lesión del manguito rotador pero se aportaron incapacidades por cefaleas y dolor de rodilla, (</w:t>
      </w:r>
      <w:proofErr w:type="spellStart"/>
      <w:r>
        <w:rPr>
          <w:rFonts w:ascii="Arial" w:hAnsi="Arial" w:cs="Arial"/>
          <w:sz w:val="22"/>
          <w:szCs w:val="22"/>
        </w:rPr>
        <w:t>ii</w:t>
      </w:r>
      <w:proofErr w:type="spellEnd"/>
      <w:r>
        <w:rPr>
          <w:rFonts w:ascii="Arial" w:hAnsi="Arial" w:cs="Arial"/>
          <w:sz w:val="22"/>
          <w:szCs w:val="22"/>
        </w:rPr>
        <w:t xml:space="preserve">) </w:t>
      </w:r>
      <w:r w:rsidR="00B37B11">
        <w:rPr>
          <w:rFonts w:ascii="Arial" w:hAnsi="Arial" w:cs="Arial"/>
          <w:sz w:val="22"/>
          <w:szCs w:val="22"/>
        </w:rPr>
        <w:t>tampoco se acredita la conducta culposa desplegada por la parte pasiva del litigio pues no se probó el exceso de velocidad alegado por la demandante y (</w:t>
      </w:r>
      <w:proofErr w:type="spellStart"/>
      <w:r w:rsidR="00B37B11">
        <w:rPr>
          <w:rFonts w:ascii="Arial" w:hAnsi="Arial" w:cs="Arial"/>
          <w:sz w:val="22"/>
          <w:szCs w:val="22"/>
        </w:rPr>
        <w:t>iii</w:t>
      </w:r>
      <w:proofErr w:type="spellEnd"/>
      <w:r w:rsidR="00B37B11">
        <w:rPr>
          <w:rFonts w:ascii="Arial" w:hAnsi="Arial" w:cs="Arial"/>
          <w:sz w:val="22"/>
          <w:szCs w:val="22"/>
        </w:rPr>
        <w:t xml:space="preserve">) en vista de lo anterior, no se hay relación de causalidad que permita endilgar responsabilidad a la pasiva. </w:t>
      </w:r>
    </w:p>
    <w:p w14:paraId="02287825" w14:textId="77777777" w:rsidR="00A47DC6" w:rsidRDefault="00A47DC6" w:rsidP="00D724F1">
      <w:pPr>
        <w:spacing w:line="360" w:lineRule="auto"/>
        <w:jc w:val="both"/>
        <w:rPr>
          <w:rFonts w:ascii="Arial" w:hAnsi="Arial" w:cs="Arial"/>
          <w:sz w:val="22"/>
          <w:szCs w:val="22"/>
        </w:rPr>
      </w:pPr>
    </w:p>
    <w:p w14:paraId="33E6EA6E" w14:textId="013FF0CF" w:rsidR="00B37B11" w:rsidRDefault="00A47DC6" w:rsidP="00D724F1">
      <w:pPr>
        <w:spacing w:line="360" w:lineRule="auto"/>
        <w:jc w:val="both"/>
        <w:rPr>
          <w:rFonts w:ascii="Arial" w:hAnsi="Arial" w:cs="Arial"/>
          <w:sz w:val="22"/>
          <w:szCs w:val="22"/>
        </w:rPr>
      </w:pPr>
      <w:r>
        <w:rPr>
          <w:rFonts w:ascii="Arial" w:hAnsi="Arial" w:cs="Arial"/>
          <w:sz w:val="22"/>
          <w:szCs w:val="22"/>
        </w:rPr>
        <w:t xml:space="preserve">Finalmente, el apoderado judicial de la parte demandante interpone recurso de apelación indicando que lo sustentaría por escrito en el término previsto. </w:t>
      </w:r>
    </w:p>
    <w:p w14:paraId="34F5DAF5" w14:textId="77777777" w:rsidR="00A47DC6" w:rsidRDefault="00A47DC6" w:rsidP="00D724F1">
      <w:pPr>
        <w:spacing w:line="360" w:lineRule="auto"/>
        <w:jc w:val="both"/>
        <w:rPr>
          <w:rFonts w:ascii="Arial" w:hAnsi="Arial" w:cs="Arial"/>
          <w:sz w:val="22"/>
          <w:szCs w:val="22"/>
        </w:rPr>
      </w:pPr>
    </w:p>
    <w:p w14:paraId="53409533" w14:textId="0C660EA0" w:rsidR="00D724F1" w:rsidRDefault="00A47DC6" w:rsidP="00B37B11">
      <w:pPr>
        <w:pStyle w:val="Prrafodelista"/>
        <w:numPr>
          <w:ilvl w:val="0"/>
          <w:numId w:val="2"/>
        </w:numPr>
        <w:spacing w:line="360" w:lineRule="auto"/>
        <w:jc w:val="both"/>
        <w:rPr>
          <w:rFonts w:ascii="Arial" w:hAnsi="Arial" w:cs="Arial"/>
          <w:b/>
          <w:bCs/>
          <w:sz w:val="22"/>
          <w:szCs w:val="22"/>
        </w:rPr>
      </w:pPr>
      <w:r w:rsidRPr="00A47DC6">
        <w:rPr>
          <w:rFonts w:ascii="Arial" w:hAnsi="Arial" w:cs="Arial"/>
          <w:b/>
          <w:bCs/>
          <w:sz w:val="22"/>
          <w:szCs w:val="22"/>
        </w:rPr>
        <w:lastRenderedPageBreak/>
        <w:t xml:space="preserve">Autos sobre el recurso de apelación interpuesto por la parte actora </w:t>
      </w:r>
    </w:p>
    <w:p w14:paraId="357ABCD6" w14:textId="77777777" w:rsidR="008E22DB" w:rsidRDefault="008E22DB" w:rsidP="008E22DB">
      <w:pPr>
        <w:spacing w:line="360" w:lineRule="auto"/>
        <w:jc w:val="both"/>
        <w:rPr>
          <w:rFonts w:ascii="Arial" w:hAnsi="Arial" w:cs="Arial"/>
          <w:b/>
          <w:bCs/>
          <w:sz w:val="22"/>
          <w:szCs w:val="22"/>
        </w:rPr>
      </w:pPr>
    </w:p>
    <w:p w14:paraId="19C22AB6" w14:textId="20C8A8AA" w:rsidR="008E22DB" w:rsidRDefault="008E22DB" w:rsidP="008E22DB">
      <w:pPr>
        <w:pStyle w:val="Prrafodelista"/>
        <w:numPr>
          <w:ilvl w:val="0"/>
          <w:numId w:val="3"/>
        </w:numPr>
        <w:spacing w:line="360" w:lineRule="auto"/>
        <w:jc w:val="both"/>
        <w:rPr>
          <w:rFonts w:ascii="Arial" w:hAnsi="Arial" w:cs="Arial"/>
          <w:sz w:val="22"/>
          <w:szCs w:val="22"/>
        </w:rPr>
      </w:pPr>
      <w:r w:rsidRPr="008E22DB">
        <w:rPr>
          <w:rFonts w:ascii="Arial" w:hAnsi="Arial" w:cs="Arial"/>
          <w:sz w:val="22"/>
          <w:szCs w:val="22"/>
        </w:rPr>
        <w:t xml:space="preserve">Mediante Auto </w:t>
      </w:r>
      <w:r>
        <w:rPr>
          <w:rFonts w:ascii="Arial" w:hAnsi="Arial" w:cs="Arial"/>
          <w:sz w:val="22"/>
          <w:szCs w:val="22"/>
        </w:rPr>
        <w:t xml:space="preserve">de 18 de octubre de 2023, el </w:t>
      </w:r>
      <w:r w:rsidRPr="00D724F1">
        <w:rPr>
          <w:rFonts w:ascii="Arial" w:hAnsi="Arial" w:cs="Arial"/>
          <w:sz w:val="22"/>
          <w:szCs w:val="22"/>
        </w:rPr>
        <w:t>Juzgado Segundo Civil Municipal de Guadalajara de Buga</w:t>
      </w:r>
      <w:r>
        <w:rPr>
          <w:rFonts w:ascii="Arial" w:hAnsi="Arial" w:cs="Arial"/>
          <w:sz w:val="22"/>
          <w:szCs w:val="22"/>
        </w:rPr>
        <w:t xml:space="preserve"> concede el recurso de alzada interpuesto en efecto suspensivo. </w:t>
      </w:r>
    </w:p>
    <w:p w14:paraId="09819913" w14:textId="77777777" w:rsidR="008E22DB" w:rsidRDefault="008E22DB" w:rsidP="008E22DB">
      <w:pPr>
        <w:pStyle w:val="Prrafodelista"/>
        <w:spacing w:line="360" w:lineRule="auto"/>
        <w:ind w:left="1080"/>
        <w:jc w:val="both"/>
        <w:rPr>
          <w:rFonts w:ascii="Arial" w:hAnsi="Arial" w:cs="Arial"/>
          <w:sz w:val="22"/>
          <w:szCs w:val="22"/>
        </w:rPr>
      </w:pPr>
    </w:p>
    <w:p w14:paraId="77391E44" w14:textId="7A192ED6" w:rsidR="008E22DB" w:rsidRDefault="008E22DB" w:rsidP="008E22DB">
      <w:pPr>
        <w:pStyle w:val="Prrafodelista"/>
        <w:numPr>
          <w:ilvl w:val="0"/>
          <w:numId w:val="3"/>
        </w:numPr>
        <w:spacing w:line="360" w:lineRule="auto"/>
        <w:jc w:val="both"/>
        <w:rPr>
          <w:rFonts w:ascii="Arial" w:hAnsi="Arial" w:cs="Arial"/>
          <w:sz w:val="22"/>
          <w:szCs w:val="22"/>
        </w:rPr>
      </w:pPr>
      <w:r w:rsidRPr="008E22DB">
        <w:rPr>
          <w:rFonts w:ascii="Arial" w:hAnsi="Arial" w:cs="Arial"/>
          <w:sz w:val="22"/>
          <w:szCs w:val="22"/>
        </w:rPr>
        <w:t xml:space="preserve">Mediante Auto </w:t>
      </w:r>
      <w:r>
        <w:rPr>
          <w:rFonts w:ascii="Arial" w:hAnsi="Arial" w:cs="Arial"/>
          <w:sz w:val="22"/>
          <w:szCs w:val="22"/>
        </w:rPr>
        <w:t xml:space="preserve">de </w:t>
      </w:r>
      <w:r>
        <w:rPr>
          <w:rFonts w:ascii="Arial" w:hAnsi="Arial" w:cs="Arial"/>
          <w:sz w:val="22"/>
          <w:szCs w:val="22"/>
        </w:rPr>
        <w:t>09</w:t>
      </w:r>
      <w:r>
        <w:rPr>
          <w:rFonts w:ascii="Arial" w:hAnsi="Arial" w:cs="Arial"/>
          <w:sz w:val="22"/>
          <w:szCs w:val="22"/>
        </w:rPr>
        <w:t xml:space="preserve"> de </w:t>
      </w:r>
      <w:r>
        <w:rPr>
          <w:rFonts w:ascii="Arial" w:hAnsi="Arial" w:cs="Arial"/>
          <w:sz w:val="22"/>
          <w:szCs w:val="22"/>
        </w:rPr>
        <w:t>noviembre</w:t>
      </w:r>
      <w:r>
        <w:rPr>
          <w:rFonts w:ascii="Arial" w:hAnsi="Arial" w:cs="Arial"/>
          <w:sz w:val="22"/>
          <w:szCs w:val="22"/>
        </w:rPr>
        <w:t xml:space="preserve"> de 2023, el </w:t>
      </w:r>
      <w:r w:rsidRPr="00D724F1">
        <w:rPr>
          <w:rFonts w:ascii="Arial" w:hAnsi="Arial" w:cs="Arial"/>
          <w:sz w:val="22"/>
          <w:szCs w:val="22"/>
        </w:rPr>
        <w:t xml:space="preserve">Juzgado </w:t>
      </w:r>
      <w:r>
        <w:rPr>
          <w:rFonts w:ascii="Arial" w:hAnsi="Arial" w:cs="Arial"/>
          <w:sz w:val="22"/>
          <w:szCs w:val="22"/>
        </w:rPr>
        <w:t>Primero</w:t>
      </w:r>
      <w:r w:rsidRPr="00D724F1">
        <w:rPr>
          <w:rFonts w:ascii="Arial" w:hAnsi="Arial" w:cs="Arial"/>
          <w:sz w:val="22"/>
          <w:szCs w:val="22"/>
        </w:rPr>
        <w:t xml:space="preserve"> Civil </w:t>
      </w:r>
      <w:r>
        <w:rPr>
          <w:rFonts w:ascii="Arial" w:hAnsi="Arial" w:cs="Arial"/>
          <w:sz w:val="22"/>
          <w:szCs w:val="22"/>
        </w:rPr>
        <w:t xml:space="preserve">del Circuito </w:t>
      </w:r>
      <w:r w:rsidRPr="00D724F1">
        <w:rPr>
          <w:rFonts w:ascii="Arial" w:hAnsi="Arial" w:cs="Arial"/>
          <w:sz w:val="22"/>
          <w:szCs w:val="22"/>
        </w:rPr>
        <w:t>de Guadalajara de Buga</w:t>
      </w:r>
      <w:r>
        <w:rPr>
          <w:rFonts w:ascii="Arial" w:hAnsi="Arial" w:cs="Arial"/>
          <w:sz w:val="22"/>
          <w:szCs w:val="22"/>
        </w:rPr>
        <w:t xml:space="preserve"> </w:t>
      </w:r>
      <w:r>
        <w:rPr>
          <w:rFonts w:ascii="Arial" w:hAnsi="Arial" w:cs="Arial"/>
          <w:sz w:val="22"/>
          <w:szCs w:val="22"/>
        </w:rPr>
        <w:t>admitió</w:t>
      </w:r>
      <w:r>
        <w:rPr>
          <w:rFonts w:ascii="Arial" w:hAnsi="Arial" w:cs="Arial"/>
          <w:sz w:val="22"/>
          <w:szCs w:val="22"/>
        </w:rPr>
        <w:t xml:space="preserve"> el recurso de </w:t>
      </w:r>
      <w:r>
        <w:rPr>
          <w:rFonts w:ascii="Arial" w:hAnsi="Arial" w:cs="Arial"/>
          <w:sz w:val="22"/>
          <w:szCs w:val="22"/>
        </w:rPr>
        <w:t xml:space="preserve">apelación, indicando expresamente que el recurrente debía sustentar el recurso en el término de cinco días siguientes a la notificación de dicho proveído.  </w:t>
      </w:r>
    </w:p>
    <w:p w14:paraId="7BE2D40D" w14:textId="77777777" w:rsidR="00C712EF" w:rsidRPr="00C712EF" w:rsidRDefault="00C712EF" w:rsidP="00C712EF">
      <w:pPr>
        <w:spacing w:line="360" w:lineRule="auto"/>
        <w:jc w:val="both"/>
        <w:rPr>
          <w:rFonts w:ascii="Arial" w:hAnsi="Arial" w:cs="Arial"/>
          <w:sz w:val="22"/>
          <w:szCs w:val="22"/>
        </w:rPr>
      </w:pPr>
    </w:p>
    <w:p w14:paraId="3AC32F68" w14:textId="0A928036" w:rsidR="00C712EF" w:rsidRDefault="00C712EF" w:rsidP="00C712EF">
      <w:pPr>
        <w:pStyle w:val="Prrafodelista"/>
        <w:numPr>
          <w:ilvl w:val="0"/>
          <w:numId w:val="3"/>
        </w:numPr>
        <w:spacing w:line="360" w:lineRule="auto"/>
        <w:jc w:val="both"/>
        <w:rPr>
          <w:rFonts w:ascii="Arial" w:hAnsi="Arial" w:cs="Arial"/>
          <w:sz w:val="22"/>
          <w:szCs w:val="22"/>
        </w:rPr>
      </w:pPr>
      <w:r w:rsidRPr="008E22DB">
        <w:rPr>
          <w:rFonts w:ascii="Arial" w:hAnsi="Arial" w:cs="Arial"/>
          <w:sz w:val="22"/>
          <w:szCs w:val="22"/>
        </w:rPr>
        <w:t xml:space="preserve">Mediante Auto </w:t>
      </w:r>
      <w:r>
        <w:rPr>
          <w:rFonts w:ascii="Arial" w:hAnsi="Arial" w:cs="Arial"/>
          <w:sz w:val="22"/>
          <w:szCs w:val="22"/>
        </w:rPr>
        <w:t xml:space="preserve">de </w:t>
      </w:r>
      <w:r>
        <w:rPr>
          <w:rFonts w:ascii="Arial" w:hAnsi="Arial" w:cs="Arial"/>
          <w:sz w:val="22"/>
          <w:szCs w:val="22"/>
        </w:rPr>
        <w:t>15</w:t>
      </w:r>
      <w:r>
        <w:rPr>
          <w:rFonts w:ascii="Arial" w:hAnsi="Arial" w:cs="Arial"/>
          <w:sz w:val="22"/>
          <w:szCs w:val="22"/>
        </w:rPr>
        <w:t xml:space="preserve"> de noviembre de 2023, el </w:t>
      </w:r>
      <w:r w:rsidRPr="00D724F1">
        <w:rPr>
          <w:rFonts w:ascii="Arial" w:hAnsi="Arial" w:cs="Arial"/>
          <w:sz w:val="22"/>
          <w:szCs w:val="22"/>
        </w:rPr>
        <w:t xml:space="preserve">Juzgado </w:t>
      </w:r>
      <w:r>
        <w:rPr>
          <w:rFonts w:ascii="Arial" w:hAnsi="Arial" w:cs="Arial"/>
          <w:sz w:val="22"/>
          <w:szCs w:val="22"/>
        </w:rPr>
        <w:t>Primero</w:t>
      </w:r>
      <w:r w:rsidRPr="00D724F1">
        <w:rPr>
          <w:rFonts w:ascii="Arial" w:hAnsi="Arial" w:cs="Arial"/>
          <w:sz w:val="22"/>
          <w:szCs w:val="22"/>
        </w:rPr>
        <w:t xml:space="preserve"> Civil </w:t>
      </w:r>
      <w:r>
        <w:rPr>
          <w:rFonts w:ascii="Arial" w:hAnsi="Arial" w:cs="Arial"/>
          <w:sz w:val="22"/>
          <w:szCs w:val="22"/>
        </w:rPr>
        <w:t xml:space="preserve">del Circuito </w:t>
      </w:r>
      <w:r w:rsidRPr="00D724F1">
        <w:rPr>
          <w:rFonts w:ascii="Arial" w:hAnsi="Arial" w:cs="Arial"/>
          <w:sz w:val="22"/>
          <w:szCs w:val="22"/>
        </w:rPr>
        <w:t>de Guadalajara de Buga</w:t>
      </w:r>
      <w:r>
        <w:rPr>
          <w:rFonts w:ascii="Arial" w:hAnsi="Arial" w:cs="Arial"/>
          <w:sz w:val="22"/>
          <w:szCs w:val="22"/>
        </w:rPr>
        <w:t xml:space="preserve"> </w:t>
      </w:r>
      <w:r>
        <w:rPr>
          <w:rFonts w:ascii="Arial" w:hAnsi="Arial" w:cs="Arial"/>
          <w:sz w:val="22"/>
          <w:szCs w:val="22"/>
        </w:rPr>
        <w:t>declaró desierto el recurso de apelación toda vez que la parte apelante no allegó escrito de sustentación en segunda instancia bajo la consideración que había presentado los reparos concretos ante el juez de primer grado. En vista de lo anterior, la parte demandante interpuso reposición</w:t>
      </w:r>
      <w:r w:rsidR="003D5DC3">
        <w:rPr>
          <w:rFonts w:ascii="Arial" w:hAnsi="Arial" w:cs="Arial"/>
          <w:sz w:val="22"/>
          <w:szCs w:val="22"/>
        </w:rPr>
        <w:t xml:space="preserve"> en el cuarto día hábil posterior a la notificación del Auto de 15 de noviembre. </w:t>
      </w:r>
    </w:p>
    <w:p w14:paraId="32B17BA3" w14:textId="77777777" w:rsidR="00C712EF" w:rsidRPr="00C712EF" w:rsidRDefault="00C712EF" w:rsidP="00C712EF">
      <w:pPr>
        <w:spacing w:line="360" w:lineRule="auto"/>
        <w:jc w:val="both"/>
        <w:rPr>
          <w:rFonts w:ascii="Arial" w:hAnsi="Arial" w:cs="Arial"/>
          <w:sz w:val="22"/>
          <w:szCs w:val="22"/>
        </w:rPr>
      </w:pPr>
    </w:p>
    <w:p w14:paraId="202CBBE6" w14:textId="2A64D18F" w:rsidR="00C712EF" w:rsidRDefault="00C712EF" w:rsidP="00C712EF">
      <w:pPr>
        <w:pStyle w:val="Prrafodelista"/>
        <w:numPr>
          <w:ilvl w:val="0"/>
          <w:numId w:val="3"/>
        </w:numPr>
        <w:spacing w:line="360" w:lineRule="auto"/>
        <w:jc w:val="both"/>
        <w:rPr>
          <w:rFonts w:ascii="Arial" w:hAnsi="Arial" w:cs="Arial"/>
          <w:sz w:val="22"/>
          <w:szCs w:val="22"/>
        </w:rPr>
      </w:pPr>
      <w:r w:rsidRPr="008E22DB">
        <w:rPr>
          <w:rFonts w:ascii="Arial" w:hAnsi="Arial" w:cs="Arial"/>
          <w:sz w:val="22"/>
          <w:szCs w:val="22"/>
        </w:rPr>
        <w:t xml:space="preserve">Mediante Auto </w:t>
      </w:r>
      <w:r>
        <w:rPr>
          <w:rFonts w:ascii="Arial" w:hAnsi="Arial" w:cs="Arial"/>
          <w:sz w:val="22"/>
          <w:szCs w:val="22"/>
        </w:rPr>
        <w:t>de 1</w:t>
      </w:r>
      <w:r w:rsidR="003D5DC3">
        <w:rPr>
          <w:rFonts w:ascii="Arial" w:hAnsi="Arial" w:cs="Arial"/>
          <w:sz w:val="22"/>
          <w:szCs w:val="22"/>
        </w:rPr>
        <w:t>9</w:t>
      </w:r>
      <w:r>
        <w:rPr>
          <w:rFonts w:ascii="Arial" w:hAnsi="Arial" w:cs="Arial"/>
          <w:sz w:val="22"/>
          <w:szCs w:val="22"/>
        </w:rPr>
        <w:t xml:space="preserve"> de </w:t>
      </w:r>
      <w:r w:rsidR="003D5DC3">
        <w:rPr>
          <w:rFonts w:ascii="Arial" w:hAnsi="Arial" w:cs="Arial"/>
          <w:sz w:val="22"/>
          <w:szCs w:val="22"/>
        </w:rPr>
        <w:t xml:space="preserve">enero </w:t>
      </w:r>
      <w:r>
        <w:rPr>
          <w:rFonts w:ascii="Arial" w:hAnsi="Arial" w:cs="Arial"/>
          <w:sz w:val="22"/>
          <w:szCs w:val="22"/>
        </w:rPr>
        <w:t>de 202</w:t>
      </w:r>
      <w:r w:rsidR="003D5DC3">
        <w:rPr>
          <w:rFonts w:ascii="Arial" w:hAnsi="Arial" w:cs="Arial"/>
          <w:sz w:val="22"/>
          <w:szCs w:val="22"/>
        </w:rPr>
        <w:t>4</w:t>
      </w:r>
      <w:r>
        <w:rPr>
          <w:rFonts w:ascii="Arial" w:hAnsi="Arial" w:cs="Arial"/>
          <w:sz w:val="22"/>
          <w:szCs w:val="22"/>
        </w:rPr>
        <w:t xml:space="preserve">, el </w:t>
      </w:r>
      <w:r w:rsidRPr="00D724F1">
        <w:rPr>
          <w:rFonts w:ascii="Arial" w:hAnsi="Arial" w:cs="Arial"/>
          <w:sz w:val="22"/>
          <w:szCs w:val="22"/>
        </w:rPr>
        <w:t xml:space="preserve">Juzgado </w:t>
      </w:r>
      <w:r>
        <w:rPr>
          <w:rFonts w:ascii="Arial" w:hAnsi="Arial" w:cs="Arial"/>
          <w:sz w:val="22"/>
          <w:szCs w:val="22"/>
        </w:rPr>
        <w:t>Primero</w:t>
      </w:r>
      <w:r w:rsidRPr="00D724F1">
        <w:rPr>
          <w:rFonts w:ascii="Arial" w:hAnsi="Arial" w:cs="Arial"/>
          <w:sz w:val="22"/>
          <w:szCs w:val="22"/>
        </w:rPr>
        <w:t xml:space="preserve"> Civil </w:t>
      </w:r>
      <w:r>
        <w:rPr>
          <w:rFonts w:ascii="Arial" w:hAnsi="Arial" w:cs="Arial"/>
          <w:sz w:val="22"/>
          <w:szCs w:val="22"/>
        </w:rPr>
        <w:t xml:space="preserve">del Circuito </w:t>
      </w:r>
      <w:r w:rsidRPr="00D724F1">
        <w:rPr>
          <w:rFonts w:ascii="Arial" w:hAnsi="Arial" w:cs="Arial"/>
          <w:sz w:val="22"/>
          <w:szCs w:val="22"/>
        </w:rPr>
        <w:t>de Guadalajara de Buga</w:t>
      </w:r>
      <w:r>
        <w:rPr>
          <w:rFonts w:ascii="Arial" w:hAnsi="Arial" w:cs="Arial"/>
          <w:sz w:val="22"/>
          <w:szCs w:val="22"/>
        </w:rPr>
        <w:t xml:space="preserve"> se abstuvo de impartir el trámite al recurso de reposición referido en precedencia</w:t>
      </w:r>
      <w:r w:rsidR="003D5DC3">
        <w:rPr>
          <w:rFonts w:ascii="Arial" w:hAnsi="Arial" w:cs="Arial"/>
          <w:sz w:val="22"/>
          <w:szCs w:val="22"/>
        </w:rPr>
        <w:t xml:space="preserve"> argumentando que se interpuso extemporáneamente. </w:t>
      </w:r>
    </w:p>
    <w:p w14:paraId="7AB83D89" w14:textId="77777777" w:rsidR="00C712EF" w:rsidRPr="00C712EF" w:rsidRDefault="00C712EF" w:rsidP="00C712EF">
      <w:pPr>
        <w:pStyle w:val="Prrafodelista"/>
        <w:rPr>
          <w:rFonts w:ascii="Arial" w:hAnsi="Arial" w:cs="Arial"/>
          <w:sz w:val="22"/>
          <w:szCs w:val="22"/>
        </w:rPr>
      </w:pPr>
    </w:p>
    <w:p w14:paraId="500647B6" w14:textId="3C562681" w:rsidR="00C712EF" w:rsidRDefault="00C712EF" w:rsidP="00C712EF">
      <w:pPr>
        <w:pStyle w:val="Prrafodelista"/>
        <w:numPr>
          <w:ilvl w:val="0"/>
          <w:numId w:val="2"/>
        </w:numPr>
        <w:spacing w:line="360" w:lineRule="auto"/>
        <w:jc w:val="both"/>
        <w:rPr>
          <w:rFonts w:ascii="Arial" w:hAnsi="Arial" w:cs="Arial"/>
          <w:b/>
          <w:bCs/>
          <w:sz w:val="22"/>
          <w:szCs w:val="22"/>
        </w:rPr>
      </w:pPr>
      <w:r w:rsidRPr="00C712EF">
        <w:rPr>
          <w:rFonts w:ascii="Arial" w:hAnsi="Arial" w:cs="Arial"/>
          <w:b/>
          <w:bCs/>
          <w:sz w:val="22"/>
          <w:szCs w:val="22"/>
        </w:rPr>
        <w:t xml:space="preserve">Trámite de la acción de tutela </w:t>
      </w:r>
    </w:p>
    <w:p w14:paraId="0CE05F49" w14:textId="77777777" w:rsidR="00C712EF" w:rsidRDefault="00C712EF" w:rsidP="00C712EF">
      <w:pPr>
        <w:spacing w:line="360" w:lineRule="auto"/>
        <w:jc w:val="both"/>
        <w:rPr>
          <w:rFonts w:ascii="Arial" w:hAnsi="Arial" w:cs="Arial"/>
          <w:b/>
          <w:bCs/>
          <w:sz w:val="22"/>
          <w:szCs w:val="22"/>
        </w:rPr>
      </w:pPr>
    </w:p>
    <w:p w14:paraId="5E63B761" w14:textId="0846CF67" w:rsidR="008E22DB" w:rsidRDefault="00D733B5" w:rsidP="003D5DC3">
      <w:pPr>
        <w:spacing w:line="360" w:lineRule="auto"/>
        <w:jc w:val="both"/>
        <w:rPr>
          <w:rFonts w:ascii="Arial" w:hAnsi="Arial" w:cs="Arial"/>
          <w:sz w:val="22"/>
          <w:szCs w:val="22"/>
        </w:rPr>
      </w:pPr>
      <w:r w:rsidRPr="00D733B5">
        <w:rPr>
          <w:rFonts w:ascii="Arial" w:hAnsi="Arial" w:cs="Arial"/>
          <w:sz w:val="22"/>
          <w:szCs w:val="22"/>
        </w:rPr>
        <w:t xml:space="preserve">El vocero judicial de la demandante incoó </w:t>
      </w:r>
      <w:r>
        <w:rPr>
          <w:rFonts w:ascii="Arial" w:hAnsi="Arial" w:cs="Arial"/>
          <w:sz w:val="22"/>
          <w:szCs w:val="22"/>
        </w:rPr>
        <w:t xml:space="preserve">acción de tutela en contra del </w:t>
      </w:r>
      <w:r w:rsidRPr="00D724F1">
        <w:rPr>
          <w:rFonts w:ascii="Arial" w:hAnsi="Arial" w:cs="Arial"/>
          <w:sz w:val="22"/>
          <w:szCs w:val="22"/>
        </w:rPr>
        <w:t xml:space="preserve">Juzgado </w:t>
      </w:r>
      <w:r>
        <w:rPr>
          <w:rFonts w:ascii="Arial" w:hAnsi="Arial" w:cs="Arial"/>
          <w:sz w:val="22"/>
          <w:szCs w:val="22"/>
        </w:rPr>
        <w:t>Primero</w:t>
      </w:r>
      <w:r w:rsidRPr="00D724F1">
        <w:rPr>
          <w:rFonts w:ascii="Arial" w:hAnsi="Arial" w:cs="Arial"/>
          <w:sz w:val="22"/>
          <w:szCs w:val="22"/>
        </w:rPr>
        <w:t xml:space="preserve"> Civil </w:t>
      </w:r>
      <w:r>
        <w:rPr>
          <w:rFonts w:ascii="Arial" w:hAnsi="Arial" w:cs="Arial"/>
          <w:sz w:val="22"/>
          <w:szCs w:val="22"/>
        </w:rPr>
        <w:t xml:space="preserve">del Circuito </w:t>
      </w:r>
      <w:r w:rsidRPr="00D724F1">
        <w:rPr>
          <w:rFonts w:ascii="Arial" w:hAnsi="Arial" w:cs="Arial"/>
          <w:sz w:val="22"/>
          <w:szCs w:val="22"/>
        </w:rPr>
        <w:t>de Guadalajara de Buga</w:t>
      </w:r>
      <w:r>
        <w:rPr>
          <w:rFonts w:ascii="Arial" w:hAnsi="Arial" w:cs="Arial"/>
          <w:sz w:val="22"/>
          <w:szCs w:val="22"/>
        </w:rPr>
        <w:t xml:space="preserve"> argumentando que las decisión del Despacho habían vulnerado el derecho al debido proceso y acceso a la administración de justicia que le asisten a su prohijada. </w:t>
      </w:r>
      <w:r w:rsidR="004F4352">
        <w:rPr>
          <w:rFonts w:ascii="Arial" w:hAnsi="Arial" w:cs="Arial"/>
          <w:sz w:val="22"/>
          <w:szCs w:val="22"/>
        </w:rPr>
        <w:t xml:space="preserve">Sobre el particular, se presentó pronunciamiento frente a la acción de tutela solicitando al H. Tribunal que negara el amparo constitucional invocado bajo el entendido que la formulación de los reparos concretos ante el </w:t>
      </w:r>
      <w:r w:rsidR="004F4352" w:rsidRPr="004F4352">
        <w:rPr>
          <w:rFonts w:ascii="Arial" w:hAnsi="Arial" w:cs="Arial"/>
          <w:i/>
          <w:iCs/>
          <w:sz w:val="22"/>
          <w:szCs w:val="22"/>
        </w:rPr>
        <w:t>a quo</w:t>
      </w:r>
      <w:r w:rsidR="004F4352">
        <w:rPr>
          <w:rFonts w:ascii="Arial" w:hAnsi="Arial" w:cs="Arial"/>
          <w:sz w:val="22"/>
          <w:szCs w:val="22"/>
        </w:rPr>
        <w:t xml:space="preserve"> y la sustentación ante el </w:t>
      </w:r>
      <w:r w:rsidR="004F4352" w:rsidRPr="004F4352">
        <w:rPr>
          <w:rFonts w:ascii="Arial" w:hAnsi="Arial" w:cs="Arial"/>
          <w:i/>
          <w:iCs/>
          <w:sz w:val="22"/>
          <w:szCs w:val="22"/>
        </w:rPr>
        <w:t xml:space="preserve">ad </w:t>
      </w:r>
      <w:proofErr w:type="spellStart"/>
      <w:r w:rsidR="004F4352" w:rsidRPr="004F4352">
        <w:rPr>
          <w:rFonts w:ascii="Arial" w:hAnsi="Arial" w:cs="Arial"/>
          <w:i/>
          <w:iCs/>
          <w:sz w:val="22"/>
          <w:szCs w:val="22"/>
        </w:rPr>
        <w:t>quem</w:t>
      </w:r>
      <w:proofErr w:type="spellEnd"/>
      <w:r w:rsidR="004F4352">
        <w:rPr>
          <w:rFonts w:ascii="Arial" w:hAnsi="Arial" w:cs="Arial"/>
          <w:sz w:val="22"/>
          <w:szCs w:val="22"/>
        </w:rPr>
        <w:t xml:space="preserve"> constituyen dos momentos procesales disímiles y, en consecuencia, la decisión del Juzgado accionado se ajusta a derecho. </w:t>
      </w:r>
    </w:p>
    <w:p w14:paraId="5B8E04F4" w14:textId="77777777" w:rsidR="003D5DC3" w:rsidRDefault="003D5DC3" w:rsidP="003D5DC3">
      <w:pPr>
        <w:spacing w:line="360" w:lineRule="auto"/>
        <w:jc w:val="both"/>
        <w:rPr>
          <w:rFonts w:ascii="Arial" w:hAnsi="Arial" w:cs="Arial"/>
          <w:sz w:val="22"/>
          <w:szCs w:val="22"/>
        </w:rPr>
      </w:pPr>
    </w:p>
    <w:p w14:paraId="0B12B18A" w14:textId="33DE5BA5" w:rsidR="003D5DC3" w:rsidRDefault="003D5DC3" w:rsidP="003D5DC3">
      <w:pPr>
        <w:spacing w:line="360" w:lineRule="auto"/>
        <w:jc w:val="both"/>
        <w:rPr>
          <w:rFonts w:ascii="Arial" w:hAnsi="Arial" w:cs="Arial"/>
          <w:sz w:val="22"/>
          <w:szCs w:val="22"/>
        </w:rPr>
      </w:pPr>
      <w:r>
        <w:rPr>
          <w:rFonts w:ascii="Arial" w:hAnsi="Arial" w:cs="Arial"/>
          <w:sz w:val="22"/>
          <w:szCs w:val="22"/>
        </w:rPr>
        <w:lastRenderedPageBreak/>
        <w:t xml:space="preserve">Mediante proveído de 27 de mayo de 2024, el H. Tribunal Superior de Buga NEGÓ el amparo </w:t>
      </w:r>
      <w:r w:rsidR="003D5FFD">
        <w:rPr>
          <w:rFonts w:ascii="Arial" w:hAnsi="Arial" w:cs="Arial"/>
          <w:sz w:val="22"/>
          <w:szCs w:val="22"/>
        </w:rPr>
        <w:t xml:space="preserve">constitucional incoado sustentando que la tutela en el caso de marras es improcedente por cuanto la accionante no ejerció debidamente el medio ordinario para atacar el auto que declara desierto el recurso de apelación, lo anterior debido a que la reposición interpuesta contra la providencia de 15 de noviembre de 2023 se presentó extemporáneamente y, en ese sentido, no le asiste razón a la accionante habida cuenta de que el reclamo formulado tiene origen en la omisión de su apoderado judicial. </w:t>
      </w:r>
    </w:p>
    <w:p w14:paraId="5184BA0E" w14:textId="77777777" w:rsidR="003D5FFD" w:rsidRDefault="003D5FFD" w:rsidP="003D5DC3">
      <w:pPr>
        <w:spacing w:line="360" w:lineRule="auto"/>
        <w:jc w:val="both"/>
        <w:rPr>
          <w:rFonts w:ascii="Arial" w:hAnsi="Arial" w:cs="Arial"/>
          <w:sz w:val="22"/>
          <w:szCs w:val="22"/>
        </w:rPr>
      </w:pPr>
    </w:p>
    <w:p w14:paraId="6C460770" w14:textId="02BD5C91" w:rsidR="003D5FFD" w:rsidRPr="003D5DC3" w:rsidRDefault="003D5FFD" w:rsidP="003D5DC3">
      <w:pPr>
        <w:spacing w:line="360" w:lineRule="auto"/>
        <w:jc w:val="both"/>
        <w:rPr>
          <w:rFonts w:ascii="Arial" w:hAnsi="Arial" w:cs="Arial"/>
          <w:sz w:val="22"/>
          <w:szCs w:val="22"/>
        </w:rPr>
      </w:pPr>
      <w:r>
        <w:rPr>
          <w:rFonts w:ascii="Arial" w:hAnsi="Arial" w:cs="Arial"/>
          <w:sz w:val="22"/>
          <w:szCs w:val="22"/>
        </w:rPr>
        <w:t xml:space="preserve">Atento saludo, </w:t>
      </w:r>
    </w:p>
    <w:sectPr w:rsidR="003D5FFD" w:rsidRPr="003D5D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30FB6"/>
    <w:multiLevelType w:val="hybridMultilevel"/>
    <w:tmpl w:val="2EB8AB9E"/>
    <w:lvl w:ilvl="0" w:tplc="697417D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A66B34"/>
    <w:multiLevelType w:val="hybridMultilevel"/>
    <w:tmpl w:val="3F061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6C7A77"/>
    <w:multiLevelType w:val="hybridMultilevel"/>
    <w:tmpl w:val="B5645248"/>
    <w:lvl w:ilvl="0" w:tplc="FE9E86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4702591">
    <w:abstractNumId w:val="1"/>
  </w:num>
  <w:num w:numId="2" w16cid:durableId="579753729">
    <w:abstractNumId w:val="0"/>
  </w:num>
  <w:num w:numId="3" w16cid:durableId="790436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FD"/>
    <w:rsid w:val="000554B3"/>
    <w:rsid w:val="00181E66"/>
    <w:rsid w:val="001D1196"/>
    <w:rsid w:val="00317AF0"/>
    <w:rsid w:val="003D5DC3"/>
    <w:rsid w:val="003D5FFD"/>
    <w:rsid w:val="004F4352"/>
    <w:rsid w:val="008E22DB"/>
    <w:rsid w:val="009D78A8"/>
    <w:rsid w:val="00A016D6"/>
    <w:rsid w:val="00A47DC6"/>
    <w:rsid w:val="00B37B11"/>
    <w:rsid w:val="00C712EF"/>
    <w:rsid w:val="00C74930"/>
    <w:rsid w:val="00D702CA"/>
    <w:rsid w:val="00D724F1"/>
    <w:rsid w:val="00D733B5"/>
    <w:rsid w:val="00DB6149"/>
    <w:rsid w:val="00F71FFD"/>
    <w:rsid w:val="00F86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784E8D7"/>
  <w15:chartTrackingRefBased/>
  <w15:docId w15:val="{51EEAAC5-2E17-CF4D-9281-596B932D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1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1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1F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1F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1F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1F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1F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1F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1F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1F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1F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1F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1F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1F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1F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1F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1F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1FFD"/>
    <w:rPr>
      <w:rFonts w:eastAsiaTheme="majorEastAsia" w:cstheme="majorBidi"/>
      <w:color w:val="272727" w:themeColor="text1" w:themeTint="D8"/>
    </w:rPr>
  </w:style>
  <w:style w:type="paragraph" w:styleId="Ttulo">
    <w:name w:val="Title"/>
    <w:basedOn w:val="Normal"/>
    <w:next w:val="Normal"/>
    <w:link w:val="TtuloCar"/>
    <w:uiPriority w:val="10"/>
    <w:qFormat/>
    <w:rsid w:val="00F71F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1F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1FF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1F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1FF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71FFD"/>
    <w:rPr>
      <w:i/>
      <w:iCs/>
      <w:color w:val="404040" w:themeColor="text1" w:themeTint="BF"/>
    </w:rPr>
  </w:style>
  <w:style w:type="paragraph" w:styleId="Prrafodelista">
    <w:name w:val="List Paragraph"/>
    <w:basedOn w:val="Normal"/>
    <w:uiPriority w:val="34"/>
    <w:qFormat/>
    <w:rsid w:val="00F71FFD"/>
    <w:pPr>
      <w:ind w:left="720"/>
      <w:contextualSpacing/>
    </w:pPr>
  </w:style>
  <w:style w:type="character" w:styleId="nfasisintenso">
    <w:name w:val="Intense Emphasis"/>
    <w:basedOn w:val="Fuentedeprrafopredeter"/>
    <w:uiPriority w:val="21"/>
    <w:qFormat/>
    <w:rsid w:val="00F71FFD"/>
    <w:rPr>
      <w:i/>
      <w:iCs/>
      <w:color w:val="0F4761" w:themeColor="accent1" w:themeShade="BF"/>
    </w:rPr>
  </w:style>
  <w:style w:type="paragraph" w:styleId="Citadestacada">
    <w:name w:val="Intense Quote"/>
    <w:basedOn w:val="Normal"/>
    <w:next w:val="Normal"/>
    <w:link w:val="CitadestacadaCar"/>
    <w:uiPriority w:val="30"/>
    <w:qFormat/>
    <w:rsid w:val="00F71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1FFD"/>
    <w:rPr>
      <w:i/>
      <w:iCs/>
      <w:color w:val="0F4761" w:themeColor="accent1" w:themeShade="BF"/>
    </w:rPr>
  </w:style>
  <w:style w:type="character" w:styleId="Referenciaintensa">
    <w:name w:val="Intense Reference"/>
    <w:basedOn w:val="Fuentedeprrafopredeter"/>
    <w:uiPriority w:val="32"/>
    <w:qFormat/>
    <w:rsid w:val="00F71FFD"/>
    <w:rPr>
      <w:b/>
      <w:bCs/>
      <w:smallCaps/>
      <w:color w:val="0F4761" w:themeColor="accent1" w:themeShade="BF"/>
      <w:spacing w:val="5"/>
    </w:rPr>
  </w:style>
  <w:style w:type="table" w:styleId="Tablaconcuadrcula">
    <w:name w:val="Table Grid"/>
    <w:basedOn w:val="Tablanormal"/>
    <w:uiPriority w:val="39"/>
    <w:rsid w:val="00F71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692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Rubio</dc:creator>
  <cp:keywords/>
  <dc:description/>
  <cp:lastModifiedBy>Mariana Rubio</cp:lastModifiedBy>
  <cp:revision>19</cp:revision>
  <dcterms:created xsi:type="dcterms:W3CDTF">2024-06-08T12:12:00Z</dcterms:created>
  <dcterms:modified xsi:type="dcterms:W3CDTF">2024-06-08T13:43:00Z</dcterms:modified>
</cp:coreProperties>
</file>