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296726" w:rsidRDefault="003314A2" w:rsidP="003314A2">
      <w:pPr>
        <w:spacing w:line="360" w:lineRule="auto"/>
        <w:rPr>
          <w:rFonts w:ascii="Century Gothic" w:hAnsi="Century Gothic"/>
          <w:sz w:val="22"/>
          <w:szCs w:val="22"/>
        </w:rPr>
      </w:pPr>
      <w:r w:rsidRPr="00296726">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296726"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296726" w14:paraId="077F9E4D" w14:textId="77777777" w:rsidTr="003827E1">
        <w:trPr>
          <w:trHeight w:val="454"/>
        </w:trPr>
        <w:tc>
          <w:tcPr>
            <w:tcW w:w="4537" w:type="dxa"/>
            <w:vAlign w:val="center"/>
          </w:tcPr>
          <w:p w14:paraId="239BC5A7" w14:textId="7E10D35F" w:rsidR="00F67EF8" w:rsidRPr="00F9277D" w:rsidRDefault="00F67EF8" w:rsidP="003B7F1A">
            <w:pPr>
              <w:spacing w:line="360" w:lineRule="auto"/>
              <w:rPr>
                <w:rFonts w:ascii="Century Gothic" w:hAnsi="Century Gothic" w:cstheme="majorHAnsi"/>
                <w:b/>
                <w:bCs/>
                <w:sz w:val="22"/>
                <w:szCs w:val="22"/>
              </w:rPr>
            </w:pPr>
            <w:r w:rsidRPr="00F9277D">
              <w:rPr>
                <w:rFonts w:ascii="Century Gothic" w:hAnsi="Century Gothic" w:cstheme="majorHAnsi"/>
                <w:b/>
                <w:bCs/>
                <w:sz w:val="22"/>
                <w:szCs w:val="22"/>
              </w:rPr>
              <w:t>Fecha de presentación</w:t>
            </w:r>
          </w:p>
        </w:tc>
        <w:tc>
          <w:tcPr>
            <w:tcW w:w="5670" w:type="dxa"/>
          </w:tcPr>
          <w:p w14:paraId="29FA6EF6" w14:textId="6FCED2E5" w:rsidR="00F67EF8" w:rsidRPr="00F9277D" w:rsidRDefault="00F76988" w:rsidP="00F67EF8">
            <w:pPr>
              <w:spacing w:line="276" w:lineRule="auto"/>
              <w:jc w:val="both"/>
              <w:rPr>
                <w:rFonts w:ascii="Century Gothic" w:hAnsi="Century Gothic" w:cstheme="majorHAnsi"/>
                <w:sz w:val="22"/>
                <w:szCs w:val="22"/>
              </w:rPr>
            </w:pPr>
            <w:r>
              <w:rPr>
                <w:rFonts w:ascii="Century Gothic" w:hAnsi="Century Gothic" w:cstheme="majorHAnsi"/>
                <w:sz w:val="22"/>
                <w:szCs w:val="22"/>
              </w:rPr>
              <w:t>22/05/2025</w:t>
            </w:r>
          </w:p>
        </w:tc>
      </w:tr>
      <w:tr w:rsidR="00F67EF8" w:rsidRPr="00296726" w14:paraId="6959AD48" w14:textId="77777777" w:rsidTr="003827E1">
        <w:trPr>
          <w:trHeight w:val="454"/>
        </w:trPr>
        <w:tc>
          <w:tcPr>
            <w:tcW w:w="4537" w:type="dxa"/>
            <w:vAlign w:val="center"/>
          </w:tcPr>
          <w:p w14:paraId="45E895A9" w14:textId="1E20E681" w:rsidR="00F67EF8" w:rsidRPr="00F9277D" w:rsidRDefault="00F67EF8" w:rsidP="003B7F1A">
            <w:pPr>
              <w:spacing w:line="360" w:lineRule="auto"/>
              <w:rPr>
                <w:rFonts w:ascii="Century Gothic" w:hAnsi="Century Gothic" w:cstheme="majorHAnsi"/>
                <w:b/>
                <w:bCs/>
                <w:sz w:val="22"/>
                <w:szCs w:val="22"/>
              </w:rPr>
            </w:pPr>
            <w:r w:rsidRPr="00F9277D">
              <w:rPr>
                <w:rFonts w:ascii="Century Gothic" w:hAnsi="Century Gothic" w:cstheme="majorHAnsi"/>
                <w:b/>
                <w:bCs/>
                <w:sz w:val="22"/>
                <w:szCs w:val="22"/>
              </w:rPr>
              <w:t>Tipo de abogado</w:t>
            </w:r>
          </w:p>
        </w:tc>
        <w:tc>
          <w:tcPr>
            <w:tcW w:w="5670" w:type="dxa"/>
          </w:tcPr>
          <w:p w14:paraId="06C25C40" w14:textId="5CFD278A" w:rsidR="00F67EF8" w:rsidRPr="00F9277D" w:rsidRDefault="00B775EB" w:rsidP="00F67EF8">
            <w:pPr>
              <w:spacing w:line="276" w:lineRule="auto"/>
              <w:jc w:val="both"/>
              <w:rPr>
                <w:rFonts w:ascii="Century Gothic" w:hAnsi="Century Gothic" w:cstheme="majorHAnsi"/>
                <w:sz w:val="22"/>
                <w:szCs w:val="22"/>
              </w:rPr>
            </w:pPr>
            <w:r w:rsidRPr="00F9277D">
              <w:rPr>
                <w:rFonts w:ascii="Century Gothic" w:hAnsi="Century Gothic" w:cstheme="majorHAnsi"/>
                <w:sz w:val="22"/>
                <w:szCs w:val="22"/>
              </w:rPr>
              <w:t>Externo</w:t>
            </w:r>
          </w:p>
        </w:tc>
      </w:tr>
      <w:tr w:rsidR="00F67EF8" w:rsidRPr="00296726" w14:paraId="2F6DA3B0" w14:textId="77777777" w:rsidTr="002369C9">
        <w:trPr>
          <w:trHeight w:val="901"/>
        </w:trPr>
        <w:tc>
          <w:tcPr>
            <w:tcW w:w="4537" w:type="dxa"/>
            <w:vAlign w:val="center"/>
          </w:tcPr>
          <w:p w14:paraId="30599F8A" w14:textId="674A8832" w:rsidR="00F67EF8" w:rsidRPr="00F9277D" w:rsidRDefault="00F67EF8" w:rsidP="003B7F1A">
            <w:pPr>
              <w:spacing w:line="360" w:lineRule="auto"/>
              <w:rPr>
                <w:rFonts w:ascii="Century Gothic" w:hAnsi="Century Gothic" w:cstheme="majorHAnsi"/>
                <w:sz w:val="22"/>
                <w:szCs w:val="22"/>
              </w:rPr>
            </w:pPr>
            <w:r w:rsidRPr="00F9277D">
              <w:rPr>
                <w:rFonts w:ascii="Century Gothic" w:hAnsi="Century Gothic" w:cstheme="majorHAnsi"/>
                <w:b/>
                <w:bCs/>
                <w:sz w:val="22"/>
                <w:szCs w:val="22"/>
              </w:rPr>
              <w:t>Aseguradora vinculada al proceso</w:t>
            </w:r>
          </w:p>
        </w:tc>
        <w:tc>
          <w:tcPr>
            <w:tcW w:w="5670" w:type="dxa"/>
          </w:tcPr>
          <w:p w14:paraId="794A38B0" w14:textId="6F0A4EA0" w:rsidR="00F67EF8" w:rsidRPr="00F9277D" w:rsidRDefault="00B775EB" w:rsidP="00F67EF8">
            <w:pPr>
              <w:spacing w:line="276" w:lineRule="auto"/>
              <w:jc w:val="both"/>
              <w:rPr>
                <w:rFonts w:ascii="Century Gothic" w:hAnsi="Century Gothic" w:cstheme="majorHAnsi"/>
                <w:sz w:val="22"/>
                <w:szCs w:val="22"/>
              </w:rPr>
            </w:pPr>
            <w:r w:rsidRPr="00F9277D">
              <w:rPr>
                <w:rFonts w:ascii="Century Gothic" w:hAnsi="Century Gothic" w:cstheme="majorHAnsi"/>
                <w:sz w:val="22"/>
                <w:szCs w:val="22"/>
              </w:rPr>
              <w:t xml:space="preserve">EQUIDAD SEGUROS </w:t>
            </w:r>
            <w:r w:rsidR="007617DF" w:rsidRPr="00F9277D">
              <w:rPr>
                <w:rFonts w:ascii="Century Gothic" w:hAnsi="Century Gothic" w:cstheme="majorHAnsi"/>
                <w:sz w:val="22"/>
                <w:szCs w:val="22"/>
              </w:rPr>
              <w:t>GENERALES ORGANISMO COOPERATIVO</w:t>
            </w:r>
          </w:p>
        </w:tc>
      </w:tr>
      <w:tr w:rsidR="00F67EF8" w:rsidRPr="00296726" w14:paraId="490540BB" w14:textId="77777777" w:rsidTr="003827E1">
        <w:trPr>
          <w:trHeight w:val="454"/>
        </w:trPr>
        <w:tc>
          <w:tcPr>
            <w:tcW w:w="4537" w:type="dxa"/>
            <w:vAlign w:val="center"/>
          </w:tcPr>
          <w:p w14:paraId="1C2D5235" w14:textId="2B4007F3" w:rsidR="00F67EF8" w:rsidRPr="00F9277D" w:rsidRDefault="00992368"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SGC</w:t>
            </w:r>
          </w:p>
        </w:tc>
        <w:tc>
          <w:tcPr>
            <w:tcW w:w="5670" w:type="dxa"/>
          </w:tcPr>
          <w:p w14:paraId="11B788BC" w14:textId="601977E3" w:rsidR="00F67EF8" w:rsidRPr="00F9277D" w:rsidRDefault="002369C9" w:rsidP="00F67EF8">
            <w:pPr>
              <w:spacing w:line="276" w:lineRule="auto"/>
              <w:jc w:val="both"/>
              <w:rPr>
                <w:rFonts w:ascii="Century Gothic" w:hAnsi="Century Gothic" w:cstheme="majorHAnsi"/>
                <w:sz w:val="22"/>
                <w:szCs w:val="22"/>
              </w:rPr>
            </w:pPr>
            <w:r w:rsidRPr="00F9277D">
              <w:rPr>
                <w:rFonts w:ascii="Century Gothic" w:hAnsi="Century Gothic" w:cstheme="majorHAnsi"/>
                <w:sz w:val="22"/>
                <w:szCs w:val="22"/>
              </w:rPr>
              <w:t>10540</w:t>
            </w:r>
          </w:p>
        </w:tc>
      </w:tr>
      <w:tr w:rsidR="00F67EF8" w:rsidRPr="00296726" w14:paraId="1D86DF69" w14:textId="77777777" w:rsidTr="003827E1">
        <w:trPr>
          <w:trHeight w:val="454"/>
        </w:trPr>
        <w:tc>
          <w:tcPr>
            <w:tcW w:w="4537" w:type="dxa"/>
            <w:vAlign w:val="center"/>
          </w:tcPr>
          <w:p w14:paraId="699114C2" w14:textId="0BB9EC2F" w:rsidR="00F67EF8" w:rsidRPr="00F9277D" w:rsidRDefault="00992368"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Despacho/Juzgado/ Tribunal</w:t>
            </w:r>
          </w:p>
        </w:tc>
        <w:tc>
          <w:tcPr>
            <w:tcW w:w="5670" w:type="dxa"/>
          </w:tcPr>
          <w:p w14:paraId="7DD6339C" w14:textId="27C8A75D" w:rsidR="00F67EF8" w:rsidRPr="00F9277D" w:rsidRDefault="00F76988" w:rsidP="00F67EF8">
            <w:pPr>
              <w:spacing w:line="276" w:lineRule="auto"/>
              <w:jc w:val="both"/>
              <w:rPr>
                <w:rFonts w:ascii="Century Gothic" w:hAnsi="Century Gothic" w:cstheme="majorHAnsi"/>
                <w:sz w:val="22"/>
                <w:szCs w:val="22"/>
              </w:rPr>
            </w:pPr>
            <w:r w:rsidRPr="00F76988">
              <w:rPr>
                <w:rFonts w:ascii="Century Gothic" w:hAnsi="Century Gothic" w:cstheme="majorHAnsi"/>
                <w:sz w:val="22"/>
                <w:szCs w:val="22"/>
              </w:rPr>
              <w:t>JUZGADO PRIMERO (01) CIVIL DEL CIRCUITO DE SALAMINA – CALDAS</w:t>
            </w:r>
          </w:p>
        </w:tc>
      </w:tr>
      <w:tr w:rsidR="00F67EF8" w:rsidRPr="00296726" w14:paraId="54742FD8" w14:textId="77777777" w:rsidTr="003827E1">
        <w:trPr>
          <w:trHeight w:val="454"/>
        </w:trPr>
        <w:tc>
          <w:tcPr>
            <w:tcW w:w="4537" w:type="dxa"/>
            <w:vAlign w:val="center"/>
          </w:tcPr>
          <w:p w14:paraId="5A357CCF" w14:textId="3C7FFC83" w:rsidR="00F67EF8" w:rsidRPr="00F9277D" w:rsidRDefault="00992368"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 xml:space="preserve">Ciudad </w:t>
            </w:r>
          </w:p>
        </w:tc>
        <w:tc>
          <w:tcPr>
            <w:tcW w:w="5670" w:type="dxa"/>
          </w:tcPr>
          <w:p w14:paraId="5101FDD8" w14:textId="75356922" w:rsidR="00F67EF8" w:rsidRPr="00F9277D" w:rsidRDefault="00F76988" w:rsidP="00F67EF8">
            <w:pPr>
              <w:spacing w:line="276" w:lineRule="auto"/>
              <w:jc w:val="both"/>
              <w:rPr>
                <w:rFonts w:ascii="Century Gothic" w:hAnsi="Century Gothic" w:cstheme="majorHAnsi"/>
                <w:sz w:val="22"/>
                <w:szCs w:val="22"/>
              </w:rPr>
            </w:pPr>
            <w:r>
              <w:rPr>
                <w:rFonts w:ascii="Century Gothic" w:hAnsi="Century Gothic" w:cstheme="majorHAnsi"/>
                <w:sz w:val="22"/>
                <w:szCs w:val="22"/>
              </w:rPr>
              <w:t>SALAMINA</w:t>
            </w:r>
          </w:p>
        </w:tc>
      </w:tr>
      <w:tr w:rsidR="00992368" w:rsidRPr="00296726" w14:paraId="3983A9CE" w14:textId="77777777" w:rsidTr="003827E1">
        <w:trPr>
          <w:trHeight w:val="454"/>
        </w:trPr>
        <w:tc>
          <w:tcPr>
            <w:tcW w:w="4537" w:type="dxa"/>
            <w:vAlign w:val="center"/>
          </w:tcPr>
          <w:p w14:paraId="7EC7EF81" w14:textId="3CF9A0A9" w:rsidR="00992368" w:rsidRPr="00F9277D" w:rsidRDefault="008E249B"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Radicado completo 23 dígitos</w:t>
            </w:r>
          </w:p>
        </w:tc>
        <w:tc>
          <w:tcPr>
            <w:tcW w:w="5670" w:type="dxa"/>
          </w:tcPr>
          <w:p w14:paraId="573C25D1" w14:textId="6AB0AB23" w:rsidR="00992368" w:rsidRPr="00F9277D" w:rsidRDefault="00F76988" w:rsidP="00F67EF8">
            <w:pPr>
              <w:spacing w:line="276" w:lineRule="auto"/>
              <w:jc w:val="both"/>
              <w:rPr>
                <w:rFonts w:ascii="Century Gothic" w:hAnsi="Century Gothic" w:cstheme="majorHAnsi"/>
                <w:sz w:val="22"/>
                <w:szCs w:val="22"/>
              </w:rPr>
            </w:pPr>
            <w:r w:rsidRPr="00F76988">
              <w:rPr>
                <w:rFonts w:ascii="Century Gothic" w:hAnsi="Century Gothic" w:cs="Arial"/>
                <w:iCs/>
                <w:sz w:val="22"/>
                <w:szCs w:val="22"/>
              </w:rPr>
              <w:t>176533112001-2021-00100-00</w:t>
            </w:r>
          </w:p>
        </w:tc>
      </w:tr>
      <w:tr w:rsidR="00992368" w:rsidRPr="00296726" w14:paraId="4A0D8041" w14:textId="77777777" w:rsidTr="003827E1">
        <w:trPr>
          <w:trHeight w:val="454"/>
        </w:trPr>
        <w:tc>
          <w:tcPr>
            <w:tcW w:w="4537" w:type="dxa"/>
            <w:vAlign w:val="center"/>
          </w:tcPr>
          <w:p w14:paraId="6BA2EEB5" w14:textId="7369F36B" w:rsidR="00992368" w:rsidRPr="00F9277D" w:rsidRDefault="00B2787D"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Fecha de notificación</w:t>
            </w:r>
          </w:p>
        </w:tc>
        <w:tc>
          <w:tcPr>
            <w:tcW w:w="5670" w:type="dxa"/>
          </w:tcPr>
          <w:p w14:paraId="64AC88EB" w14:textId="7B8BA886" w:rsidR="00992368" w:rsidRPr="00F9277D" w:rsidRDefault="00F76988" w:rsidP="00F67EF8">
            <w:pPr>
              <w:spacing w:line="276" w:lineRule="auto"/>
              <w:jc w:val="both"/>
              <w:rPr>
                <w:rFonts w:ascii="Century Gothic" w:hAnsi="Century Gothic" w:cstheme="majorHAnsi"/>
                <w:sz w:val="22"/>
                <w:szCs w:val="22"/>
              </w:rPr>
            </w:pPr>
            <w:r>
              <w:rPr>
                <w:rFonts w:ascii="Century Gothic" w:hAnsi="Century Gothic" w:cstheme="majorHAnsi"/>
                <w:sz w:val="22"/>
                <w:szCs w:val="22"/>
              </w:rPr>
              <w:t>29/04/2025</w:t>
            </w:r>
          </w:p>
        </w:tc>
      </w:tr>
      <w:tr w:rsidR="00992368" w:rsidRPr="00296726" w14:paraId="028BDD81" w14:textId="77777777" w:rsidTr="003827E1">
        <w:trPr>
          <w:trHeight w:val="454"/>
        </w:trPr>
        <w:tc>
          <w:tcPr>
            <w:tcW w:w="4537" w:type="dxa"/>
            <w:vAlign w:val="center"/>
          </w:tcPr>
          <w:p w14:paraId="74AA3CB7" w14:textId="0154798B" w:rsidR="00992368" w:rsidRPr="00F9277D" w:rsidRDefault="00B2787D"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Fecha vencimiento del término</w:t>
            </w:r>
          </w:p>
        </w:tc>
        <w:tc>
          <w:tcPr>
            <w:tcW w:w="5670" w:type="dxa"/>
          </w:tcPr>
          <w:p w14:paraId="41E82979" w14:textId="31EDA810" w:rsidR="00921F19" w:rsidRPr="00F9277D" w:rsidRDefault="00F76988" w:rsidP="00F67EF8">
            <w:pPr>
              <w:spacing w:line="276" w:lineRule="auto"/>
              <w:jc w:val="both"/>
              <w:rPr>
                <w:rFonts w:ascii="Century Gothic" w:hAnsi="Century Gothic" w:cstheme="majorHAnsi"/>
                <w:sz w:val="22"/>
                <w:szCs w:val="22"/>
              </w:rPr>
            </w:pPr>
            <w:r>
              <w:rPr>
                <w:rFonts w:ascii="Century Gothic" w:hAnsi="Century Gothic" w:cstheme="majorHAnsi"/>
                <w:sz w:val="22"/>
                <w:szCs w:val="22"/>
              </w:rPr>
              <w:t>14705/2025</w:t>
            </w:r>
          </w:p>
        </w:tc>
      </w:tr>
    </w:tbl>
    <w:p w14:paraId="619AE562" w14:textId="77777777" w:rsidR="00BA1E5F" w:rsidRPr="00F9277D" w:rsidRDefault="00BA1E5F">
      <w:pPr>
        <w:rPr>
          <w:rFonts w:ascii="Century Gothic" w:hAnsi="Century Gothic" w:cstheme="majorHAnsi"/>
          <w:sz w:val="22"/>
          <w:szCs w:val="22"/>
        </w:rPr>
      </w:pPr>
    </w:p>
    <w:p w14:paraId="64A76143" w14:textId="77777777" w:rsidR="00BA1E5F" w:rsidRPr="00F9277D" w:rsidRDefault="00BA1E5F">
      <w:pPr>
        <w:rPr>
          <w:rFonts w:ascii="Century Gothic" w:hAnsi="Century Gothic" w:cstheme="majorHAnsi"/>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296726" w14:paraId="55765E90" w14:textId="77777777" w:rsidTr="0095378E">
        <w:tc>
          <w:tcPr>
            <w:tcW w:w="10207" w:type="dxa"/>
            <w:shd w:val="clear" w:color="auto" w:fill="C5E0B3" w:themeFill="accent6" w:themeFillTint="66"/>
            <w:vAlign w:val="center"/>
          </w:tcPr>
          <w:p w14:paraId="7B465D4D" w14:textId="5CAE6B68" w:rsidR="00B2787D" w:rsidRPr="00F9277D" w:rsidRDefault="00B2787D" w:rsidP="00B2787D">
            <w:pPr>
              <w:spacing w:line="276" w:lineRule="auto"/>
              <w:jc w:val="center"/>
              <w:rPr>
                <w:rFonts w:ascii="Century Gothic" w:hAnsi="Century Gothic" w:cstheme="majorHAnsi"/>
                <w:sz w:val="22"/>
                <w:szCs w:val="22"/>
              </w:rPr>
            </w:pPr>
            <w:r w:rsidRPr="00F9277D">
              <w:rPr>
                <w:rFonts w:ascii="Century Gothic" w:hAnsi="Century Gothic" w:cstheme="majorHAnsi"/>
                <w:b/>
                <w:bCs/>
                <w:sz w:val="22"/>
                <w:szCs w:val="22"/>
              </w:rPr>
              <w:t>Hechos</w:t>
            </w:r>
            <w:r w:rsidR="007C37D7" w:rsidRPr="00F9277D">
              <w:rPr>
                <w:rFonts w:ascii="Century Gothic" w:hAnsi="Century Gothic" w:cstheme="majorHAnsi"/>
                <w:b/>
                <w:bCs/>
                <w:sz w:val="22"/>
                <w:szCs w:val="22"/>
              </w:rPr>
              <w:t xml:space="preserve"> </w:t>
            </w:r>
            <w:r w:rsidR="007C37D7" w:rsidRPr="00F9277D">
              <w:rPr>
                <w:rFonts w:ascii="Century Gothic" w:hAnsi="Century Gothic" w:cstheme="majorHAnsi"/>
                <w:sz w:val="22"/>
                <w:szCs w:val="22"/>
              </w:rPr>
              <w:t>(haga un relato conciso y preciso de las circunstancias que rodearon el siniestro, tales como fecha, lugar de los hechos, partes involucrados, póliza, lesiones y/o secuelas)</w:t>
            </w:r>
          </w:p>
        </w:tc>
      </w:tr>
      <w:tr w:rsidR="00B2787D" w:rsidRPr="00296726" w14:paraId="59EA92D0" w14:textId="77777777" w:rsidTr="006056E7">
        <w:tc>
          <w:tcPr>
            <w:tcW w:w="10207" w:type="dxa"/>
            <w:vAlign w:val="center"/>
          </w:tcPr>
          <w:p w14:paraId="4A69193D" w14:textId="4F370DCE" w:rsidR="00E125A5" w:rsidRPr="00F9277D" w:rsidRDefault="00E125A5" w:rsidP="0053061A">
            <w:pPr>
              <w:spacing w:line="276" w:lineRule="auto"/>
              <w:jc w:val="both"/>
              <w:rPr>
                <w:rFonts w:ascii="Century Gothic" w:hAnsi="Century Gothic" w:cstheme="majorHAnsi"/>
                <w:sz w:val="22"/>
                <w:szCs w:val="22"/>
              </w:rPr>
            </w:pPr>
            <w:r>
              <w:rPr>
                <w:rFonts w:ascii="Century Gothic" w:hAnsi="Century Gothic" w:cstheme="majorHAnsi"/>
                <w:sz w:val="22"/>
                <w:szCs w:val="22"/>
              </w:rPr>
              <w:t xml:space="preserve">Se trata de un proceso ejecutivo </w:t>
            </w:r>
            <w:r w:rsidR="00323E3A">
              <w:rPr>
                <w:rFonts w:ascii="Century Gothic" w:hAnsi="Century Gothic" w:cstheme="majorHAnsi"/>
                <w:sz w:val="22"/>
                <w:szCs w:val="22"/>
              </w:rPr>
              <w:t xml:space="preserve">a continuación de declarativo, con el </w:t>
            </w:r>
            <w:r>
              <w:rPr>
                <w:rFonts w:ascii="Century Gothic" w:hAnsi="Century Gothic" w:cstheme="majorHAnsi"/>
                <w:sz w:val="22"/>
                <w:szCs w:val="22"/>
              </w:rPr>
              <w:t xml:space="preserve">que </w:t>
            </w:r>
            <w:r w:rsidR="00323E3A">
              <w:rPr>
                <w:rFonts w:ascii="Century Gothic" w:hAnsi="Century Gothic" w:cstheme="majorHAnsi"/>
                <w:sz w:val="22"/>
                <w:szCs w:val="22"/>
              </w:rPr>
              <w:t xml:space="preserve">se </w:t>
            </w:r>
            <w:r>
              <w:rPr>
                <w:rFonts w:ascii="Century Gothic" w:hAnsi="Century Gothic" w:cstheme="majorHAnsi"/>
                <w:sz w:val="22"/>
                <w:szCs w:val="22"/>
              </w:rPr>
              <w:t xml:space="preserve">pretende el pago </w:t>
            </w:r>
            <w:r w:rsidR="00323E3A">
              <w:rPr>
                <w:rFonts w:ascii="Century Gothic" w:hAnsi="Century Gothic" w:cstheme="majorHAnsi"/>
                <w:sz w:val="22"/>
                <w:szCs w:val="22"/>
              </w:rPr>
              <w:t xml:space="preserve">de la condena impuesta frente a </w:t>
            </w:r>
            <w:r w:rsidR="0053061A" w:rsidRPr="0053061A">
              <w:rPr>
                <w:rFonts w:ascii="Century Gothic" w:hAnsi="Century Gothic" w:cstheme="majorHAnsi"/>
                <w:sz w:val="22"/>
                <w:szCs w:val="22"/>
              </w:rPr>
              <w:t xml:space="preserve">RAMIRO DIAZ MONTOYA, LUZ ELENA RAMIREZ SALDARRIAGA, y EXPRESO SIDERAL </w:t>
            </w:r>
            <w:r w:rsidR="00323E3A">
              <w:rPr>
                <w:rFonts w:ascii="Century Gothic" w:hAnsi="Century Gothic" w:cstheme="majorHAnsi"/>
                <w:sz w:val="22"/>
                <w:szCs w:val="22"/>
              </w:rPr>
              <w:t xml:space="preserve">y como garante a </w:t>
            </w:r>
            <w:r w:rsidR="00323E3A" w:rsidRPr="00F76988">
              <w:rPr>
                <w:rFonts w:ascii="Century Gothic" w:hAnsi="Century Gothic" w:cstheme="majorHAnsi"/>
                <w:sz w:val="22"/>
                <w:szCs w:val="22"/>
              </w:rPr>
              <w:t>E</w:t>
            </w:r>
            <w:r w:rsidR="00323E3A">
              <w:rPr>
                <w:rFonts w:ascii="Century Gothic" w:hAnsi="Century Gothic" w:cstheme="majorHAnsi"/>
                <w:sz w:val="22"/>
                <w:szCs w:val="22"/>
              </w:rPr>
              <w:t>quidad</w:t>
            </w:r>
            <w:r w:rsidR="00323E3A" w:rsidRPr="00F76988">
              <w:rPr>
                <w:rFonts w:ascii="Century Gothic" w:hAnsi="Century Gothic" w:cstheme="majorHAnsi"/>
                <w:sz w:val="22"/>
                <w:szCs w:val="22"/>
              </w:rPr>
              <w:t xml:space="preserve"> </w:t>
            </w:r>
            <w:r w:rsidRPr="00F76988">
              <w:rPr>
                <w:rFonts w:ascii="Century Gothic" w:hAnsi="Century Gothic" w:cstheme="majorHAnsi"/>
                <w:sz w:val="22"/>
                <w:szCs w:val="22"/>
              </w:rPr>
              <w:t xml:space="preserve">Seguros Generales </w:t>
            </w:r>
            <w:r w:rsidR="0053061A">
              <w:rPr>
                <w:rFonts w:ascii="Century Gothic" w:hAnsi="Century Gothic" w:cstheme="majorHAnsi"/>
                <w:sz w:val="22"/>
                <w:szCs w:val="22"/>
              </w:rPr>
              <w:t>O.C</w:t>
            </w:r>
            <w:r w:rsidRPr="00F76988">
              <w:rPr>
                <w:rFonts w:ascii="Century Gothic" w:hAnsi="Century Gothic" w:cstheme="majorHAnsi"/>
                <w:sz w:val="22"/>
                <w:szCs w:val="22"/>
              </w:rPr>
              <w:t xml:space="preserve">. </w:t>
            </w:r>
            <w:r w:rsidR="00323E3A">
              <w:rPr>
                <w:rFonts w:ascii="Century Gothic" w:hAnsi="Century Gothic" w:cstheme="majorHAnsi"/>
                <w:sz w:val="22"/>
                <w:szCs w:val="22"/>
              </w:rPr>
              <w:t>en</w:t>
            </w:r>
            <w:r w:rsidR="0053061A">
              <w:rPr>
                <w:rFonts w:ascii="Century Gothic" w:hAnsi="Century Gothic" w:cstheme="majorHAnsi"/>
                <w:sz w:val="22"/>
                <w:szCs w:val="22"/>
              </w:rPr>
              <w:t xml:space="preserve"> Auto proferido el 28 de abril de 2025, notificado el 29 de abril del mismo año</w:t>
            </w:r>
            <w:r w:rsidR="00323E3A">
              <w:rPr>
                <w:rFonts w:ascii="Century Gothic" w:hAnsi="Century Gothic" w:cstheme="majorHAnsi"/>
                <w:sz w:val="22"/>
                <w:szCs w:val="22"/>
              </w:rPr>
              <w:t xml:space="preserve">. Frente a Equidad Seguros Generales O.C., se solicitó se librara mandamiento de pago </w:t>
            </w:r>
            <w:r w:rsidRPr="00F76988">
              <w:rPr>
                <w:rFonts w:ascii="Century Gothic" w:hAnsi="Century Gothic" w:cstheme="majorHAnsi"/>
                <w:sz w:val="22"/>
                <w:szCs w:val="22"/>
              </w:rPr>
              <w:t xml:space="preserve">por </w:t>
            </w:r>
            <w:r w:rsidR="00323E3A" w:rsidRPr="00F76988">
              <w:rPr>
                <w:rFonts w:ascii="Century Gothic" w:hAnsi="Century Gothic" w:cstheme="majorHAnsi"/>
                <w:sz w:val="22"/>
                <w:szCs w:val="22"/>
              </w:rPr>
              <w:t>la suma</w:t>
            </w:r>
            <w:r w:rsidR="00323E3A">
              <w:rPr>
                <w:rFonts w:ascii="Century Gothic" w:hAnsi="Century Gothic" w:cstheme="majorHAnsi"/>
                <w:sz w:val="22"/>
                <w:szCs w:val="22"/>
              </w:rPr>
              <w:t xml:space="preserve"> que corresponde al </w:t>
            </w:r>
            <w:r w:rsidRPr="00F76988">
              <w:rPr>
                <w:rFonts w:ascii="Century Gothic" w:hAnsi="Century Gothic" w:cstheme="majorHAnsi"/>
                <w:sz w:val="22"/>
                <w:szCs w:val="22"/>
              </w:rPr>
              <w:t xml:space="preserve">límite del valor asegurado - de 60 SMMLV del 2017,-, </w:t>
            </w:r>
            <w:r w:rsidR="00323E3A">
              <w:rPr>
                <w:rFonts w:ascii="Century Gothic" w:hAnsi="Century Gothic" w:cstheme="majorHAnsi"/>
                <w:sz w:val="22"/>
                <w:szCs w:val="22"/>
              </w:rPr>
              <w:t>que afectó</w:t>
            </w:r>
            <w:r w:rsidR="00323E3A" w:rsidRPr="00F76988">
              <w:rPr>
                <w:rFonts w:ascii="Century Gothic" w:hAnsi="Century Gothic" w:cstheme="majorHAnsi"/>
                <w:sz w:val="22"/>
                <w:szCs w:val="22"/>
              </w:rPr>
              <w:t xml:space="preserve"> </w:t>
            </w:r>
            <w:r w:rsidRPr="00F76988">
              <w:rPr>
                <w:rFonts w:ascii="Century Gothic" w:hAnsi="Century Gothic" w:cstheme="majorHAnsi"/>
                <w:sz w:val="22"/>
                <w:szCs w:val="22"/>
              </w:rPr>
              <w:t>la póliza de responsabilidad contractual AA009781, después del deducible pactado - si hubiere lugar a ello-, esto es por $44.263.020</w:t>
            </w:r>
          </w:p>
          <w:p w14:paraId="6169F581" w14:textId="77777777" w:rsidR="00E125A5" w:rsidRDefault="00E125A5" w:rsidP="00F76988">
            <w:pPr>
              <w:spacing w:line="276" w:lineRule="auto"/>
              <w:jc w:val="both"/>
              <w:rPr>
                <w:rFonts w:ascii="Century Gothic" w:hAnsi="Century Gothic" w:cstheme="majorHAnsi"/>
                <w:sz w:val="22"/>
                <w:szCs w:val="22"/>
              </w:rPr>
            </w:pPr>
          </w:p>
          <w:p w14:paraId="285181BA" w14:textId="38FC3CAA" w:rsidR="00B2787D" w:rsidRPr="00F9277D" w:rsidRDefault="00F76988" w:rsidP="00323E3A">
            <w:pPr>
              <w:spacing w:line="276" w:lineRule="auto"/>
              <w:jc w:val="both"/>
              <w:rPr>
                <w:rFonts w:ascii="Century Gothic" w:hAnsi="Century Gothic" w:cstheme="majorHAnsi"/>
                <w:sz w:val="22"/>
                <w:szCs w:val="22"/>
              </w:rPr>
            </w:pPr>
            <w:r>
              <w:rPr>
                <w:rFonts w:ascii="Century Gothic" w:hAnsi="Century Gothic" w:cstheme="majorHAnsi"/>
                <w:sz w:val="22"/>
                <w:szCs w:val="22"/>
              </w:rPr>
              <w:t xml:space="preserve">El día 28 de abril de 2025 el JUZGADO </w:t>
            </w:r>
            <w:r w:rsidRPr="00F76988">
              <w:rPr>
                <w:rFonts w:ascii="Century Gothic" w:hAnsi="Century Gothic" w:cstheme="majorHAnsi"/>
                <w:sz w:val="22"/>
                <w:szCs w:val="22"/>
              </w:rPr>
              <w:t>PRIMERO (01) CIVIL DEL CIRCUITO DE SALAMINA – CALDAS</w:t>
            </w:r>
            <w:r>
              <w:rPr>
                <w:rFonts w:ascii="Century Gothic" w:hAnsi="Century Gothic" w:cstheme="majorHAnsi"/>
                <w:sz w:val="22"/>
                <w:szCs w:val="22"/>
              </w:rPr>
              <w:t xml:space="preserve"> Ordenó L</w:t>
            </w:r>
            <w:r w:rsidRPr="00F76988">
              <w:rPr>
                <w:rFonts w:ascii="Century Gothic" w:hAnsi="Century Gothic" w:cstheme="majorHAnsi"/>
                <w:sz w:val="22"/>
                <w:szCs w:val="22"/>
              </w:rPr>
              <w:t>IBRAR MANDAMIENTO DE PAGO contra la EQUIDAD Seguros Generales S.A. por las sumas ordenadas indemnizar solo hasta el límite del valor asegurado - de 60 SMMLV del 2017,-, de la póliza de responsabilidad contractual AA009781, después del deducible pactado - si hubiere lugar a ello-, esto es por $44.263.020.</w:t>
            </w:r>
          </w:p>
        </w:tc>
      </w:tr>
    </w:tbl>
    <w:p w14:paraId="20C76EE3" w14:textId="77777777" w:rsidR="003827E1" w:rsidRPr="00F9277D" w:rsidRDefault="003827E1">
      <w:pPr>
        <w:rPr>
          <w:rFonts w:ascii="Century Gothic" w:hAnsi="Century Gothic" w:cstheme="majorHAnsi"/>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296726" w14:paraId="2BD14B8D" w14:textId="77777777" w:rsidTr="0095378E">
        <w:tc>
          <w:tcPr>
            <w:tcW w:w="10207" w:type="dxa"/>
            <w:gridSpan w:val="2"/>
            <w:shd w:val="clear" w:color="auto" w:fill="C5E0B3" w:themeFill="accent6" w:themeFillTint="66"/>
            <w:vAlign w:val="center"/>
          </w:tcPr>
          <w:p w14:paraId="00111EA5" w14:textId="08575358" w:rsidR="007C37D7" w:rsidRPr="00F9277D" w:rsidRDefault="007C37D7" w:rsidP="007C37D7">
            <w:pPr>
              <w:spacing w:line="276" w:lineRule="auto"/>
              <w:jc w:val="center"/>
              <w:rPr>
                <w:rFonts w:ascii="Century Gothic" w:hAnsi="Century Gothic" w:cstheme="majorHAnsi"/>
                <w:sz w:val="22"/>
                <w:szCs w:val="22"/>
              </w:rPr>
            </w:pPr>
            <w:r w:rsidRPr="00F9277D">
              <w:rPr>
                <w:rFonts w:ascii="Century Gothic" w:hAnsi="Century Gothic" w:cstheme="majorHAnsi"/>
                <w:b/>
                <w:bCs/>
                <w:sz w:val="22"/>
                <w:szCs w:val="22"/>
              </w:rPr>
              <w:t xml:space="preserve">Pretensiones </w:t>
            </w:r>
            <w:r w:rsidRPr="00F9277D">
              <w:rPr>
                <w:rFonts w:ascii="Century Gothic" w:hAnsi="Century Gothic" w:cstheme="majorHAnsi"/>
                <w:sz w:val="22"/>
                <w:szCs w:val="22"/>
              </w:rPr>
              <w:t>(haga un relato o enliste las pretensiones de la demanda/llamamiento en garantía)</w:t>
            </w:r>
          </w:p>
        </w:tc>
      </w:tr>
      <w:tr w:rsidR="007C37D7" w:rsidRPr="00296726" w14:paraId="2B7256CB" w14:textId="77777777" w:rsidTr="006056E7">
        <w:tc>
          <w:tcPr>
            <w:tcW w:w="10207" w:type="dxa"/>
            <w:gridSpan w:val="2"/>
            <w:vAlign w:val="center"/>
          </w:tcPr>
          <w:p w14:paraId="0CFD4ACC" w14:textId="30E3FCC5" w:rsidR="00FD53B3" w:rsidRPr="00F9277D" w:rsidRDefault="00C31BAC" w:rsidP="0053061A">
            <w:pPr>
              <w:spacing w:line="276" w:lineRule="auto"/>
              <w:jc w:val="both"/>
              <w:rPr>
                <w:rFonts w:ascii="Century Gothic" w:hAnsi="Century Gothic" w:cstheme="majorHAnsi"/>
                <w:sz w:val="22"/>
                <w:szCs w:val="22"/>
              </w:rPr>
            </w:pPr>
            <w:r w:rsidRPr="00C31BAC">
              <w:rPr>
                <w:rFonts w:ascii="Century Gothic" w:hAnsi="Century Gothic" w:cstheme="majorHAnsi"/>
                <w:sz w:val="22"/>
                <w:szCs w:val="22"/>
              </w:rPr>
              <w:t>Se libre mandamiento de pago a cargo de la Sociedad Equidad Seguros Generales S.A., por la suma de 60 SMLMV del 2017, equivalente a Cuarenta y cuatro millones doscientos sesenta y tres mil veinte pesos ($44.263.020)</w:t>
            </w:r>
            <w:r>
              <w:rPr>
                <w:rFonts w:ascii="Century Gothic" w:hAnsi="Century Gothic" w:cstheme="majorHAnsi"/>
                <w:sz w:val="22"/>
                <w:szCs w:val="22"/>
              </w:rPr>
              <w:t>.</w:t>
            </w:r>
          </w:p>
          <w:p w14:paraId="77C06868" w14:textId="77777777" w:rsidR="00FD53B3" w:rsidRPr="00F9277D" w:rsidRDefault="00FD53B3" w:rsidP="007C37D7">
            <w:pPr>
              <w:spacing w:line="276" w:lineRule="auto"/>
              <w:jc w:val="center"/>
              <w:rPr>
                <w:rFonts w:ascii="Century Gothic" w:hAnsi="Century Gothic" w:cstheme="majorHAnsi"/>
                <w:sz w:val="22"/>
                <w:szCs w:val="22"/>
              </w:rPr>
            </w:pPr>
          </w:p>
        </w:tc>
      </w:tr>
      <w:tr w:rsidR="00992368" w:rsidRPr="00296726" w14:paraId="50D1C7A7" w14:textId="77777777" w:rsidTr="003827E1">
        <w:trPr>
          <w:trHeight w:val="510"/>
        </w:trPr>
        <w:tc>
          <w:tcPr>
            <w:tcW w:w="4537" w:type="dxa"/>
            <w:vAlign w:val="center"/>
          </w:tcPr>
          <w:p w14:paraId="013247F4" w14:textId="68D4118C" w:rsidR="00992368" w:rsidRPr="00F9277D" w:rsidRDefault="001E1616"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lastRenderedPageBreak/>
              <w:t xml:space="preserve">Valor total de las pretensiones </w:t>
            </w:r>
          </w:p>
        </w:tc>
        <w:tc>
          <w:tcPr>
            <w:tcW w:w="5670" w:type="dxa"/>
            <w:vAlign w:val="center"/>
          </w:tcPr>
          <w:p w14:paraId="00FEFA37" w14:textId="4EF4D365" w:rsidR="00992368" w:rsidRPr="00F9277D" w:rsidRDefault="009B124E" w:rsidP="003827E1">
            <w:pPr>
              <w:spacing w:line="276" w:lineRule="auto"/>
              <w:rPr>
                <w:rFonts w:ascii="Century Gothic" w:hAnsi="Century Gothic" w:cstheme="majorHAnsi"/>
                <w:sz w:val="22"/>
                <w:szCs w:val="22"/>
              </w:rPr>
            </w:pPr>
            <w:r>
              <w:rPr>
                <w:rFonts w:ascii="Century Gothic" w:hAnsi="Century Gothic" w:cstheme="majorHAnsi"/>
                <w:sz w:val="22"/>
                <w:szCs w:val="22"/>
              </w:rPr>
              <w:t>N/A</w:t>
            </w:r>
          </w:p>
        </w:tc>
      </w:tr>
      <w:tr w:rsidR="00992368" w:rsidRPr="00296726" w14:paraId="668F9413" w14:textId="77777777" w:rsidTr="003827E1">
        <w:trPr>
          <w:trHeight w:val="510"/>
        </w:trPr>
        <w:tc>
          <w:tcPr>
            <w:tcW w:w="4537" w:type="dxa"/>
            <w:vAlign w:val="center"/>
          </w:tcPr>
          <w:p w14:paraId="34E17619" w14:textId="7EF66606" w:rsidR="00992368" w:rsidRPr="00F9277D" w:rsidRDefault="00FD53B3" w:rsidP="003B7F1A">
            <w:pPr>
              <w:spacing w:line="276" w:lineRule="auto"/>
              <w:rPr>
                <w:rFonts w:ascii="Century Gothic" w:hAnsi="Century Gothic" w:cstheme="majorHAnsi"/>
                <w:b/>
                <w:bCs/>
                <w:sz w:val="22"/>
                <w:szCs w:val="22"/>
              </w:rPr>
            </w:pPr>
            <w:r w:rsidRPr="00F9277D">
              <w:rPr>
                <w:rFonts w:ascii="Century Gothic" w:hAnsi="Century Gothic" w:cstheme="majorHAnsi"/>
                <w:b/>
                <w:bCs/>
                <w:sz w:val="22"/>
                <w:szCs w:val="22"/>
              </w:rPr>
              <w:t>Valor total de las pretensiones objetivadas</w:t>
            </w:r>
          </w:p>
        </w:tc>
        <w:tc>
          <w:tcPr>
            <w:tcW w:w="5670" w:type="dxa"/>
            <w:vAlign w:val="center"/>
          </w:tcPr>
          <w:p w14:paraId="487C6084" w14:textId="092C9589" w:rsidR="00992368" w:rsidRPr="00F9277D" w:rsidRDefault="006908D7" w:rsidP="003436B9">
            <w:pPr>
              <w:spacing w:line="276" w:lineRule="auto"/>
              <w:rPr>
                <w:rFonts w:ascii="Century Gothic" w:hAnsi="Century Gothic" w:cstheme="majorHAnsi"/>
                <w:sz w:val="22"/>
                <w:szCs w:val="22"/>
              </w:rPr>
            </w:pPr>
            <w:r w:rsidRPr="00F9277D">
              <w:rPr>
                <w:rFonts w:ascii="Century Gothic" w:hAnsi="Century Gothic" w:cstheme="majorHAnsi"/>
                <w:sz w:val="22"/>
                <w:szCs w:val="22"/>
                <w:lang w:val="es-CO"/>
              </w:rPr>
              <w:t>$</w:t>
            </w:r>
            <w:r w:rsidR="00C81421">
              <w:rPr>
                <w:rFonts w:ascii="Century Gothic" w:hAnsi="Century Gothic" w:cstheme="majorHAnsi"/>
                <w:sz w:val="22"/>
                <w:szCs w:val="22"/>
                <w:lang w:val="es-CO"/>
              </w:rPr>
              <w:t>00.00</w:t>
            </w:r>
          </w:p>
        </w:tc>
      </w:tr>
    </w:tbl>
    <w:p w14:paraId="146E9C6D" w14:textId="77777777" w:rsidR="0095378E" w:rsidRPr="00F9277D" w:rsidRDefault="0095378E">
      <w:pPr>
        <w:rPr>
          <w:rFonts w:ascii="Century Gothic" w:hAnsi="Century Gothic" w:cstheme="majorHAnsi"/>
          <w:sz w:val="22"/>
          <w:szCs w:val="22"/>
        </w:rPr>
      </w:pPr>
    </w:p>
    <w:tbl>
      <w:tblPr>
        <w:tblStyle w:val="Tablaconcuadrcula"/>
        <w:tblW w:w="9990" w:type="dxa"/>
        <w:tblInd w:w="-431" w:type="dxa"/>
        <w:tblLook w:val="04A0" w:firstRow="1" w:lastRow="0" w:firstColumn="1" w:lastColumn="0" w:noHBand="0" w:noVBand="1"/>
      </w:tblPr>
      <w:tblGrid>
        <w:gridCol w:w="9990"/>
      </w:tblGrid>
      <w:tr w:rsidR="00E802BC" w:rsidRPr="00296726" w14:paraId="77F9F71B" w14:textId="77777777" w:rsidTr="009B124E">
        <w:trPr>
          <w:trHeight w:val="211"/>
        </w:trPr>
        <w:tc>
          <w:tcPr>
            <w:tcW w:w="9990" w:type="dxa"/>
            <w:shd w:val="clear" w:color="auto" w:fill="C5E0B3" w:themeFill="accent6" w:themeFillTint="66"/>
            <w:vAlign w:val="center"/>
          </w:tcPr>
          <w:p w14:paraId="10E33877" w14:textId="0E982702" w:rsidR="00E802BC" w:rsidRPr="00F9277D" w:rsidRDefault="00E802BC" w:rsidP="00E802BC">
            <w:pPr>
              <w:spacing w:line="276" w:lineRule="auto"/>
              <w:jc w:val="center"/>
              <w:rPr>
                <w:rFonts w:ascii="Century Gothic" w:hAnsi="Century Gothic" w:cstheme="majorHAnsi"/>
                <w:sz w:val="22"/>
                <w:szCs w:val="22"/>
              </w:rPr>
            </w:pPr>
            <w:r w:rsidRPr="00F9277D">
              <w:rPr>
                <w:rFonts w:ascii="Century Gothic" w:hAnsi="Century Gothic" w:cstheme="majorHAnsi"/>
                <w:b/>
                <w:bCs/>
                <w:sz w:val="22"/>
                <w:szCs w:val="22"/>
              </w:rPr>
              <w:t>Liquidación de las pretensiones objetivadas</w:t>
            </w:r>
          </w:p>
        </w:tc>
      </w:tr>
      <w:tr w:rsidR="003436B9" w:rsidRPr="00296726" w14:paraId="33786C43" w14:textId="77777777" w:rsidTr="009B124E">
        <w:trPr>
          <w:trHeight w:val="1176"/>
        </w:trPr>
        <w:tc>
          <w:tcPr>
            <w:tcW w:w="9990" w:type="dxa"/>
            <w:vAlign w:val="center"/>
          </w:tcPr>
          <w:p w14:paraId="2F74B541" w14:textId="4E06A518" w:rsidR="0041440F" w:rsidRDefault="00323E3A" w:rsidP="0053061A">
            <w:pPr>
              <w:pStyle w:val="Sangra2detindependiente"/>
              <w:spacing w:after="0" w:line="276" w:lineRule="auto"/>
              <w:ind w:left="0"/>
              <w:jc w:val="both"/>
              <w:rPr>
                <w:rFonts w:ascii="Century Gothic" w:hAnsi="Century Gothic" w:cstheme="majorHAnsi"/>
                <w:color w:val="000000" w:themeColor="text1"/>
                <w:sz w:val="22"/>
                <w:szCs w:val="22"/>
              </w:rPr>
            </w:pPr>
            <w:r>
              <w:rPr>
                <w:rFonts w:ascii="Century Gothic" w:hAnsi="Century Gothic" w:cstheme="majorHAnsi"/>
                <w:color w:val="000000" w:themeColor="text1"/>
                <w:sz w:val="22"/>
                <w:szCs w:val="22"/>
              </w:rPr>
              <w:t>La liquidación objetiva de las pretensiones de tasa en $0 teniendo en cuenta los siguientes motivos:</w:t>
            </w:r>
            <w:r>
              <w:rPr>
                <w:rFonts w:ascii="Century Gothic" w:hAnsi="Century Gothic" w:cstheme="majorHAnsi"/>
                <w:color w:val="000000" w:themeColor="text1"/>
                <w:sz w:val="22"/>
                <w:szCs w:val="22"/>
              </w:rPr>
              <w:br/>
            </w:r>
            <w:r>
              <w:rPr>
                <w:rFonts w:ascii="Century Gothic" w:hAnsi="Century Gothic" w:cstheme="majorHAnsi"/>
                <w:color w:val="000000" w:themeColor="text1"/>
                <w:sz w:val="22"/>
                <w:szCs w:val="22"/>
              </w:rPr>
              <w:br/>
            </w:r>
            <w:r w:rsidRPr="0053061A">
              <w:rPr>
                <w:rFonts w:ascii="Century Gothic" w:hAnsi="Century Gothic" w:cstheme="majorHAnsi"/>
                <w:b/>
                <w:bCs/>
                <w:color w:val="000000" w:themeColor="text1"/>
                <w:sz w:val="22"/>
                <w:szCs w:val="22"/>
              </w:rPr>
              <w:t xml:space="preserve">1. Por concepto de </w:t>
            </w:r>
            <w:r w:rsidRPr="0053061A">
              <w:rPr>
                <w:rFonts w:ascii="Century Gothic" w:hAnsi="Century Gothic" w:cstheme="majorHAnsi"/>
                <w:b/>
                <w:bCs/>
                <w:color w:val="000000" w:themeColor="text1"/>
                <w:sz w:val="22"/>
                <w:szCs w:val="22"/>
                <w:u w:val="single"/>
              </w:rPr>
              <w:t>“</w:t>
            </w:r>
            <w:r w:rsidR="00607BF1" w:rsidRPr="0053061A">
              <w:rPr>
                <w:rFonts w:ascii="Century Gothic" w:hAnsi="Century Gothic" w:cstheme="majorHAnsi"/>
                <w:b/>
                <w:bCs/>
                <w:sz w:val="22"/>
                <w:szCs w:val="22"/>
                <w:u w:val="single"/>
              </w:rPr>
              <w:t>($44.263.</w:t>
            </w:r>
            <w:proofErr w:type="gramStart"/>
            <w:r w:rsidR="00607BF1" w:rsidRPr="0053061A">
              <w:rPr>
                <w:rFonts w:ascii="Century Gothic" w:hAnsi="Century Gothic" w:cstheme="majorHAnsi"/>
                <w:b/>
                <w:bCs/>
                <w:sz w:val="22"/>
                <w:szCs w:val="22"/>
                <w:u w:val="single"/>
              </w:rPr>
              <w:t>020)</w:t>
            </w:r>
            <w:r w:rsidRPr="0053061A">
              <w:rPr>
                <w:rFonts w:ascii="Century Gothic" w:hAnsi="Century Gothic" w:cstheme="majorHAnsi"/>
                <w:b/>
                <w:bCs/>
                <w:color w:val="000000" w:themeColor="text1"/>
                <w:sz w:val="22"/>
                <w:szCs w:val="22"/>
                <w:u w:val="single"/>
              </w:rPr>
              <w:t>“</w:t>
            </w:r>
            <w:proofErr w:type="gramEnd"/>
            <w:r w:rsidRPr="0053061A">
              <w:rPr>
                <w:rFonts w:ascii="Century Gothic" w:hAnsi="Century Gothic" w:cstheme="majorHAnsi"/>
                <w:b/>
                <w:bCs/>
                <w:color w:val="000000" w:themeColor="text1"/>
                <w:sz w:val="22"/>
                <w:szCs w:val="22"/>
                <w:u w:val="single"/>
              </w:rPr>
              <w:t>:</w:t>
            </w:r>
            <w:r>
              <w:rPr>
                <w:rFonts w:ascii="Century Gothic" w:hAnsi="Century Gothic" w:cstheme="majorHAnsi"/>
                <w:color w:val="000000" w:themeColor="text1"/>
                <w:sz w:val="22"/>
                <w:szCs w:val="22"/>
              </w:rPr>
              <w:t xml:space="preserve"> </w:t>
            </w:r>
            <w:r w:rsidR="002969C4">
              <w:rPr>
                <w:rFonts w:ascii="Century Gothic" w:hAnsi="Century Gothic" w:cstheme="majorHAnsi"/>
                <w:color w:val="000000" w:themeColor="text1"/>
                <w:sz w:val="22"/>
                <w:szCs w:val="22"/>
              </w:rPr>
              <w:t>Se liquida en $0, toda vez que dicha obligación ya fue cumplida.</w:t>
            </w:r>
            <w:r w:rsidR="0053061A">
              <w:rPr>
                <w:rFonts w:ascii="Century Gothic" w:hAnsi="Century Gothic" w:cstheme="majorHAnsi"/>
                <w:color w:val="000000" w:themeColor="text1"/>
                <w:sz w:val="22"/>
                <w:szCs w:val="22"/>
              </w:rPr>
              <w:t xml:space="preserve"> Pues dicha condena  por el valor total de </w:t>
            </w:r>
            <w:r w:rsidR="0053061A" w:rsidRPr="0053061A">
              <w:rPr>
                <w:rFonts w:ascii="Century Gothic" w:hAnsi="Century Gothic" w:cstheme="majorHAnsi"/>
                <w:color w:val="000000" w:themeColor="text1"/>
                <w:sz w:val="22"/>
                <w:szCs w:val="22"/>
                <w:lang w:val="es-ES_tradnl"/>
              </w:rPr>
              <w:t>CUARENTA Y CUATRO MILLONES DOSCIENTOS SESENTA Y TRES MIL VEINTE PESOS CON CERO CENTAVOS ($44.263.020,00).M/CTE)  fue</w:t>
            </w:r>
            <w:r w:rsidR="0053061A">
              <w:rPr>
                <w:rFonts w:ascii="Century Gothic" w:hAnsi="Century Gothic" w:cstheme="majorHAnsi"/>
                <w:color w:val="000000" w:themeColor="text1"/>
                <w:sz w:val="22"/>
                <w:szCs w:val="22"/>
                <w:lang w:val="es-ES_tradnl"/>
              </w:rPr>
              <w:t xml:space="preserve"> </w:t>
            </w:r>
            <w:r w:rsidR="0053061A" w:rsidRPr="0053061A">
              <w:rPr>
                <w:rFonts w:ascii="Century Gothic" w:hAnsi="Century Gothic" w:cstheme="majorHAnsi"/>
                <w:color w:val="000000" w:themeColor="text1"/>
                <w:sz w:val="22"/>
                <w:szCs w:val="22"/>
                <w:lang w:val="es-ES_tradnl"/>
              </w:rPr>
              <w:t>consignad</w:t>
            </w:r>
            <w:r w:rsidR="0053061A">
              <w:rPr>
                <w:rFonts w:ascii="Century Gothic" w:hAnsi="Century Gothic" w:cstheme="majorHAnsi"/>
                <w:color w:val="000000" w:themeColor="text1"/>
                <w:sz w:val="22"/>
                <w:szCs w:val="22"/>
                <w:lang w:val="es-ES_tradnl"/>
              </w:rPr>
              <w:t>o el día 28 de abril de 2025</w:t>
            </w:r>
            <w:r w:rsidR="0053061A" w:rsidRPr="0053061A">
              <w:rPr>
                <w:rFonts w:ascii="Century Gothic" w:hAnsi="Century Gothic" w:cstheme="majorHAnsi"/>
                <w:color w:val="000000" w:themeColor="text1"/>
                <w:sz w:val="22"/>
                <w:szCs w:val="22"/>
                <w:lang w:val="es-ES_tradnl"/>
              </w:rPr>
              <w:t xml:space="preserve"> a órdenes del Juzgado Primero (001) Civil del Circuito de Salamina en la Cuenta No. 176532031001 del Banco Agrario de Colombia S.A</w:t>
            </w:r>
          </w:p>
          <w:p w14:paraId="20139F2A" w14:textId="77777777" w:rsidR="00855335" w:rsidRDefault="00855335" w:rsidP="0053061A">
            <w:pPr>
              <w:pStyle w:val="Sangra2detindependiente"/>
              <w:spacing w:after="0" w:line="276" w:lineRule="auto"/>
              <w:ind w:left="0"/>
              <w:rPr>
                <w:rFonts w:ascii="Century Gothic" w:hAnsi="Century Gothic" w:cstheme="majorHAnsi"/>
                <w:color w:val="000000" w:themeColor="text1"/>
                <w:sz w:val="22"/>
                <w:szCs w:val="22"/>
              </w:rPr>
            </w:pPr>
          </w:p>
          <w:p w14:paraId="07DE9024" w14:textId="6BF028AC" w:rsidR="000E679F" w:rsidRDefault="00855335" w:rsidP="000E679F">
            <w:pPr>
              <w:pStyle w:val="Sangra2detindependiente"/>
              <w:spacing w:after="0" w:line="276" w:lineRule="auto"/>
              <w:ind w:left="0"/>
              <w:jc w:val="both"/>
              <w:rPr>
                <w:rFonts w:ascii="Century Gothic" w:hAnsi="Century Gothic" w:cstheme="majorHAnsi"/>
                <w:color w:val="000000" w:themeColor="text1"/>
                <w:sz w:val="22"/>
                <w:szCs w:val="22"/>
              </w:rPr>
            </w:pPr>
            <w:r w:rsidRPr="0053061A">
              <w:rPr>
                <w:rFonts w:ascii="Century Gothic" w:hAnsi="Century Gothic" w:cstheme="majorHAnsi"/>
                <w:b/>
                <w:bCs/>
                <w:color w:val="000000" w:themeColor="text1"/>
                <w:sz w:val="22"/>
                <w:szCs w:val="22"/>
              </w:rPr>
              <w:t>2. Intereses moratorios:</w:t>
            </w:r>
            <w:r>
              <w:rPr>
                <w:rFonts w:ascii="Century Gothic" w:hAnsi="Century Gothic" w:cstheme="majorHAnsi"/>
                <w:color w:val="000000" w:themeColor="text1"/>
                <w:sz w:val="22"/>
                <w:szCs w:val="22"/>
              </w:rPr>
              <w:t xml:space="preserve">  No se reconocerá ningún emolumento por concepto de intereses moratorios, toda vez que, el auto del </w:t>
            </w:r>
            <w:r>
              <w:rPr>
                <w:rFonts w:ascii="Century Gothic" w:hAnsi="Century Gothic" w:cs="Arial"/>
                <w:bCs/>
                <w:sz w:val="22"/>
                <w:szCs w:val="22"/>
              </w:rPr>
              <w:t>28 de abril de 2025</w:t>
            </w:r>
            <w:r>
              <w:rPr>
                <w:rFonts w:ascii="Century Gothic" w:hAnsi="Century Gothic" w:cstheme="majorHAnsi"/>
                <w:color w:val="000000" w:themeColor="text1"/>
                <w:sz w:val="22"/>
                <w:szCs w:val="22"/>
              </w:rPr>
              <w:t xml:space="preserve"> proferido por el </w:t>
            </w:r>
            <w:r w:rsidRPr="00F76988">
              <w:rPr>
                <w:rFonts w:ascii="Century Gothic" w:hAnsi="Century Gothic" w:cstheme="majorHAnsi"/>
                <w:sz w:val="22"/>
                <w:szCs w:val="22"/>
              </w:rPr>
              <w:t>JUZGADO PRIMERO (01) CIVIL DEL CIRCUITO DE SALAMINA – CALDAS</w:t>
            </w:r>
            <w:r>
              <w:rPr>
                <w:rFonts w:ascii="Century Gothic" w:hAnsi="Century Gothic" w:cstheme="majorHAnsi"/>
                <w:color w:val="000000" w:themeColor="text1"/>
                <w:sz w:val="22"/>
                <w:szCs w:val="22"/>
              </w:rPr>
              <w:t xml:space="preserve"> que libró mandamiento de pago no libró mandamiento por concepto de intereses</w:t>
            </w:r>
            <w:r w:rsidR="00C31BAC">
              <w:rPr>
                <w:rFonts w:ascii="Century Gothic" w:hAnsi="Century Gothic" w:cstheme="majorHAnsi"/>
                <w:color w:val="000000" w:themeColor="text1"/>
                <w:sz w:val="22"/>
                <w:szCs w:val="22"/>
              </w:rPr>
              <w:t xml:space="preserve"> y tampoco fueron solicitados por la parte demandante</w:t>
            </w:r>
            <w:r>
              <w:rPr>
                <w:rFonts w:ascii="Century Gothic" w:hAnsi="Century Gothic" w:cstheme="majorHAnsi"/>
                <w:color w:val="000000" w:themeColor="text1"/>
                <w:sz w:val="22"/>
                <w:szCs w:val="22"/>
              </w:rPr>
              <w:t>. Luego, una eventual liquidación del crédito solo estaría supeditada al capital adeudado, el cual, como ya se indicó, fue pagado el día __________ extinguiendo así la obligación.</w:t>
            </w:r>
          </w:p>
          <w:p w14:paraId="31FF8AB1" w14:textId="63BD3F5D" w:rsidR="00855335" w:rsidRPr="0053061A" w:rsidRDefault="000E679F" w:rsidP="0053061A">
            <w:pPr>
              <w:pStyle w:val="Sangra2detindependiente"/>
              <w:spacing w:after="0" w:line="276" w:lineRule="auto"/>
              <w:ind w:left="0"/>
              <w:jc w:val="both"/>
              <w:rPr>
                <w:rFonts w:ascii="Century Gothic" w:hAnsi="Century Gothic" w:cstheme="majorHAnsi"/>
                <w:b/>
                <w:bCs/>
                <w:color w:val="000000" w:themeColor="text1"/>
                <w:sz w:val="22"/>
                <w:szCs w:val="22"/>
              </w:rPr>
            </w:pPr>
            <w:r>
              <w:rPr>
                <w:rFonts w:ascii="Century Gothic" w:hAnsi="Century Gothic" w:cstheme="majorHAnsi"/>
                <w:color w:val="000000" w:themeColor="text1"/>
                <w:sz w:val="22"/>
                <w:szCs w:val="22"/>
              </w:rPr>
              <w:br/>
            </w:r>
          </w:p>
        </w:tc>
      </w:tr>
    </w:tbl>
    <w:p w14:paraId="7273C5A1" w14:textId="77777777" w:rsidR="0095378E" w:rsidRPr="00F9277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296726" w14:paraId="05674BEA" w14:textId="77777777" w:rsidTr="3D1942E6">
        <w:trPr>
          <w:trHeight w:val="321"/>
        </w:trPr>
        <w:tc>
          <w:tcPr>
            <w:tcW w:w="10207" w:type="dxa"/>
            <w:shd w:val="clear" w:color="auto" w:fill="C5E0B3" w:themeFill="accent6" w:themeFillTint="66"/>
            <w:vAlign w:val="center"/>
          </w:tcPr>
          <w:p w14:paraId="2BB97918" w14:textId="52E94393" w:rsidR="003B7F1A" w:rsidRPr="00F9277D" w:rsidRDefault="003B7F1A" w:rsidP="003B7F1A">
            <w:pPr>
              <w:spacing w:line="276" w:lineRule="auto"/>
              <w:jc w:val="center"/>
              <w:rPr>
                <w:rFonts w:ascii="Century Gothic" w:hAnsi="Century Gothic" w:cstheme="majorHAnsi"/>
                <w:sz w:val="22"/>
                <w:szCs w:val="22"/>
              </w:rPr>
            </w:pPr>
            <w:r w:rsidRPr="00F9277D">
              <w:rPr>
                <w:rFonts w:ascii="Century Gothic" w:hAnsi="Century Gothic" w:cstheme="majorHAnsi"/>
                <w:b/>
                <w:bCs/>
                <w:sz w:val="22"/>
                <w:szCs w:val="22"/>
              </w:rPr>
              <w:t>Excepciones</w:t>
            </w:r>
          </w:p>
        </w:tc>
      </w:tr>
      <w:tr w:rsidR="00887DE5" w:rsidRPr="00296726" w14:paraId="4AAD7549" w14:textId="77777777" w:rsidTr="3D1942E6">
        <w:trPr>
          <w:trHeight w:val="3906"/>
        </w:trPr>
        <w:tc>
          <w:tcPr>
            <w:tcW w:w="10207" w:type="dxa"/>
            <w:vAlign w:val="center"/>
          </w:tcPr>
          <w:p w14:paraId="431099FF" w14:textId="2875455E" w:rsidR="00B04CAC" w:rsidRPr="00D03DE1" w:rsidRDefault="00B04CAC" w:rsidP="00B04CAC">
            <w:pPr>
              <w:pStyle w:val="Prrafodelista"/>
              <w:spacing w:after="160" w:line="259" w:lineRule="auto"/>
              <w:rPr>
                <w:rFonts w:ascii="Century Gothic" w:hAnsi="Century Gothic" w:cstheme="majorHAnsi"/>
                <w:b/>
                <w:bCs/>
                <w:sz w:val="22"/>
                <w:szCs w:val="22"/>
                <w:u w:val="single"/>
              </w:rPr>
            </w:pPr>
            <w:r w:rsidRPr="00D03DE1">
              <w:rPr>
                <w:rFonts w:ascii="Century Gothic" w:hAnsi="Century Gothic" w:cstheme="majorHAnsi"/>
                <w:b/>
                <w:bCs/>
                <w:sz w:val="22"/>
                <w:szCs w:val="22"/>
                <w:u w:val="single"/>
              </w:rPr>
              <w:t>EXCEPCIONES DE LA DEMANDA</w:t>
            </w:r>
          </w:p>
          <w:p w14:paraId="059F42E2" w14:textId="288E0675" w:rsidR="006C3700" w:rsidRPr="006C3700" w:rsidRDefault="006C3700" w:rsidP="006C3700">
            <w:pPr>
              <w:widowControl w:val="0"/>
              <w:autoSpaceDE w:val="0"/>
              <w:autoSpaceDN w:val="0"/>
              <w:spacing w:line="360" w:lineRule="auto"/>
              <w:ind w:right="49"/>
              <w:jc w:val="both"/>
              <w:rPr>
                <w:rFonts w:ascii="Century Gothic" w:hAnsi="Century Gothic" w:cstheme="majorHAnsi"/>
                <w:sz w:val="22"/>
                <w:szCs w:val="22"/>
              </w:rPr>
            </w:pPr>
          </w:p>
          <w:p w14:paraId="1A18E3BF" w14:textId="77777777" w:rsidR="003631BB" w:rsidRDefault="006C3700" w:rsidP="00887DE5">
            <w:pPr>
              <w:pStyle w:val="Prrafodelista"/>
              <w:numPr>
                <w:ilvl w:val="0"/>
                <w:numId w:val="14"/>
              </w:numPr>
              <w:spacing w:after="160" w:line="259" w:lineRule="auto"/>
              <w:jc w:val="both"/>
              <w:rPr>
                <w:rFonts w:ascii="Century Gothic" w:hAnsi="Century Gothic" w:cstheme="majorHAnsi"/>
                <w:sz w:val="22"/>
                <w:szCs w:val="22"/>
              </w:rPr>
            </w:pPr>
            <w:r w:rsidRPr="006C3700">
              <w:rPr>
                <w:rFonts w:ascii="Century Gothic" w:hAnsi="Century Gothic" w:cstheme="majorHAnsi"/>
                <w:sz w:val="22"/>
                <w:szCs w:val="22"/>
              </w:rPr>
              <w:t>EXTINCIÓN DE LA OBLIGACIÓN POR PAGO TOTAL.</w:t>
            </w:r>
          </w:p>
          <w:p w14:paraId="762CCBB7" w14:textId="77777777" w:rsidR="006C3700" w:rsidRDefault="006C3700" w:rsidP="00887DE5">
            <w:pPr>
              <w:pStyle w:val="Prrafodelista"/>
              <w:numPr>
                <w:ilvl w:val="0"/>
                <w:numId w:val="14"/>
              </w:numPr>
              <w:spacing w:after="160" w:line="259" w:lineRule="auto"/>
              <w:jc w:val="both"/>
              <w:rPr>
                <w:rFonts w:ascii="Century Gothic" w:hAnsi="Century Gothic" w:cstheme="majorHAnsi"/>
                <w:sz w:val="22"/>
                <w:szCs w:val="22"/>
              </w:rPr>
            </w:pPr>
            <w:r w:rsidRPr="006C3700">
              <w:rPr>
                <w:rFonts w:ascii="Century Gothic" w:hAnsi="Century Gothic" w:cstheme="majorHAnsi"/>
                <w:sz w:val="22"/>
                <w:szCs w:val="22"/>
              </w:rPr>
              <w:t>COBRO DE LO NO DEBIDO Y EVENTUAL ENRIQUECIMIENTO SIN JUSTA CAUSA</w:t>
            </w:r>
          </w:p>
          <w:p w14:paraId="52CE2D52" w14:textId="3564D155" w:rsidR="006C3700" w:rsidRPr="00F9277D" w:rsidRDefault="006C3700" w:rsidP="00887DE5">
            <w:pPr>
              <w:pStyle w:val="Prrafodelista"/>
              <w:numPr>
                <w:ilvl w:val="0"/>
                <w:numId w:val="14"/>
              </w:numPr>
              <w:spacing w:after="160" w:line="259" w:lineRule="auto"/>
              <w:jc w:val="both"/>
              <w:rPr>
                <w:rFonts w:ascii="Century Gothic" w:hAnsi="Century Gothic" w:cstheme="majorHAnsi"/>
                <w:sz w:val="22"/>
                <w:szCs w:val="22"/>
              </w:rPr>
            </w:pPr>
            <w:r w:rsidRPr="006C3700">
              <w:rPr>
                <w:rFonts w:ascii="Century Gothic" w:hAnsi="Century Gothic" w:cstheme="majorHAnsi"/>
                <w:sz w:val="22"/>
                <w:szCs w:val="22"/>
              </w:rPr>
              <w:t>GENERICA O INNOMINADA Y OTRAS</w:t>
            </w:r>
          </w:p>
        </w:tc>
      </w:tr>
    </w:tbl>
    <w:p w14:paraId="0AA122B4" w14:textId="77777777" w:rsidR="00F67EF8" w:rsidRDefault="00F67EF8" w:rsidP="00F67EF8">
      <w:pPr>
        <w:spacing w:line="276" w:lineRule="auto"/>
        <w:jc w:val="both"/>
        <w:rPr>
          <w:rFonts w:ascii="Century Gothic" w:hAnsi="Century Gothic"/>
          <w:sz w:val="22"/>
          <w:szCs w:val="22"/>
        </w:rPr>
      </w:pPr>
    </w:p>
    <w:p w14:paraId="4C1E2FB6" w14:textId="77777777" w:rsidR="006C3700" w:rsidRPr="00296726" w:rsidRDefault="006C3700"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296726" w14:paraId="4B531C7D" w14:textId="77777777" w:rsidTr="3D1942E6">
        <w:trPr>
          <w:trHeight w:val="454"/>
        </w:trPr>
        <w:tc>
          <w:tcPr>
            <w:tcW w:w="3266" w:type="dxa"/>
            <w:vAlign w:val="center"/>
            <w:hideMark/>
          </w:tcPr>
          <w:p w14:paraId="3F99B56F" w14:textId="1315CCDB" w:rsidR="00EE687D" w:rsidRPr="00296726" w:rsidRDefault="006F0CAA" w:rsidP="00EB6AB4">
            <w:pPr>
              <w:jc w:val="both"/>
              <w:textAlignment w:val="baseline"/>
              <w:rPr>
                <w:rFonts w:ascii="Century Gothic" w:hAnsi="Century Gothic" w:cs="Segoe UI"/>
                <w:sz w:val="22"/>
                <w:szCs w:val="22"/>
                <w:lang w:eastAsia="es-CO"/>
              </w:rPr>
            </w:pPr>
            <w:r w:rsidRPr="00296726">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8FB9333" w:rsidR="00EE687D" w:rsidRPr="00296726" w:rsidRDefault="006C3700"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6F0CAA" w:rsidRPr="00296726" w14:paraId="7A21B905" w14:textId="77777777" w:rsidTr="3D1942E6">
        <w:trPr>
          <w:trHeight w:val="454"/>
        </w:trPr>
        <w:tc>
          <w:tcPr>
            <w:tcW w:w="3266" w:type="dxa"/>
            <w:vAlign w:val="center"/>
          </w:tcPr>
          <w:p w14:paraId="533380A9" w14:textId="7103E52D" w:rsidR="006F0CAA" w:rsidRPr="00296726" w:rsidRDefault="006F0CAA" w:rsidP="3D1942E6">
            <w:pPr>
              <w:jc w:val="both"/>
              <w:textAlignment w:val="baseline"/>
              <w:rPr>
                <w:rFonts w:ascii="Century Gothic" w:hAnsi="Century Gothic"/>
                <w:b/>
                <w:bCs/>
                <w:color w:val="000000"/>
                <w:sz w:val="22"/>
                <w:szCs w:val="22"/>
                <w:shd w:val="clear" w:color="auto" w:fill="FFFFFF"/>
                <w:lang w:val="es-ES" w:eastAsia="es-CO"/>
              </w:rPr>
            </w:pPr>
            <w:r w:rsidRPr="00296726">
              <w:rPr>
                <w:rFonts w:ascii="Century Gothic" w:hAnsi="Century Gothic"/>
                <w:b/>
                <w:bCs/>
                <w:color w:val="000000"/>
                <w:sz w:val="22"/>
                <w:szCs w:val="22"/>
                <w:shd w:val="clear" w:color="auto" w:fill="FFFFFF"/>
                <w:lang w:val="es-ES" w:eastAsia="es-CO"/>
              </w:rPr>
              <w:t xml:space="preserve">Caso </w:t>
            </w:r>
            <w:proofErr w:type="spellStart"/>
            <w:r w:rsidRPr="0029672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25B9FACC" w:rsidR="006F0CAA" w:rsidRPr="00296726" w:rsidRDefault="006C3700"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296726" w14:paraId="00877764" w14:textId="77777777" w:rsidTr="00AF7716">
        <w:trPr>
          <w:trHeight w:val="811"/>
        </w:trPr>
        <w:tc>
          <w:tcPr>
            <w:tcW w:w="3266" w:type="dxa"/>
            <w:vAlign w:val="center"/>
            <w:hideMark/>
          </w:tcPr>
          <w:p w14:paraId="749E810E" w14:textId="77777777" w:rsidR="00EE687D" w:rsidRPr="00296726" w:rsidRDefault="00EE687D" w:rsidP="00EB6AB4">
            <w:pPr>
              <w:jc w:val="both"/>
              <w:textAlignment w:val="baseline"/>
              <w:rPr>
                <w:rFonts w:ascii="Century Gothic" w:hAnsi="Century Gothic" w:cs="Segoe UI"/>
                <w:sz w:val="22"/>
                <w:szCs w:val="22"/>
                <w:lang w:eastAsia="es-CO"/>
              </w:rPr>
            </w:pPr>
            <w:r w:rsidRPr="00296726">
              <w:rPr>
                <w:rFonts w:ascii="Century Gothic" w:hAnsi="Century Gothic"/>
                <w:b/>
                <w:bCs/>
                <w:color w:val="000000"/>
                <w:sz w:val="22"/>
                <w:szCs w:val="22"/>
                <w:shd w:val="clear" w:color="auto" w:fill="FFFFFF"/>
                <w:lang w:eastAsia="es-CO"/>
              </w:rPr>
              <w:t>Póliza</w:t>
            </w:r>
          </w:p>
        </w:tc>
        <w:tc>
          <w:tcPr>
            <w:tcW w:w="6941" w:type="dxa"/>
            <w:vAlign w:val="center"/>
          </w:tcPr>
          <w:p w14:paraId="44CD5AB4" w14:textId="77777777" w:rsidR="00AF7716" w:rsidRPr="00F9277D" w:rsidRDefault="00AF7716" w:rsidP="00AF7716">
            <w:pPr>
              <w:widowControl w:val="0"/>
              <w:autoSpaceDE w:val="0"/>
              <w:autoSpaceDN w:val="0"/>
              <w:spacing w:line="360" w:lineRule="auto"/>
              <w:jc w:val="both"/>
              <w:rPr>
                <w:rFonts w:ascii="Century Gothic" w:hAnsi="Century Gothic" w:cs="Arial"/>
                <w:bCs/>
                <w:sz w:val="22"/>
                <w:szCs w:val="22"/>
              </w:rPr>
            </w:pPr>
          </w:p>
          <w:p w14:paraId="0BEC8BB4" w14:textId="27310392" w:rsidR="00AF7716" w:rsidRPr="00F9277D" w:rsidRDefault="006C3700" w:rsidP="00AF7716">
            <w:pPr>
              <w:widowControl w:val="0"/>
              <w:autoSpaceDE w:val="0"/>
              <w:autoSpaceDN w:val="0"/>
              <w:spacing w:line="360" w:lineRule="auto"/>
              <w:jc w:val="both"/>
              <w:rPr>
                <w:rFonts w:ascii="Century Gothic" w:hAnsi="Century Gothic" w:cs="Arial"/>
                <w:bCs/>
                <w:sz w:val="22"/>
                <w:szCs w:val="22"/>
              </w:rPr>
            </w:pPr>
            <w:r>
              <w:rPr>
                <w:rFonts w:ascii="Century Gothic" w:hAnsi="Century Gothic" w:cs="Arial"/>
                <w:bCs/>
                <w:sz w:val="22"/>
                <w:szCs w:val="22"/>
              </w:rPr>
              <w:t>N/A</w:t>
            </w:r>
          </w:p>
          <w:p w14:paraId="7FC9EC9E" w14:textId="78E53343" w:rsidR="00EE687D" w:rsidRPr="00296726" w:rsidRDefault="00EE687D" w:rsidP="003631BB">
            <w:pPr>
              <w:rPr>
                <w:rFonts w:ascii="Century Gothic" w:hAnsi="Century Gothic"/>
                <w:sz w:val="22"/>
                <w:szCs w:val="22"/>
                <w:lang w:val="es-CO"/>
              </w:rPr>
            </w:pPr>
          </w:p>
        </w:tc>
      </w:tr>
      <w:tr w:rsidR="00EE687D" w:rsidRPr="00296726" w14:paraId="3260B646" w14:textId="77777777" w:rsidTr="3D1942E6">
        <w:trPr>
          <w:trHeight w:val="454"/>
        </w:trPr>
        <w:tc>
          <w:tcPr>
            <w:tcW w:w="3266" w:type="dxa"/>
            <w:vAlign w:val="center"/>
            <w:hideMark/>
          </w:tcPr>
          <w:p w14:paraId="67FBF2E5" w14:textId="77777777" w:rsidR="00EE687D" w:rsidRPr="00296726" w:rsidRDefault="00EE687D" w:rsidP="00EB6AB4">
            <w:pPr>
              <w:jc w:val="both"/>
              <w:textAlignment w:val="baseline"/>
              <w:rPr>
                <w:rFonts w:ascii="Century Gothic" w:hAnsi="Century Gothic" w:cs="Segoe UI"/>
                <w:sz w:val="22"/>
                <w:szCs w:val="22"/>
                <w:lang w:eastAsia="es-CO"/>
              </w:rPr>
            </w:pPr>
            <w:r w:rsidRPr="00296726">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2FCFBD0" w:rsidR="00EE687D" w:rsidRPr="00F9277D" w:rsidRDefault="006C3700" w:rsidP="00B04CAC">
            <w:pPr>
              <w:pStyle w:val="NormalWeb"/>
              <w:rPr>
                <w:rFonts w:ascii="Century Gothic" w:hAnsi="Century Gothic" w:cs="Segoe UI"/>
                <w:color w:val="242424"/>
                <w:sz w:val="22"/>
                <w:szCs w:val="22"/>
              </w:rPr>
            </w:pPr>
            <w:r>
              <w:rPr>
                <w:rFonts w:ascii="Century Gothic" w:hAnsi="Century Gothic" w:cs="Segoe UI"/>
                <w:color w:val="242424"/>
                <w:sz w:val="22"/>
                <w:szCs w:val="22"/>
              </w:rPr>
              <w:t>N/A</w:t>
            </w:r>
          </w:p>
        </w:tc>
      </w:tr>
      <w:tr w:rsidR="00EE687D" w:rsidRPr="00296726" w14:paraId="0BC7C6A3" w14:textId="77777777" w:rsidTr="3D1942E6">
        <w:trPr>
          <w:trHeight w:val="454"/>
        </w:trPr>
        <w:tc>
          <w:tcPr>
            <w:tcW w:w="3266" w:type="dxa"/>
            <w:vAlign w:val="center"/>
            <w:hideMark/>
          </w:tcPr>
          <w:p w14:paraId="433D63BC" w14:textId="77777777" w:rsidR="00EE687D" w:rsidRPr="00296726" w:rsidRDefault="00EE687D" w:rsidP="00EB6AB4">
            <w:pPr>
              <w:jc w:val="both"/>
              <w:textAlignment w:val="baseline"/>
              <w:rPr>
                <w:rFonts w:ascii="Century Gothic" w:hAnsi="Century Gothic" w:cs="Segoe UI"/>
                <w:sz w:val="22"/>
                <w:szCs w:val="22"/>
                <w:lang w:eastAsia="es-CO"/>
              </w:rPr>
            </w:pPr>
            <w:r w:rsidRPr="00296726">
              <w:rPr>
                <w:rFonts w:ascii="Century Gothic" w:hAnsi="Century Gothic"/>
                <w:b/>
                <w:bCs/>
                <w:color w:val="000000"/>
                <w:sz w:val="22"/>
                <w:szCs w:val="22"/>
                <w:shd w:val="clear" w:color="auto" w:fill="FFFFFF"/>
                <w:lang w:eastAsia="es-CO"/>
              </w:rPr>
              <w:t>Orden</w:t>
            </w:r>
          </w:p>
        </w:tc>
        <w:tc>
          <w:tcPr>
            <w:tcW w:w="6941" w:type="dxa"/>
            <w:vAlign w:val="center"/>
          </w:tcPr>
          <w:p w14:paraId="25280801" w14:textId="6A2422B5" w:rsidR="00EE687D" w:rsidRPr="00296726" w:rsidRDefault="003631BB" w:rsidP="00EB6AB4">
            <w:pPr>
              <w:jc w:val="both"/>
              <w:rPr>
                <w:rFonts w:ascii="Century Gothic" w:hAnsi="Century Gothic" w:cs="Segoe UI"/>
                <w:sz w:val="22"/>
                <w:szCs w:val="22"/>
                <w:lang w:eastAsia="es-CO"/>
              </w:rPr>
            </w:pPr>
            <w:r w:rsidRPr="00296726">
              <w:rPr>
                <w:rFonts w:ascii="Century Gothic" w:hAnsi="Century Gothic" w:cs="Segoe UI"/>
                <w:sz w:val="22"/>
                <w:szCs w:val="22"/>
                <w:lang w:eastAsia="es-CO"/>
              </w:rPr>
              <w:t>1</w:t>
            </w:r>
          </w:p>
        </w:tc>
      </w:tr>
      <w:tr w:rsidR="00B90E05" w:rsidRPr="00296726" w14:paraId="3ACEF28A" w14:textId="77777777" w:rsidTr="3D1942E6">
        <w:trPr>
          <w:trHeight w:val="454"/>
        </w:trPr>
        <w:tc>
          <w:tcPr>
            <w:tcW w:w="3266" w:type="dxa"/>
            <w:vAlign w:val="center"/>
          </w:tcPr>
          <w:p w14:paraId="0881BFDC" w14:textId="40C44F4A" w:rsidR="00B90E05" w:rsidRPr="00296726" w:rsidRDefault="00B90E05" w:rsidP="00EB6AB4">
            <w:pPr>
              <w:jc w:val="both"/>
              <w:textAlignment w:val="baseline"/>
              <w:rPr>
                <w:rFonts w:ascii="Century Gothic" w:hAnsi="Century Gothic"/>
                <w:b/>
                <w:bCs/>
                <w:color w:val="000000"/>
                <w:sz w:val="22"/>
                <w:szCs w:val="22"/>
                <w:shd w:val="clear" w:color="auto" w:fill="FFFFFF"/>
                <w:lang w:eastAsia="es-CO"/>
              </w:rPr>
            </w:pPr>
            <w:r w:rsidRPr="00296726">
              <w:rPr>
                <w:rFonts w:ascii="Century Gothic" w:hAnsi="Century Gothic"/>
                <w:b/>
                <w:bCs/>
                <w:color w:val="000000"/>
                <w:sz w:val="22"/>
                <w:szCs w:val="22"/>
                <w:shd w:val="clear" w:color="auto" w:fill="FFFFFF"/>
                <w:lang w:eastAsia="es-CO"/>
              </w:rPr>
              <w:t>Sucursal</w:t>
            </w:r>
          </w:p>
        </w:tc>
        <w:tc>
          <w:tcPr>
            <w:tcW w:w="6941" w:type="dxa"/>
            <w:vAlign w:val="center"/>
          </w:tcPr>
          <w:p w14:paraId="74AA0D59" w14:textId="2D93D616" w:rsidR="00B90E05" w:rsidRPr="00296726" w:rsidRDefault="00807651" w:rsidP="00EB6AB4">
            <w:pPr>
              <w:jc w:val="both"/>
              <w:rPr>
                <w:rFonts w:ascii="Century Gothic" w:hAnsi="Century Gothic" w:cs="Segoe UI"/>
                <w:sz w:val="22"/>
                <w:szCs w:val="22"/>
                <w:lang w:val="es-CO" w:eastAsia="es-CO"/>
              </w:rPr>
            </w:pPr>
            <w:r>
              <w:rPr>
                <w:rFonts w:ascii="Century Gothic" w:hAnsi="Century Gothic" w:cs="Segoe UI"/>
                <w:sz w:val="22"/>
                <w:szCs w:val="22"/>
                <w:lang w:val="es-CO" w:eastAsia="es-CO"/>
              </w:rPr>
              <w:t>01</w:t>
            </w:r>
          </w:p>
        </w:tc>
      </w:tr>
      <w:tr w:rsidR="001C44B4" w:rsidRPr="00296726" w14:paraId="0BA9ECEE" w14:textId="77777777" w:rsidTr="3D1942E6">
        <w:trPr>
          <w:trHeight w:val="454"/>
        </w:trPr>
        <w:tc>
          <w:tcPr>
            <w:tcW w:w="3266" w:type="dxa"/>
            <w:vAlign w:val="center"/>
          </w:tcPr>
          <w:p w14:paraId="7B70AF59" w14:textId="749D67BE" w:rsidR="001C44B4" w:rsidRPr="00296726" w:rsidRDefault="001C44B4" w:rsidP="001C44B4">
            <w:pPr>
              <w:jc w:val="both"/>
              <w:textAlignment w:val="baseline"/>
              <w:rPr>
                <w:rFonts w:ascii="Century Gothic" w:hAnsi="Century Gothic"/>
                <w:b/>
                <w:bCs/>
                <w:color w:val="000000"/>
                <w:sz w:val="22"/>
                <w:szCs w:val="22"/>
                <w:shd w:val="clear" w:color="auto" w:fill="FFFFFF"/>
                <w:lang w:eastAsia="es-CO"/>
              </w:rPr>
            </w:pPr>
            <w:r w:rsidRPr="00296726">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811625B" w:rsidR="001C44B4" w:rsidRPr="00296726" w:rsidRDefault="006C3700" w:rsidP="003631BB">
            <w:pPr>
              <w:rPr>
                <w:rFonts w:ascii="Century Gothic" w:hAnsi="Century Gothic" w:cs="Segoe UI"/>
                <w:sz w:val="22"/>
                <w:szCs w:val="22"/>
                <w:lang w:val="es-CO" w:eastAsia="es-CO"/>
              </w:rPr>
            </w:pPr>
            <w:r>
              <w:rPr>
                <w:rFonts w:ascii="Century Gothic" w:hAnsi="Century Gothic" w:cs="Segoe UI"/>
                <w:sz w:val="22"/>
                <w:szCs w:val="22"/>
                <w:lang w:eastAsia="es-CO"/>
              </w:rPr>
              <w:t>N/A</w:t>
            </w:r>
          </w:p>
        </w:tc>
      </w:tr>
      <w:tr w:rsidR="001C44B4" w:rsidRPr="00296726" w14:paraId="05412033" w14:textId="77777777" w:rsidTr="3D1942E6">
        <w:trPr>
          <w:trHeight w:val="454"/>
        </w:trPr>
        <w:tc>
          <w:tcPr>
            <w:tcW w:w="3266" w:type="dxa"/>
            <w:vAlign w:val="center"/>
          </w:tcPr>
          <w:p w14:paraId="43E688BB" w14:textId="54B02C3E" w:rsidR="001C44B4" w:rsidRPr="00F9277D" w:rsidRDefault="001C44B4" w:rsidP="001C44B4">
            <w:pPr>
              <w:jc w:val="both"/>
              <w:textAlignment w:val="baseline"/>
              <w:rPr>
                <w:rFonts w:ascii="Century Gothic" w:hAnsi="Century Gothic"/>
                <w:b/>
                <w:bCs/>
                <w:color w:val="000000"/>
                <w:sz w:val="22"/>
                <w:szCs w:val="22"/>
                <w:shd w:val="clear" w:color="auto" w:fill="FFFFFF"/>
                <w:lang w:eastAsia="es-CO"/>
              </w:rPr>
            </w:pPr>
            <w:r w:rsidRPr="00F9277D">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CE8E74A" w:rsidR="001C44B4" w:rsidRPr="00F9277D" w:rsidRDefault="00B04CAC" w:rsidP="00B04CAC">
            <w:pPr>
              <w:pStyle w:val="NormalWeb"/>
              <w:rPr>
                <w:rFonts w:ascii="Century Gothic" w:hAnsi="Century Gothic" w:cs="Segoe UI"/>
                <w:color w:val="242424"/>
                <w:sz w:val="22"/>
                <w:szCs w:val="22"/>
              </w:rPr>
            </w:pPr>
            <w:r w:rsidRPr="00F9277D">
              <w:rPr>
                <w:rFonts w:ascii="Century Gothic" w:hAnsi="Century Gothic" w:cs="Segoe UI"/>
                <w:color w:val="242424"/>
                <w:sz w:val="22"/>
                <w:szCs w:val="22"/>
                <w:bdr w:val="none" w:sz="0" w:space="0" w:color="auto" w:frame="1"/>
              </w:rPr>
              <w:br/>
            </w:r>
            <w:r w:rsidR="006C3700">
              <w:rPr>
                <w:rFonts w:ascii="Century Gothic" w:hAnsi="Century Gothic" w:cs="Segoe UI"/>
                <w:color w:val="242424"/>
                <w:sz w:val="22"/>
                <w:szCs w:val="22"/>
              </w:rPr>
              <w:t>N/A</w:t>
            </w:r>
          </w:p>
        </w:tc>
      </w:tr>
      <w:tr w:rsidR="001C44B4" w:rsidRPr="00296726" w14:paraId="6DB6B020" w14:textId="77777777" w:rsidTr="3D1942E6">
        <w:trPr>
          <w:trHeight w:val="454"/>
        </w:trPr>
        <w:tc>
          <w:tcPr>
            <w:tcW w:w="3266" w:type="dxa"/>
            <w:vAlign w:val="center"/>
          </w:tcPr>
          <w:p w14:paraId="13FCE7D8" w14:textId="6EA7D194" w:rsidR="001C44B4" w:rsidRPr="00296726" w:rsidRDefault="001C44B4" w:rsidP="001C44B4">
            <w:pPr>
              <w:jc w:val="both"/>
              <w:textAlignment w:val="baseline"/>
              <w:rPr>
                <w:rFonts w:ascii="Century Gothic" w:hAnsi="Century Gothic"/>
                <w:b/>
                <w:bCs/>
                <w:color w:val="000000"/>
                <w:sz w:val="22"/>
                <w:szCs w:val="22"/>
                <w:shd w:val="clear" w:color="auto" w:fill="FFFFFF"/>
                <w:lang w:eastAsia="es-CO"/>
              </w:rPr>
            </w:pPr>
            <w:r w:rsidRPr="00296726">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296726" w:rsidRDefault="003631BB" w:rsidP="003631BB">
            <w:pPr>
              <w:rPr>
                <w:rFonts w:ascii="Century Gothic" w:hAnsi="Century Gothic" w:cs="Segoe UI"/>
                <w:sz w:val="22"/>
                <w:szCs w:val="22"/>
                <w:lang w:eastAsia="es-CO"/>
              </w:rPr>
            </w:pPr>
            <w:r w:rsidRPr="00296726">
              <w:rPr>
                <w:rFonts w:ascii="Century Gothic" w:hAnsi="Century Gothic" w:cs="Segoe UI"/>
                <w:sz w:val="22"/>
                <w:szCs w:val="22"/>
                <w:lang w:eastAsia="es-CO"/>
              </w:rPr>
              <w:t>FACULTATIVO</w:t>
            </w:r>
          </w:p>
        </w:tc>
      </w:tr>
    </w:tbl>
    <w:p w14:paraId="397A1D68" w14:textId="77777777" w:rsidR="003B44CB" w:rsidRPr="00296726" w:rsidRDefault="003B44CB" w:rsidP="003314A2">
      <w:pPr>
        <w:spacing w:line="360" w:lineRule="auto"/>
        <w:rPr>
          <w:rFonts w:ascii="Century Gothic" w:hAnsi="Century Gothic"/>
          <w:sz w:val="22"/>
          <w:szCs w:val="22"/>
        </w:rPr>
      </w:pPr>
    </w:p>
    <w:p w14:paraId="61F56879" w14:textId="77777777" w:rsidR="0095378E" w:rsidRPr="00F9277D"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296726" w14:paraId="49B1F103" w14:textId="77777777" w:rsidTr="0000491C">
        <w:trPr>
          <w:trHeight w:val="672"/>
        </w:trPr>
        <w:tc>
          <w:tcPr>
            <w:tcW w:w="3687" w:type="dxa"/>
          </w:tcPr>
          <w:p w14:paraId="673B76C6" w14:textId="23992614" w:rsidR="002633C0" w:rsidRPr="00296726" w:rsidRDefault="00BA1E5F" w:rsidP="003314A2">
            <w:pPr>
              <w:spacing w:line="360" w:lineRule="auto"/>
              <w:rPr>
                <w:rFonts w:ascii="Century Gothic" w:hAnsi="Century Gothic"/>
                <w:sz w:val="22"/>
                <w:szCs w:val="22"/>
              </w:rPr>
            </w:pPr>
            <w:r w:rsidRPr="00296726">
              <w:rPr>
                <w:rFonts w:ascii="Century Gothic" w:hAnsi="Century Gothic"/>
                <w:b/>
                <w:bCs/>
                <w:sz w:val="22"/>
                <w:szCs w:val="22"/>
              </w:rPr>
              <w:t>Calificación de la contingencia</w:t>
            </w:r>
          </w:p>
        </w:tc>
        <w:tc>
          <w:tcPr>
            <w:tcW w:w="6520" w:type="dxa"/>
          </w:tcPr>
          <w:p w14:paraId="6F4874B3" w14:textId="38F6C5E9" w:rsidR="002633C0" w:rsidRPr="00296726" w:rsidRDefault="00C9490C" w:rsidP="003314A2">
            <w:pPr>
              <w:spacing w:line="360" w:lineRule="auto"/>
              <w:rPr>
                <w:rFonts w:ascii="Century Gothic" w:hAnsi="Century Gothic"/>
                <w:sz w:val="22"/>
                <w:szCs w:val="22"/>
              </w:rPr>
            </w:pPr>
            <w:r>
              <w:rPr>
                <w:rFonts w:ascii="Century Gothic" w:hAnsi="Century Gothic"/>
                <w:sz w:val="22"/>
                <w:szCs w:val="22"/>
              </w:rPr>
              <w:t>REMOTO</w:t>
            </w:r>
            <w:r w:rsidR="001F1120" w:rsidRPr="00296726">
              <w:rPr>
                <w:rFonts w:ascii="Century Gothic" w:hAnsi="Century Gothic"/>
                <w:sz w:val="22"/>
                <w:szCs w:val="22"/>
              </w:rPr>
              <w:t>.</w:t>
            </w:r>
          </w:p>
        </w:tc>
      </w:tr>
      <w:tr w:rsidR="002633C0" w:rsidRPr="00296726" w14:paraId="47B026EC" w14:textId="77777777" w:rsidTr="0000491C">
        <w:tc>
          <w:tcPr>
            <w:tcW w:w="3687" w:type="dxa"/>
          </w:tcPr>
          <w:p w14:paraId="4A77CED7" w14:textId="00C97735" w:rsidR="002633C0" w:rsidRPr="00F9277D" w:rsidRDefault="00BA1E5F" w:rsidP="003314A2">
            <w:pPr>
              <w:spacing w:line="360" w:lineRule="auto"/>
              <w:rPr>
                <w:rFonts w:ascii="Century Gothic" w:hAnsi="Century Gothic"/>
                <w:b/>
                <w:bCs/>
                <w:sz w:val="22"/>
                <w:szCs w:val="22"/>
              </w:rPr>
            </w:pPr>
            <w:r w:rsidRPr="00F9277D">
              <w:rPr>
                <w:rFonts w:ascii="Century Gothic" w:hAnsi="Century Gothic"/>
                <w:b/>
                <w:bCs/>
                <w:sz w:val="22"/>
                <w:szCs w:val="22"/>
              </w:rPr>
              <w:t xml:space="preserve">Reserva sugerida: </w:t>
            </w:r>
          </w:p>
        </w:tc>
        <w:tc>
          <w:tcPr>
            <w:tcW w:w="6520" w:type="dxa"/>
          </w:tcPr>
          <w:p w14:paraId="7146E445" w14:textId="6E1349A4" w:rsidR="002633C0" w:rsidRPr="00F9277D" w:rsidRDefault="00F2084C" w:rsidP="003314A2">
            <w:pPr>
              <w:spacing w:line="360" w:lineRule="auto"/>
              <w:rPr>
                <w:rFonts w:ascii="Century Gothic" w:hAnsi="Century Gothic"/>
                <w:sz w:val="22"/>
                <w:szCs w:val="22"/>
              </w:rPr>
            </w:pPr>
            <w:r w:rsidRPr="00F9277D">
              <w:rPr>
                <w:rFonts w:ascii="Century Gothic" w:hAnsi="Century Gothic" w:cstheme="majorHAnsi"/>
                <w:sz w:val="22"/>
                <w:szCs w:val="22"/>
                <w:lang w:val="es-CO"/>
              </w:rPr>
              <w:t>$</w:t>
            </w:r>
            <w:r w:rsidR="00807651">
              <w:rPr>
                <w:rFonts w:ascii="Century Gothic" w:hAnsi="Century Gothic" w:cstheme="majorHAnsi"/>
                <w:sz w:val="22"/>
                <w:szCs w:val="22"/>
                <w:lang w:val="es-CO"/>
              </w:rPr>
              <w:t>00.00</w:t>
            </w:r>
          </w:p>
        </w:tc>
      </w:tr>
      <w:tr w:rsidR="00BA1E5F" w:rsidRPr="00296726" w14:paraId="22F780E0" w14:textId="77777777" w:rsidTr="0000491C">
        <w:tc>
          <w:tcPr>
            <w:tcW w:w="10207" w:type="dxa"/>
            <w:gridSpan w:val="2"/>
            <w:shd w:val="clear" w:color="auto" w:fill="C5E0B3" w:themeFill="accent6" w:themeFillTint="66"/>
            <w:vAlign w:val="center"/>
          </w:tcPr>
          <w:p w14:paraId="2E984764" w14:textId="51214522" w:rsidR="00BA1E5F" w:rsidRPr="00F9277D" w:rsidRDefault="00BA1E5F" w:rsidP="00BA1E5F">
            <w:pPr>
              <w:spacing w:line="360" w:lineRule="auto"/>
              <w:jc w:val="center"/>
              <w:rPr>
                <w:rFonts w:ascii="Century Gothic" w:hAnsi="Century Gothic"/>
                <w:sz w:val="22"/>
                <w:szCs w:val="22"/>
              </w:rPr>
            </w:pPr>
            <w:r w:rsidRPr="00F9277D">
              <w:rPr>
                <w:rFonts w:ascii="Century Gothic" w:hAnsi="Century Gothic"/>
                <w:b/>
                <w:bCs/>
                <w:sz w:val="22"/>
                <w:szCs w:val="22"/>
              </w:rPr>
              <w:t>Concepto del apoderado</w:t>
            </w:r>
          </w:p>
        </w:tc>
      </w:tr>
      <w:tr w:rsidR="00BA1E5F" w:rsidRPr="00296726" w14:paraId="6A3F4D91" w14:textId="77777777" w:rsidTr="0000491C">
        <w:trPr>
          <w:trHeight w:val="1361"/>
        </w:trPr>
        <w:tc>
          <w:tcPr>
            <w:tcW w:w="10207" w:type="dxa"/>
            <w:gridSpan w:val="2"/>
            <w:vAlign w:val="center"/>
          </w:tcPr>
          <w:p w14:paraId="589D2D0F" w14:textId="77777777" w:rsidR="003631BB" w:rsidRPr="00F9277D" w:rsidRDefault="003631BB" w:rsidP="00C31BAC">
            <w:pPr>
              <w:spacing w:line="360" w:lineRule="auto"/>
              <w:jc w:val="both"/>
              <w:rPr>
                <w:rFonts w:ascii="Century Gothic" w:hAnsi="Century Gothic"/>
                <w:sz w:val="22"/>
                <w:szCs w:val="22"/>
                <w:lang w:val="es-CO"/>
              </w:rPr>
            </w:pPr>
          </w:p>
          <w:p w14:paraId="1377D090" w14:textId="22879F4E" w:rsidR="00F64946" w:rsidRPr="00F9277D" w:rsidRDefault="00F64946" w:rsidP="0053061A">
            <w:pPr>
              <w:spacing w:line="360" w:lineRule="auto"/>
              <w:jc w:val="both"/>
              <w:rPr>
                <w:rFonts w:ascii="Century Gothic" w:eastAsia="Times New Roman" w:hAnsi="Century Gothic" w:cs="Arial"/>
                <w:bCs/>
                <w:sz w:val="22"/>
                <w:szCs w:val="22"/>
              </w:rPr>
            </w:pPr>
            <w:r w:rsidRPr="00F9277D">
              <w:rPr>
                <w:rFonts w:ascii="Century Gothic" w:eastAsia="Times New Roman" w:hAnsi="Century Gothic" w:cs="Arial"/>
                <w:bCs/>
                <w:sz w:val="22"/>
                <w:szCs w:val="22"/>
              </w:rPr>
              <w:t xml:space="preserve">La contingencia se califica como </w:t>
            </w:r>
            <w:r w:rsidR="00C9490C" w:rsidRPr="00D03DE1">
              <w:rPr>
                <w:rFonts w:ascii="Century Gothic" w:eastAsia="Times New Roman" w:hAnsi="Century Gothic" w:cs="Arial"/>
                <w:b/>
                <w:sz w:val="22"/>
                <w:szCs w:val="22"/>
              </w:rPr>
              <w:t>REMOTO</w:t>
            </w:r>
            <w:r w:rsidR="00C9490C" w:rsidRPr="00F9277D">
              <w:rPr>
                <w:rFonts w:ascii="Century Gothic" w:eastAsia="Times New Roman" w:hAnsi="Century Gothic" w:cs="Arial"/>
                <w:bCs/>
                <w:sz w:val="22"/>
                <w:szCs w:val="22"/>
              </w:rPr>
              <w:t xml:space="preserve"> </w:t>
            </w:r>
            <w:r w:rsidRPr="00F9277D">
              <w:rPr>
                <w:rFonts w:ascii="Century Gothic" w:eastAsia="Times New Roman" w:hAnsi="Century Gothic" w:cs="Arial"/>
                <w:bCs/>
                <w:sz w:val="22"/>
                <w:szCs w:val="22"/>
              </w:rPr>
              <w:t>en</w:t>
            </w:r>
            <w:r w:rsidR="006C3700">
              <w:rPr>
                <w:rFonts w:ascii="Century Gothic" w:eastAsia="Times New Roman" w:hAnsi="Century Gothic" w:cs="Arial"/>
                <w:bCs/>
                <w:sz w:val="22"/>
                <w:szCs w:val="22"/>
              </w:rPr>
              <w:t xml:space="preserve"> tanto el valor ordenado dentro del auto del 28 de abril de 2025 en contra de La Equidad Seguros </w:t>
            </w:r>
            <w:proofErr w:type="gramStart"/>
            <w:r w:rsidR="006C3700">
              <w:rPr>
                <w:rFonts w:ascii="Century Gothic" w:eastAsia="Times New Roman" w:hAnsi="Century Gothic" w:cs="Arial"/>
                <w:bCs/>
                <w:sz w:val="22"/>
                <w:szCs w:val="22"/>
              </w:rPr>
              <w:t>O,C</w:t>
            </w:r>
            <w:proofErr w:type="gramEnd"/>
            <w:r w:rsidR="006C3700">
              <w:rPr>
                <w:rFonts w:ascii="Century Gothic" w:eastAsia="Times New Roman" w:hAnsi="Century Gothic" w:cs="Arial"/>
                <w:bCs/>
                <w:sz w:val="22"/>
                <w:szCs w:val="22"/>
              </w:rPr>
              <w:t xml:space="preserve"> por un total de </w:t>
            </w:r>
            <w:r w:rsidR="006C3700" w:rsidRPr="00F76988">
              <w:rPr>
                <w:rFonts w:ascii="Century Gothic" w:hAnsi="Century Gothic" w:cstheme="majorHAnsi"/>
                <w:sz w:val="22"/>
                <w:szCs w:val="22"/>
              </w:rPr>
              <w:t>$44.263.020</w:t>
            </w:r>
            <w:r w:rsidR="006C3700">
              <w:rPr>
                <w:rFonts w:ascii="Century Gothic" w:hAnsi="Century Gothic" w:cstheme="majorHAnsi"/>
                <w:sz w:val="22"/>
                <w:szCs w:val="22"/>
              </w:rPr>
              <w:t xml:space="preserve"> ya fue cancelado por la compañía el día 28 de abril de 2025.</w:t>
            </w:r>
          </w:p>
          <w:p w14:paraId="6A5F1F5C" w14:textId="77777777" w:rsidR="008F08A6" w:rsidRPr="00F9277D" w:rsidRDefault="008F08A6" w:rsidP="00C31BAC">
            <w:pPr>
              <w:spacing w:line="360" w:lineRule="auto"/>
              <w:jc w:val="both"/>
              <w:rPr>
                <w:rFonts w:ascii="Century Gothic" w:eastAsia="Times New Roman" w:hAnsi="Century Gothic" w:cs="Arial"/>
                <w:bCs/>
                <w:sz w:val="22"/>
                <w:szCs w:val="22"/>
              </w:rPr>
            </w:pPr>
          </w:p>
          <w:p w14:paraId="31FAC49C" w14:textId="78FE22DF" w:rsidR="00F64946" w:rsidRDefault="00C44ECC" w:rsidP="00C31BAC">
            <w:pPr>
              <w:spacing w:line="360" w:lineRule="auto"/>
              <w:jc w:val="both"/>
              <w:rPr>
                <w:rFonts w:ascii="Century Gothic" w:hAnsi="Century Gothic" w:cs="Arial"/>
                <w:bCs/>
                <w:sz w:val="22"/>
                <w:szCs w:val="22"/>
              </w:rPr>
            </w:pPr>
            <w:r w:rsidRPr="00C44ECC">
              <w:rPr>
                <w:rFonts w:ascii="Century Gothic" w:hAnsi="Century Gothic" w:cs="Arial"/>
                <w:bCs/>
                <w:sz w:val="22"/>
                <w:szCs w:val="22"/>
              </w:rPr>
              <w:t xml:space="preserve">Se encuentra plenamente acreditado que la obligación dineraria impuesta mediante la sentencia del 7 de abril de 2025, proferida por el Tribunal Superior del Distrito Judicial de Manizales, fue cumplida en su integridad por La Equidad Seguros Generales O.C., mediante el pago de la suma de </w:t>
            </w:r>
            <w:r w:rsidRPr="00C44ECC">
              <w:rPr>
                <w:rFonts w:ascii="Century Gothic" w:hAnsi="Century Gothic" w:cs="Arial"/>
                <w:b/>
                <w:bCs/>
                <w:sz w:val="22"/>
                <w:szCs w:val="22"/>
              </w:rPr>
              <w:t>CUARENTA Y CUATRO MILLONES DOSCIENTOS SESENTA Y TRES MIL VEINTE PESOS M/CTE ($44.263.020)</w:t>
            </w:r>
            <w:r w:rsidRPr="00C44ECC">
              <w:rPr>
                <w:rFonts w:ascii="Century Gothic" w:hAnsi="Century Gothic" w:cs="Arial"/>
                <w:bCs/>
                <w:sz w:val="22"/>
                <w:szCs w:val="22"/>
              </w:rPr>
              <w:t xml:space="preserve">, efectuado el día 28 de abril de 2025, esto es, un día antes de la notificación por estados del auto que libró mandamiento de pago. Dicha suma corresponde a la totalidad de la condena impuesta, razón por la cual, a la luz del artículo 1625 del Código </w:t>
            </w:r>
            <w:r w:rsidRPr="00C44ECC">
              <w:rPr>
                <w:rFonts w:ascii="Century Gothic" w:hAnsi="Century Gothic" w:cs="Arial"/>
                <w:bCs/>
                <w:sz w:val="22"/>
                <w:szCs w:val="22"/>
              </w:rPr>
              <w:lastRenderedPageBreak/>
              <w:t xml:space="preserve">Civil, la obligación se considera legalmente extinguida por </w:t>
            </w:r>
            <w:r w:rsidRPr="00C44ECC">
              <w:rPr>
                <w:rFonts w:ascii="Century Gothic" w:hAnsi="Century Gothic" w:cs="Arial"/>
                <w:sz w:val="22"/>
                <w:szCs w:val="22"/>
              </w:rPr>
              <w:t>pago efectivo</w:t>
            </w:r>
            <w:r w:rsidRPr="00C44ECC">
              <w:rPr>
                <w:rFonts w:ascii="Century Gothic" w:hAnsi="Century Gothic" w:cs="Arial"/>
                <w:bCs/>
                <w:sz w:val="22"/>
                <w:szCs w:val="22"/>
              </w:rPr>
              <w:t>, sin que exista ningún concepto adicional por satisfacer.</w:t>
            </w:r>
          </w:p>
          <w:p w14:paraId="71C6F6FC" w14:textId="77777777" w:rsidR="00C44ECC" w:rsidRPr="00F9277D" w:rsidRDefault="00C44ECC" w:rsidP="00C31BAC">
            <w:pPr>
              <w:spacing w:line="360" w:lineRule="auto"/>
              <w:jc w:val="both"/>
              <w:rPr>
                <w:rFonts w:ascii="Century Gothic" w:hAnsi="Century Gothic" w:cs="Arial"/>
                <w:bCs/>
                <w:sz w:val="22"/>
                <w:szCs w:val="22"/>
              </w:rPr>
            </w:pPr>
          </w:p>
          <w:p w14:paraId="77604B14" w14:textId="77777777" w:rsidR="00F64946" w:rsidRPr="00F9277D" w:rsidRDefault="00F64946" w:rsidP="00C31BAC">
            <w:pPr>
              <w:spacing w:line="360" w:lineRule="auto"/>
              <w:rPr>
                <w:rFonts w:ascii="Century Gothic" w:hAnsi="Century Gothic" w:cs="Arial"/>
                <w:sz w:val="22"/>
                <w:szCs w:val="22"/>
              </w:rPr>
            </w:pPr>
            <w:r w:rsidRPr="00F9277D">
              <w:rPr>
                <w:rFonts w:ascii="Century Gothic" w:hAnsi="Century Gothic" w:cs="Arial"/>
                <w:bCs/>
                <w:sz w:val="22"/>
                <w:szCs w:val="22"/>
              </w:rPr>
              <w:t>Lo esgrimido sin perjuicio del carácter contingente del proceso</w:t>
            </w:r>
            <w:r w:rsidRPr="00F9277D">
              <w:rPr>
                <w:rFonts w:ascii="Century Gothic" w:hAnsi="Century Gothic" w:cs="Arial"/>
                <w:sz w:val="22"/>
                <w:szCs w:val="22"/>
              </w:rPr>
              <w:t>.</w:t>
            </w:r>
          </w:p>
          <w:p w14:paraId="1C38EFE7" w14:textId="6EB9F0E7" w:rsidR="00844594" w:rsidRPr="00F9277D" w:rsidRDefault="00844594" w:rsidP="00844594">
            <w:pPr>
              <w:spacing w:line="360" w:lineRule="auto"/>
              <w:jc w:val="center"/>
              <w:rPr>
                <w:rFonts w:ascii="Century Gothic" w:hAnsi="Century Gothic"/>
                <w:b/>
                <w:bCs/>
                <w:sz w:val="22"/>
                <w:szCs w:val="22"/>
                <w:lang w:val="es-CO"/>
              </w:rPr>
            </w:pPr>
            <w:r w:rsidRPr="00F9277D">
              <w:rPr>
                <w:rFonts w:ascii="Century Gothic" w:hAnsi="Century Gothic"/>
                <w:b/>
                <w:bCs/>
                <w:sz w:val="22"/>
                <w:szCs w:val="22"/>
                <w:lang w:val="es-CO"/>
              </w:rPr>
              <w:t> </w:t>
            </w:r>
          </w:p>
          <w:p w14:paraId="3A806213" w14:textId="6CEF14A5" w:rsidR="00BA1E5F" w:rsidRPr="00F9277D" w:rsidRDefault="00BA1E5F" w:rsidP="00617F8E">
            <w:pPr>
              <w:spacing w:line="360" w:lineRule="auto"/>
              <w:jc w:val="center"/>
              <w:rPr>
                <w:rFonts w:ascii="Century Gothic" w:hAnsi="Century Gothic"/>
                <w:b/>
                <w:bCs/>
                <w:sz w:val="22"/>
                <w:szCs w:val="22"/>
                <w:lang w:val="es-CO"/>
              </w:rPr>
            </w:pPr>
          </w:p>
        </w:tc>
      </w:tr>
      <w:tr w:rsidR="0000491C" w14:paraId="64328C42" w14:textId="77777777" w:rsidTr="0000491C">
        <w:trPr>
          <w:trHeight w:val="1361"/>
        </w:trPr>
        <w:tc>
          <w:tcPr>
            <w:tcW w:w="10207" w:type="dxa"/>
            <w:gridSpan w:val="2"/>
            <w:hideMark/>
          </w:tcPr>
          <w:p w14:paraId="24577993" w14:textId="3C048120" w:rsidR="0000491C" w:rsidRPr="00F9277D" w:rsidRDefault="0000491C" w:rsidP="0000491C">
            <w:pPr>
              <w:spacing w:line="360" w:lineRule="auto"/>
              <w:jc w:val="center"/>
              <w:rPr>
                <w:rFonts w:ascii="Century Gothic" w:hAnsi="Century Gothic"/>
                <w:b/>
                <w:bCs/>
                <w:sz w:val="22"/>
                <w:szCs w:val="22"/>
                <w:lang w:val="es-CO"/>
              </w:rPr>
            </w:pPr>
            <w:r w:rsidRPr="00F9277D">
              <w:rPr>
                <w:rFonts w:ascii="Century Gothic" w:hAnsi="Century Gothic"/>
                <w:b/>
                <w:bCs/>
                <w:sz w:val="22"/>
                <w:szCs w:val="22"/>
                <w:lang w:val="es-ES"/>
              </w:rPr>
              <w:lastRenderedPageBreak/>
              <w:t>GHERRERA ABOGADOS Y ASOCIADOS S.A.S</w:t>
            </w:r>
          </w:p>
          <w:p w14:paraId="77B7E0A8" w14:textId="4ADFBB31" w:rsidR="0000491C" w:rsidRDefault="0000491C" w:rsidP="0000491C">
            <w:pPr>
              <w:spacing w:line="360" w:lineRule="auto"/>
              <w:jc w:val="center"/>
              <w:rPr>
                <w:rFonts w:ascii="Century Gothic" w:hAnsi="Century Gothic"/>
                <w:b/>
                <w:bCs/>
                <w:sz w:val="22"/>
                <w:szCs w:val="22"/>
              </w:rPr>
            </w:pPr>
            <w:r w:rsidRPr="00F9277D">
              <w:rPr>
                <w:rFonts w:ascii="Century Gothic" w:hAnsi="Century Gothic"/>
                <w:b/>
                <w:bCs/>
                <w:sz w:val="22"/>
                <w:szCs w:val="22"/>
                <w:lang w:val="es-CO"/>
              </w:rPr>
              <w:t>LACR.</w:t>
            </w:r>
          </w:p>
        </w:tc>
      </w:tr>
    </w:tbl>
    <w:p w14:paraId="66CA6B89" w14:textId="77777777" w:rsidR="002633C0" w:rsidRPr="00296726" w:rsidRDefault="002633C0" w:rsidP="003314A2">
      <w:pPr>
        <w:spacing w:line="360" w:lineRule="auto"/>
        <w:rPr>
          <w:rFonts w:ascii="Century Gothic" w:hAnsi="Century Gothic"/>
          <w:sz w:val="22"/>
          <w:szCs w:val="22"/>
        </w:rPr>
      </w:pPr>
    </w:p>
    <w:sectPr w:rsidR="002633C0" w:rsidRPr="00296726"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B35E" w14:textId="77777777" w:rsidR="00E54127" w:rsidRDefault="00E54127" w:rsidP="00E7033F">
      <w:r>
        <w:separator/>
      </w:r>
    </w:p>
  </w:endnote>
  <w:endnote w:type="continuationSeparator" w:id="0">
    <w:p w14:paraId="5660F20A" w14:textId="77777777" w:rsidR="00E54127" w:rsidRDefault="00E5412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A41A" w14:textId="77777777" w:rsidR="00E54127" w:rsidRDefault="00E54127" w:rsidP="00E7033F">
      <w:r>
        <w:separator/>
      </w:r>
    </w:p>
  </w:footnote>
  <w:footnote w:type="continuationSeparator" w:id="0">
    <w:p w14:paraId="6175083A" w14:textId="77777777" w:rsidR="00E54127" w:rsidRDefault="00E5412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0FC"/>
    <w:multiLevelType w:val="hybridMultilevel"/>
    <w:tmpl w:val="2E447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BF7EDF"/>
    <w:multiLevelType w:val="hybridMultilevel"/>
    <w:tmpl w:val="FEBC0AA8"/>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45AF3"/>
    <w:multiLevelType w:val="hybridMultilevel"/>
    <w:tmpl w:val="D9004F8A"/>
    <w:lvl w:ilvl="0" w:tplc="D04A4D9C">
      <w:start w:val="1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6E125D"/>
    <w:multiLevelType w:val="hybridMultilevel"/>
    <w:tmpl w:val="41329D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6622F6"/>
    <w:multiLevelType w:val="hybridMultilevel"/>
    <w:tmpl w:val="F9A6E6C8"/>
    <w:lvl w:ilvl="0" w:tplc="109C826A">
      <w:start w:val="1"/>
      <w:numFmt w:val="decimal"/>
      <w:lvlText w:val="%1."/>
      <w:lvlJc w:val="left"/>
      <w:pPr>
        <w:ind w:left="720" w:hanging="360"/>
      </w:pPr>
      <w:rPr>
        <w:rFonts w:eastAsiaTheme="minorHAnsi"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337DB9"/>
    <w:multiLevelType w:val="hybridMultilevel"/>
    <w:tmpl w:val="C9E4A600"/>
    <w:lvl w:ilvl="0" w:tplc="BC70CDCE">
      <w:start w:val="1"/>
      <w:numFmt w:val="decimal"/>
      <w:lvlText w:val="%1."/>
      <w:lvlJc w:val="left"/>
      <w:pPr>
        <w:ind w:left="720" w:hanging="360"/>
      </w:pPr>
      <w:rPr>
        <w:rFonts w:eastAsia="Times New Roman"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079E3"/>
    <w:multiLevelType w:val="hybridMultilevel"/>
    <w:tmpl w:val="20EEACEC"/>
    <w:lvl w:ilvl="0" w:tplc="A4164EE6">
      <w:start w:val="1"/>
      <w:numFmt w:val="bullet"/>
      <w:lvlText w:val="-"/>
      <w:lvlJc w:val="left"/>
      <w:pPr>
        <w:ind w:left="720" w:hanging="360"/>
      </w:pPr>
      <w:rPr>
        <w:rFonts w:ascii="Verdana" w:eastAsiaTheme="minorHAnsi"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951A58"/>
    <w:multiLevelType w:val="hybridMultilevel"/>
    <w:tmpl w:val="66F40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931E3D"/>
    <w:multiLevelType w:val="hybridMultilevel"/>
    <w:tmpl w:val="076AD376"/>
    <w:lvl w:ilvl="0" w:tplc="02B433F2">
      <w:start w:val="1"/>
      <w:numFmt w:val="decimal"/>
      <w:pStyle w:val="Sinespaciado"/>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722313">
    <w:abstractNumId w:val="8"/>
  </w:num>
  <w:num w:numId="2" w16cid:durableId="1888181572">
    <w:abstractNumId w:val="10"/>
  </w:num>
  <w:num w:numId="3" w16cid:durableId="1531067688">
    <w:abstractNumId w:val="11"/>
  </w:num>
  <w:num w:numId="4" w16cid:durableId="633415929">
    <w:abstractNumId w:val="19"/>
  </w:num>
  <w:num w:numId="5" w16cid:durableId="22218694">
    <w:abstractNumId w:val="7"/>
  </w:num>
  <w:num w:numId="6" w16cid:durableId="2059468944">
    <w:abstractNumId w:val="13"/>
  </w:num>
  <w:num w:numId="7" w16cid:durableId="410273720">
    <w:abstractNumId w:val="24"/>
  </w:num>
  <w:num w:numId="8" w16cid:durableId="488374490">
    <w:abstractNumId w:val="17"/>
  </w:num>
  <w:num w:numId="9" w16cid:durableId="1868367858">
    <w:abstractNumId w:val="5"/>
  </w:num>
  <w:num w:numId="10" w16cid:durableId="1588810459">
    <w:abstractNumId w:val="6"/>
  </w:num>
  <w:num w:numId="11" w16cid:durableId="1066605220">
    <w:abstractNumId w:val="20"/>
  </w:num>
  <w:num w:numId="12" w16cid:durableId="920261110">
    <w:abstractNumId w:val="12"/>
  </w:num>
  <w:num w:numId="13" w16cid:durableId="676999034">
    <w:abstractNumId w:val="22"/>
  </w:num>
  <w:num w:numId="14" w16cid:durableId="1589846493">
    <w:abstractNumId w:val="14"/>
  </w:num>
  <w:num w:numId="15" w16cid:durableId="1661470811">
    <w:abstractNumId w:val="4"/>
  </w:num>
  <w:num w:numId="16" w16cid:durableId="2141730359">
    <w:abstractNumId w:val="1"/>
  </w:num>
  <w:num w:numId="17" w16cid:durableId="1496650663">
    <w:abstractNumId w:val="3"/>
  </w:num>
  <w:num w:numId="18" w16cid:durableId="2134710061">
    <w:abstractNumId w:val="16"/>
  </w:num>
  <w:num w:numId="19" w16cid:durableId="643045813">
    <w:abstractNumId w:val="23"/>
  </w:num>
  <w:num w:numId="20" w16cid:durableId="1366715733">
    <w:abstractNumId w:val="21"/>
  </w:num>
  <w:num w:numId="21" w16cid:durableId="372078399">
    <w:abstractNumId w:val="0"/>
  </w:num>
  <w:num w:numId="22" w16cid:durableId="1535338446">
    <w:abstractNumId w:val="9"/>
  </w:num>
  <w:num w:numId="23" w16cid:durableId="1899168521">
    <w:abstractNumId w:val="2"/>
  </w:num>
  <w:num w:numId="24" w16cid:durableId="85612034">
    <w:abstractNumId w:val="18"/>
  </w:num>
  <w:num w:numId="25" w16cid:durableId="944077843">
    <w:abstractNumId w:val="18"/>
  </w:num>
  <w:num w:numId="26" w16cid:durableId="2069645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491C"/>
    <w:rsid w:val="00010985"/>
    <w:rsid w:val="00015115"/>
    <w:rsid w:val="000210B9"/>
    <w:rsid w:val="00021484"/>
    <w:rsid w:val="000266CD"/>
    <w:rsid w:val="000329F0"/>
    <w:rsid w:val="000554F9"/>
    <w:rsid w:val="00060489"/>
    <w:rsid w:val="00072BFC"/>
    <w:rsid w:val="00074C47"/>
    <w:rsid w:val="00080AA0"/>
    <w:rsid w:val="00081641"/>
    <w:rsid w:val="000904CD"/>
    <w:rsid w:val="000949A4"/>
    <w:rsid w:val="00095091"/>
    <w:rsid w:val="000A1ECC"/>
    <w:rsid w:val="000B0C53"/>
    <w:rsid w:val="000B1582"/>
    <w:rsid w:val="000B5FBC"/>
    <w:rsid w:val="000B6045"/>
    <w:rsid w:val="000D23FC"/>
    <w:rsid w:val="000E5AE6"/>
    <w:rsid w:val="000E679F"/>
    <w:rsid w:val="000F5CF0"/>
    <w:rsid w:val="00101ABB"/>
    <w:rsid w:val="001129B6"/>
    <w:rsid w:val="00120624"/>
    <w:rsid w:val="00150718"/>
    <w:rsid w:val="00156783"/>
    <w:rsid w:val="00170833"/>
    <w:rsid w:val="001730B5"/>
    <w:rsid w:val="00181E11"/>
    <w:rsid w:val="00194A21"/>
    <w:rsid w:val="001B359D"/>
    <w:rsid w:val="001C44B4"/>
    <w:rsid w:val="001C6722"/>
    <w:rsid w:val="001D0999"/>
    <w:rsid w:val="001D1D70"/>
    <w:rsid w:val="001D2D5F"/>
    <w:rsid w:val="001D506B"/>
    <w:rsid w:val="001E0578"/>
    <w:rsid w:val="001E096B"/>
    <w:rsid w:val="001E1616"/>
    <w:rsid w:val="001E5C79"/>
    <w:rsid w:val="001F1120"/>
    <w:rsid w:val="002036B3"/>
    <w:rsid w:val="00211B6D"/>
    <w:rsid w:val="00221341"/>
    <w:rsid w:val="0022502E"/>
    <w:rsid w:val="00235ECA"/>
    <w:rsid w:val="002369C9"/>
    <w:rsid w:val="00261CD7"/>
    <w:rsid w:val="00263011"/>
    <w:rsid w:val="002633C0"/>
    <w:rsid w:val="00264983"/>
    <w:rsid w:val="00290DEB"/>
    <w:rsid w:val="0029362C"/>
    <w:rsid w:val="00296726"/>
    <w:rsid w:val="002969C4"/>
    <w:rsid w:val="00296B2E"/>
    <w:rsid w:val="002A0E98"/>
    <w:rsid w:val="002B276D"/>
    <w:rsid w:val="002B5086"/>
    <w:rsid w:val="002B70E9"/>
    <w:rsid w:val="002D02D3"/>
    <w:rsid w:val="002E187E"/>
    <w:rsid w:val="002E1D2C"/>
    <w:rsid w:val="002E3A52"/>
    <w:rsid w:val="002F65E2"/>
    <w:rsid w:val="002F67EA"/>
    <w:rsid w:val="00311097"/>
    <w:rsid w:val="00314CAF"/>
    <w:rsid w:val="0032005C"/>
    <w:rsid w:val="003207C1"/>
    <w:rsid w:val="00323E3A"/>
    <w:rsid w:val="00324E27"/>
    <w:rsid w:val="003314A2"/>
    <w:rsid w:val="003436B9"/>
    <w:rsid w:val="0035183E"/>
    <w:rsid w:val="003631BB"/>
    <w:rsid w:val="0036516B"/>
    <w:rsid w:val="003827E1"/>
    <w:rsid w:val="00384B87"/>
    <w:rsid w:val="003B44CB"/>
    <w:rsid w:val="003B7F1A"/>
    <w:rsid w:val="003C3BD1"/>
    <w:rsid w:val="003C53CF"/>
    <w:rsid w:val="003D6459"/>
    <w:rsid w:val="003E06F8"/>
    <w:rsid w:val="003E0AAA"/>
    <w:rsid w:val="004017D5"/>
    <w:rsid w:val="00403BFC"/>
    <w:rsid w:val="0041440F"/>
    <w:rsid w:val="00437455"/>
    <w:rsid w:val="00462B3C"/>
    <w:rsid w:val="00462FA3"/>
    <w:rsid w:val="00463879"/>
    <w:rsid w:val="004812F7"/>
    <w:rsid w:val="00487C6E"/>
    <w:rsid w:val="00490BD1"/>
    <w:rsid w:val="00493936"/>
    <w:rsid w:val="00495D4D"/>
    <w:rsid w:val="004B0A9C"/>
    <w:rsid w:val="004B1072"/>
    <w:rsid w:val="004B2E7F"/>
    <w:rsid w:val="004C7D4E"/>
    <w:rsid w:val="004E0E7C"/>
    <w:rsid w:val="004E3220"/>
    <w:rsid w:val="004E5114"/>
    <w:rsid w:val="004F0549"/>
    <w:rsid w:val="00504FFB"/>
    <w:rsid w:val="00517DC7"/>
    <w:rsid w:val="00524C92"/>
    <w:rsid w:val="0053061A"/>
    <w:rsid w:val="00533894"/>
    <w:rsid w:val="005460B3"/>
    <w:rsid w:val="00586D22"/>
    <w:rsid w:val="005B2555"/>
    <w:rsid w:val="005F1C1A"/>
    <w:rsid w:val="005F5B9B"/>
    <w:rsid w:val="005F61D3"/>
    <w:rsid w:val="006056E7"/>
    <w:rsid w:val="00607BF1"/>
    <w:rsid w:val="00617F8E"/>
    <w:rsid w:val="006303EF"/>
    <w:rsid w:val="00646FCF"/>
    <w:rsid w:val="00656A54"/>
    <w:rsid w:val="00672E30"/>
    <w:rsid w:val="006908D7"/>
    <w:rsid w:val="00694306"/>
    <w:rsid w:val="0069762E"/>
    <w:rsid w:val="006A1563"/>
    <w:rsid w:val="006B6B50"/>
    <w:rsid w:val="006C3700"/>
    <w:rsid w:val="006F0CAA"/>
    <w:rsid w:val="006F31CC"/>
    <w:rsid w:val="0072493D"/>
    <w:rsid w:val="00727D6C"/>
    <w:rsid w:val="00745704"/>
    <w:rsid w:val="00750B5E"/>
    <w:rsid w:val="0075141F"/>
    <w:rsid w:val="00752CAF"/>
    <w:rsid w:val="007617DF"/>
    <w:rsid w:val="00761B63"/>
    <w:rsid w:val="0076303D"/>
    <w:rsid w:val="00764187"/>
    <w:rsid w:val="0076536A"/>
    <w:rsid w:val="00765B0F"/>
    <w:rsid w:val="00780B07"/>
    <w:rsid w:val="00781CD2"/>
    <w:rsid w:val="0079470D"/>
    <w:rsid w:val="00796F4F"/>
    <w:rsid w:val="007A150E"/>
    <w:rsid w:val="007A7581"/>
    <w:rsid w:val="007B19D1"/>
    <w:rsid w:val="007C37D7"/>
    <w:rsid w:val="007D671B"/>
    <w:rsid w:val="008054B0"/>
    <w:rsid w:val="00807651"/>
    <w:rsid w:val="0081752E"/>
    <w:rsid w:val="00830037"/>
    <w:rsid w:val="00844594"/>
    <w:rsid w:val="00853C31"/>
    <w:rsid w:val="00855335"/>
    <w:rsid w:val="008615AE"/>
    <w:rsid w:val="00867D6A"/>
    <w:rsid w:val="008754FC"/>
    <w:rsid w:val="00887DE5"/>
    <w:rsid w:val="008B59F4"/>
    <w:rsid w:val="008B61E5"/>
    <w:rsid w:val="008B685D"/>
    <w:rsid w:val="008B7A86"/>
    <w:rsid w:val="008D05DD"/>
    <w:rsid w:val="008E249B"/>
    <w:rsid w:val="008E32D3"/>
    <w:rsid w:val="008F08A6"/>
    <w:rsid w:val="008F5E13"/>
    <w:rsid w:val="008F6B57"/>
    <w:rsid w:val="00903126"/>
    <w:rsid w:val="00906BBE"/>
    <w:rsid w:val="00915725"/>
    <w:rsid w:val="00921571"/>
    <w:rsid w:val="00921F19"/>
    <w:rsid w:val="00922F57"/>
    <w:rsid w:val="00923250"/>
    <w:rsid w:val="009275A7"/>
    <w:rsid w:val="00934E6D"/>
    <w:rsid w:val="00936DC6"/>
    <w:rsid w:val="00951707"/>
    <w:rsid w:val="00952763"/>
    <w:rsid w:val="0095378E"/>
    <w:rsid w:val="0095762A"/>
    <w:rsid w:val="009672ED"/>
    <w:rsid w:val="009820E4"/>
    <w:rsid w:val="00987619"/>
    <w:rsid w:val="00992368"/>
    <w:rsid w:val="00996B7A"/>
    <w:rsid w:val="009A06ED"/>
    <w:rsid w:val="009B124E"/>
    <w:rsid w:val="009C6F1F"/>
    <w:rsid w:val="009D5250"/>
    <w:rsid w:val="009E5DAE"/>
    <w:rsid w:val="009F2F44"/>
    <w:rsid w:val="009F340C"/>
    <w:rsid w:val="00A20688"/>
    <w:rsid w:val="00A32E19"/>
    <w:rsid w:val="00A36E39"/>
    <w:rsid w:val="00A567ED"/>
    <w:rsid w:val="00A822AC"/>
    <w:rsid w:val="00A92482"/>
    <w:rsid w:val="00AA65D0"/>
    <w:rsid w:val="00AB6A44"/>
    <w:rsid w:val="00AE75F7"/>
    <w:rsid w:val="00AF7716"/>
    <w:rsid w:val="00B04CAC"/>
    <w:rsid w:val="00B12A8F"/>
    <w:rsid w:val="00B17152"/>
    <w:rsid w:val="00B2787D"/>
    <w:rsid w:val="00B371E5"/>
    <w:rsid w:val="00B50A96"/>
    <w:rsid w:val="00B775EB"/>
    <w:rsid w:val="00B90E05"/>
    <w:rsid w:val="00B95DA2"/>
    <w:rsid w:val="00B9755C"/>
    <w:rsid w:val="00BA0472"/>
    <w:rsid w:val="00BA1E5F"/>
    <w:rsid w:val="00BB1126"/>
    <w:rsid w:val="00BC32CC"/>
    <w:rsid w:val="00BD1C61"/>
    <w:rsid w:val="00BD5BF3"/>
    <w:rsid w:val="00BE073F"/>
    <w:rsid w:val="00BF2520"/>
    <w:rsid w:val="00BF3BA6"/>
    <w:rsid w:val="00C032F1"/>
    <w:rsid w:val="00C3094E"/>
    <w:rsid w:val="00C3165F"/>
    <w:rsid w:val="00C31BAC"/>
    <w:rsid w:val="00C44ECC"/>
    <w:rsid w:val="00C70A4B"/>
    <w:rsid w:val="00C81421"/>
    <w:rsid w:val="00C9490C"/>
    <w:rsid w:val="00CA0FA9"/>
    <w:rsid w:val="00CA2640"/>
    <w:rsid w:val="00CC6478"/>
    <w:rsid w:val="00CD1FB1"/>
    <w:rsid w:val="00CD2976"/>
    <w:rsid w:val="00CD4078"/>
    <w:rsid w:val="00CE1BB7"/>
    <w:rsid w:val="00CF651A"/>
    <w:rsid w:val="00D03DE1"/>
    <w:rsid w:val="00D0794C"/>
    <w:rsid w:val="00D20385"/>
    <w:rsid w:val="00D33414"/>
    <w:rsid w:val="00D35F0D"/>
    <w:rsid w:val="00D82942"/>
    <w:rsid w:val="00D8404E"/>
    <w:rsid w:val="00D95BC4"/>
    <w:rsid w:val="00D97FB7"/>
    <w:rsid w:val="00DA4708"/>
    <w:rsid w:val="00DC04D4"/>
    <w:rsid w:val="00DC0E11"/>
    <w:rsid w:val="00DC3566"/>
    <w:rsid w:val="00DD1CA5"/>
    <w:rsid w:val="00DD58BF"/>
    <w:rsid w:val="00DD6A64"/>
    <w:rsid w:val="00DE5BEB"/>
    <w:rsid w:val="00DF25DE"/>
    <w:rsid w:val="00E125A5"/>
    <w:rsid w:val="00E26A9D"/>
    <w:rsid w:val="00E54127"/>
    <w:rsid w:val="00E5668B"/>
    <w:rsid w:val="00E7033F"/>
    <w:rsid w:val="00E802BC"/>
    <w:rsid w:val="00EB5FFB"/>
    <w:rsid w:val="00EC2BEB"/>
    <w:rsid w:val="00ED082E"/>
    <w:rsid w:val="00ED569D"/>
    <w:rsid w:val="00EE1A95"/>
    <w:rsid w:val="00EE687D"/>
    <w:rsid w:val="00EF29BE"/>
    <w:rsid w:val="00F04C19"/>
    <w:rsid w:val="00F07A2E"/>
    <w:rsid w:val="00F103A5"/>
    <w:rsid w:val="00F16DBA"/>
    <w:rsid w:val="00F2084C"/>
    <w:rsid w:val="00F24A2E"/>
    <w:rsid w:val="00F419D2"/>
    <w:rsid w:val="00F44523"/>
    <w:rsid w:val="00F54C0F"/>
    <w:rsid w:val="00F62D63"/>
    <w:rsid w:val="00F64946"/>
    <w:rsid w:val="00F67EF8"/>
    <w:rsid w:val="00F76988"/>
    <w:rsid w:val="00F83C0B"/>
    <w:rsid w:val="00F856C2"/>
    <w:rsid w:val="00F8712E"/>
    <w:rsid w:val="00F875C5"/>
    <w:rsid w:val="00F90650"/>
    <w:rsid w:val="00F919EA"/>
    <w:rsid w:val="00F9277D"/>
    <w:rsid w:val="00FB407B"/>
    <w:rsid w:val="00FB5A3E"/>
    <w:rsid w:val="00FC01A7"/>
    <w:rsid w:val="00FC0C7C"/>
    <w:rsid w:val="00FD0E9C"/>
    <w:rsid w:val="00FD0FD5"/>
    <w:rsid w:val="00FD53B3"/>
    <w:rsid w:val="00FE2AF5"/>
    <w:rsid w:val="00FE32D6"/>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next w:val="Normal"/>
    <w:link w:val="Ttulo1Car"/>
    <w:autoRedefine/>
    <w:uiPriority w:val="9"/>
    <w:qFormat/>
    <w:rsid w:val="00887DE5"/>
    <w:pPr>
      <w:keepNext/>
      <w:keepLines/>
      <w:widowControl w:val="0"/>
      <w:autoSpaceDE w:val="0"/>
      <w:autoSpaceDN w:val="0"/>
      <w:spacing w:before="240" w:line="360" w:lineRule="auto"/>
      <w:jc w:val="both"/>
      <w:outlineLvl w:val="0"/>
    </w:pPr>
    <w:rPr>
      <w:rFonts w:ascii="Arial" w:eastAsiaTheme="majorEastAsia" w:hAnsi="Arial" w:cstheme="majorBidi"/>
      <w:b/>
      <w:sz w:val="22"/>
      <w:szCs w:val="3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 w:type="paragraph" w:styleId="Sangra2detindependiente">
    <w:name w:val="Body Text Indent 2"/>
    <w:basedOn w:val="Normal"/>
    <w:link w:val="Sangra2detindependienteCar"/>
    <w:uiPriority w:val="99"/>
    <w:unhideWhenUsed/>
    <w:rsid w:val="00586D2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rsid w:val="00586D22"/>
    <w:rPr>
      <w:rFonts w:ascii="Times New Roman" w:eastAsia="Times New Roman" w:hAnsi="Times New Roman" w:cs="Times New Roman"/>
      <w:lang w:val="es-ES" w:eastAsia="es-ES"/>
    </w:rPr>
  </w:style>
  <w:style w:type="paragraph" w:styleId="Sinespaciado">
    <w:name w:val="No Spacing"/>
    <w:aliases w:val="TutExcep"/>
    <w:next w:val="Normal"/>
    <w:link w:val="SinespaciadoCar"/>
    <w:uiPriority w:val="1"/>
    <w:qFormat/>
    <w:rsid w:val="00887DE5"/>
    <w:pPr>
      <w:widowControl w:val="0"/>
      <w:numPr>
        <w:numId w:val="19"/>
      </w:numPr>
      <w:autoSpaceDE w:val="0"/>
      <w:autoSpaceDN w:val="0"/>
      <w:spacing w:line="360" w:lineRule="auto"/>
      <w:jc w:val="both"/>
    </w:pPr>
    <w:rPr>
      <w:rFonts w:ascii="Arial" w:eastAsia="Arial" w:hAnsi="Arial" w:cs="Arial"/>
      <w:b/>
      <w:sz w:val="22"/>
      <w:szCs w:val="22"/>
      <w:lang w:val="es-ES"/>
    </w:rPr>
  </w:style>
  <w:style w:type="character" w:customStyle="1" w:styleId="SinespaciadoCar">
    <w:name w:val="Sin espaciado Car"/>
    <w:aliases w:val="TutExcep Car"/>
    <w:link w:val="Sinespaciado"/>
    <w:uiPriority w:val="1"/>
    <w:locked/>
    <w:rsid w:val="00887DE5"/>
    <w:rPr>
      <w:rFonts w:ascii="Arial" w:eastAsia="Arial" w:hAnsi="Arial" w:cs="Arial"/>
      <w:b/>
      <w:sz w:val="22"/>
      <w:szCs w:val="22"/>
      <w:lang w:val="es-ES"/>
    </w:rPr>
  </w:style>
  <w:style w:type="character" w:customStyle="1" w:styleId="Ttulo1Car">
    <w:name w:val="Título 1 Car"/>
    <w:basedOn w:val="Fuentedeprrafopredeter"/>
    <w:link w:val="Ttulo1"/>
    <w:uiPriority w:val="9"/>
    <w:rsid w:val="00887DE5"/>
    <w:rPr>
      <w:rFonts w:ascii="Arial" w:eastAsiaTheme="majorEastAsia" w:hAnsi="Arial" w:cstheme="majorBidi"/>
      <w:b/>
      <w:sz w:val="22"/>
      <w:szCs w:val="32"/>
      <w:lang w:val="es-ES"/>
    </w:rPr>
  </w:style>
  <w:style w:type="paragraph" w:customStyle="1" w:styleId="Standard">
    <w:name w:val="Standard"/>
    <w:rsid w:val="00887DE5"/>
    <w:pPr>
      <w:widowControl w:val="0"/>
      <w:suppressAutoHyphens/>
      <w:autoSpaceDN w:val="0"/>
      <w:textAlignment w:val="baseline"/>
    </w:pPr>
    <w:rPr>
      <w:rFonts w:ascii="Liberation Serif" w:eastAsia="Arial Unicode MS" w:hAnsi="Liberation Serif" w:cs="Mangal"/>
      <w:kern w:val="3"/>
      <w:lang w:val="es-ES" w:eastAsia="zh-CN" w:bidi="hi-IN"/>
    </w:rPr>
  </w:style>
  <w:style w:type="character" w:customStyle="1" w:styleId="normaltextrun">
    <w:name w:val="normaltextrun"/>
    <w:basedOn w:val="Fuentedeprrafopredeter"/>
    <w:rsid w:val="00887DE5"/>
  </w:style>
  <w:style w:type="paragraph" w:styleId="Revisin">
    <w:name w:val="Revision"/>
    <w:hidden/>
    <w:uiPriority w:val="99"/>
    <w:semiHidden/>
    <w:rsid w:val="00296726"/>
  </w:style>
  <w:style w:type="character" w:styleId="Refdecomentario">
    <w:name w:val="annotation reference"/>
    <w:basedOn w:val="Fuentedeprrafopredeter"/>
    <w:uiPriority w:val="99"/>
    <w:semiHidden/>
    <w:unhideWhenUsed/>
    <w:rsid w:val="00A92482"/>
    <w:rPr>
      <w:sz w:val="16"/>
      <w:szCs w:val="16"/>
    </w:rPr>
  </w:style>
  <w:style w:type="paragraph" w:styleId="Textocomentario">
    <w:name w:val="annotation text"/>
    <w:basedOn w:val="Normal"/>
    <w:link w:val="TextocomentarioCar"/>
    <w:uiPriority w:val="99"/>
    <w:unhideWhenUsed/>
    <w:rsid w:val="00A92482"/>
    <w:rPr>
      <w:sz w:val="20"/>
      <w:szCs w:val="20"/>
    </w:rPr>
  </w:style>
  <w:style w:type="character" w:customStyle="1" w:styleId="TextocomentarioCar">
    <w:name w:val="Texto comentario Car"/>
    <w:basedOn w:val="Fuentedeprrafopredeter"/>
    <w:link w:val="Textocomentario"/>
    <w:uiPriority w:val="99"/>
    <w:rsid w:val="00A92482"/>
    <w:rPr>
      <w:sz w:val="20"/>
      <w:szCs w:val="20"/>
    </w:rPr>
  </w:style>
  <w:style w:type="paragraph" w:styleId="Asuntodelcomentario">
    <w:name w:val="annotation subject"/>
    <w:basedOn w:val="Textocomentario"/>
    <w:next w:val="Textocomentario"/>
    <w:link w:val="AsuntodelcomentarioCar"/>
    <w:uiPriority w:val="99"/>
    <w:semiHidden/>
    <w:unhideWhenUsed/>
    <w:rsid w:val="00A92482"/>
    <w:rPr>
      <w:b/>
      <w:bCs/>
    </w:rPr>
  </w:style>
  <w:style w:type="character" w:customStyle="1" w:styleId="AsuntodelcomentarioCar">
    <w:name w:val="Asunto del comentario Car"/>
    <w:basedOn w:val="TextocomentarioCar"/>
    <w:link w:val="Asuntodelcomentario"/>
    <w:uiPriority w:val="99"/>
    <w:semiHidden/>
    <w:rsid w:val="00A924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1180">
      <w:bodyDiv w:val="1"/>
      <w:marLeft w:val="0"/>
      <w:marRight w:val="0"/>
      <w:marTop w:val="0"/>
      <w:marBottom w:val="0"/>
      <w:divBdr>
        <w:top w:val="none" w:sz="0" w:space="0" w:color="auto"/>
        <w:left w:val="none" w:sz="0" w:space="0" w:color="auto"/>
        <w:bottom w:val="none" w:sz="0" w:space="0" w:color="auto"/>
        <w:right w:val="none" w:sz="0" w:space="0" w:color="auto"/>
      </w:divBdr>
    </w:div>
    <w:div w:id="50423981">
      <w:bodyDiv w:val="1"/>
      <w:marLeft w:val="0"/>
      <w:marRight w:val="0"/>
      <w:marTop w:val="0"/>
      <w:marBottom w:val="0"/>
      <w:divBdr>
        <w:top w:val="none" w:sz="0" w:space="0" w:color="auto"/>
        <w:left w:val="none" w:sz="0" w:space="0" w:color="auto"/>
        <w:bottom w:val="none" w:sz="0" w:space="0" w:color="auto"/>
        <w:right w:val="none" w:sz="0" w:space="0" w:color="auto"/>
      </w:divBdr>
    </w:div>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118956532">
      <w:bodyDiv w:val="1"/>
      <w:marLeft w:val="0"/>
      <w:marRight w:val="0"/>
      <w:marTop w:val="0"/>
      <w:marBottom w:val="0"/>
      <w:divBdr>
        <w:top w:val="none" w:sz="0" w:space="0" w:color="auto"/>
        <w:left w:val="none" w:sz="0" w:space="0" w:color="auto"/>
        <w:bottom w:val="none" w:sz="0" w:space="0" w:color="auto"/>
        <w:right w:val="none" w:sz="0" w:space="0" w:color="auto"/>
      </w:divBdr>
    </w:div>
    <w:div w:id="15284057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372313830">
      <w:bodyDiv w:val="1"/>
      <w:marLeft w:val="0"/>
      <w:marRight w:val="0"/>
      <w:marTop w:val="0"/>
      <w:marBottom w:val="0"/>
      <w:divBdr>
        <w:top w:val="none" w:sz="0" w:space="0" w:color="auto"/>
        <w:left w:val="none" w:sz="0" w:space="0" w:color="auto"/>
        <w:bottom w:val="none" w:sz="0" w:space="0" w:color="auto"/>
        <w:right w:val="none" w:sz="0" w:space="0" w:color="auto"/>
      </w:divBdr>
    </w:div>
    <w:div w:id="410391287">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456415642">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553472879">
      <w:bodyDiv w:val="1"/>
      <w:marLeft w:val="0"/>
      <w:marRight w:val="0"/>
      <w:marTop w:val="0"/>
      <w:marBottom w:val="0"/>
      <w:divBdr>
        <w:top w:val="none" w:sz="0" w:space="0" w:color="auto"/>
        <w:left w:val="none" w:sz="0" w:space="0" w:color="auto"/>
        <w:bottom w:val="none" w:sz="0" w:space="0" w:color="auto"/>
        <w:right w:val="none" w:sz="0" w:space="0" w:color="auto"/>
      </w:divBdr>
    </w:div>
    <w:div w:id="581450238">
      <w:bodyDiv w:val="1"/>
      <w:marLeft w:val="0"/>
      <w:marRight w:val="0"/>
      <w:marTop w:val="0"/>
      <w:marBottom w:val="0"/>
      <w:divBdr>
        <w:top w:val="none" w:sz="0" w:space="0" w:color="auto"/>
        <w:left w:val="none" w:sz="0" w:space="0" w:color="auto"/>
        <w:bottom w:val="none" w:sz="0" w:space="0" w:color="auto"/>
        <w:right w:val="none" w:sz="0" w:space="0" w:color="auto"/>
      </w:divBdr>
    </w:div>
    <w:div w:id="605582050">
      <w:bodyDiv w:val="1"/>
      <w:marLeft w:val="0"/>
      <w:marRight w:val="0"/>
      <w:marTop w:val="0"/>
      <w:marBottom w:val="0"/>
      <w:divBdr>
        <w:top w:val="none" w:sz="0" w:space="0" w:color="auto"/>
        <w:left w:val="none" w:sz="0" w:space="0" w:color="auto"/>
        <w:bottom w:val="none" w:sz="0" w:space="0" w:color="auto"/>
        <w:right w:val="none" w:sz="0" w:space="0" w:color="auto"/>
      </w:divBdr>
      <w:divsChild>
        <w:div w:id="240532765">
          <w:marLeft w:val="0"/>
          <w:marRight w:val="0"/>
          <w:marTop w:val="0"/>
          <w:marBottom w:val="0"/>
          <w:divBdr>
            <w:top w:val="none" w:sz="0" w:space="0" w:color="auto"/>
            <w:left w:val="none" w:sz="0" w:space="0" w:color="auto"/>
            <w:bottom w:val="none" w:sz="0" w:space="0" w:color="auto"/>
            <w:right w:val="none" w:sz="0" w:space="0" w:color="auto"/>
          </w:divBdr>
          <w:divsChild>
            <w:div w:id="2105179078">
              <w:marLeft w:val="0"/>
              <w:marRight w:val="0"/>
              <w:marTop w:val="0"/>
              <w:marBottom w:val="0"/>
              <w:divBdr>
                <w:top w:val="none" w:sz="0" w:space="0" w:color="auto"/>
                <w:left w:val="none" w:sz="0" w:space="0" w:color="auto"/>
                <w:bottom w:val="none" w:sz="0" w:space="0" w:color="auto"/>
                <w:right w:val="none" w:sz="0" w:space="0" w:color="auto"/>
              </w:divBdr>
              <w:divsChild>
                <w:div w:id="470051290">
                  <w:marLeft w:val="0"/>
                  <w:marRight w:val="0"/>
                  <w:marTop w:val="0"/>
                  <w:marBottom w:val="0"/>
                  <w:divBdr>
                    <w:top w:val="none" w:sz="0" w:space="0" w:color="auto"/>
                    <w:left w:val="none" w:sz="0" w:space="0" w:color="auto"/>
                    <w:bottom w:val="none" w:sz="0" w:space="0" w:color="auto"/>
                    <w:right w:val="none" w:sz="0" w:space="0" w:color="auto"/>
                  </w:divBdr>
                  <w:divsChild>
                    <w:div w:id="353774822">
                      <w:marLeft w:val="0"/>
                      <w:marRight w:val="0"/>
                      <w:marTop w:val="0"/>
                      <w:marBottom w:val="0"/>
                      <w:divBdr>
                        <w:top w:val="none" w:sz="0" w:space="0" w:color="auto"/>
                        <w:left w:val="none" w:sz="0" w:space="0" w:color="auto"/>
                        <w:bottom w:val="none" w:sz="0" w:space="0" w:color="auto"/>
                        <w:right w:val="none" w:sz="0" w:space="0" w:color="auto"/>
                      </w:divBdr>
                      <w:divsChild>
                        <w:div w:id="1044063225">
                          <w:marLeft w:val="0"/>
                          <w:marRight w:val="0"/>
                          <w:marTop w:val="0"/>
                          <w:marBottom w:val="0"/>
                          <w:divBdr>
                            <w:top w:val="none" w:sz="0" w:space="0" w:color="auto"/>
                            <w:left w:val="none" w:sz="0" w:space="0" w:color="auto"/>
                            <w:bottom w:val="none" w:sz="0" w:space="0" w:color="auto"/>
                            <w:right w:val="none" w:sz="0" w:space="0" w:color="auto"/>
                          </w:divBdr>
                          <w:divsChild>
                            <w:div w:id="1465149522">
                              <w:marLeft w:val="0"/>
                              <w:marRight w:val="0"/>
                              <w:marTop w:val="0"/>
                              <w:marBottom w:val="0"/>
                              <w:divBdr>
                                <w:top w:val="none" w:sz="0" w:space="0" w:color="auto"/>
                                <w:left w:val="none" w:sz="0" w:space="0" w:color="auto"/>
                                <w:bottom w:val="none" w:sz="0" w:space="0" w:color="auto"/>
                                <w:right w:val="none" w:sz="0" w:space="0" w:color="auto"/>
                              </w:divBdr>
                              <w:divsChild>
                                <w:div w:id="1959296905">
                                  <w:marLeft w:val="0"/>
                                  <w:marRight w:val="0"/>
                                  <w:marTop w:val="0"/>
                                  <w:marBottom w:val="0"/>
                                  <w:divBdr>
                                    <w:top w:val="none" w:sz="0" w:space="0" w:color="auto"/>
                                    <w:left w:val="none" w:sz="0" w:space="0" w:color="auto"/>
                                    <w:bottom w:val="none" w:sz="0" w:space="0" w:color="auto"/>
                                    <w:right w:val="none" w:sz="0" w:space="0" w:color="auto"/>
                                  </w:divBdr>
                                  <w:divsChild>
                                    <w:div w:id="17684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31054580">
      <w:bodyDiv w:val="1"/>
      <w:marLeft w:val="0"/>
      <w:marRight w:val="0"/>
      <w:marTop w:val="0"/>
      <w:marBottom w:val="0"/>
      <w:divBdr>
        <w:top w:val="none" w:sz="0" w:space="0" w:color="auto"/>
        <w:left w:val="none" w:sz="0" w:space="0" w:color="auto"/>
        <w:bottom w:val="none" w:sz="0" w:space="0" w:color="auto"/>
        <w:right w:val="none" w:sz="0" w:space="0" w:color="auto"/>
      </w:divBdr>
    </w:div>
    <w:div w:id="659893861">
      <w:bodyDiv w:val="1"/>
      <w:marLeft w:val="0"/>
      <w:marRight w:val="0"/>
      <w:marTop w:val="0"/>
      <w:marBottom w:val="0"/>
      <w:divBdr>
        <w:top w:val="none" w:sz="0" w:space="0" w:color="auto"/>
        <w:left w:val="none" w:sz="0" w:space="0" w:color="auto"/>
        <w:bottom w:val="none" w:sz="0" w:space="0" w:color="auto"/>
        <w:right w:val="none" w:sz="0" w:space="0" w:color="auto"/>
      </w:divBdr>
    </w:div>
    <w:div w:id="674109452">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01076555">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14680103">
      <w:bodyDiv w:val="1"/>
      <w:marLeft w:val="0"/>
      <w:marRight w:val="0"/>
      <w:marTop w:val="0"/>
      <w:marBottom w:val="0"/>
      <w:divBdr>
        <w:top w:val="none" w:sz="0" w:space="0" w:color="auto"/>
        <w:left w:val="none" w:sz="0" w:space="0" w:color="auto"/>
        <w:bottom w:val="none" w:sz="0" w:space="0" w:color="auto"/>
        <w:right w:val="none" w:sz="0" w:space="0" w:color="auto"/>
      </w:divBdr>
    </w:div>
    <w:div w:id="847333815">
      <w:bodyDiv w:val="1"/>
      <w:marLeft w:val="0"/>
      <w:marRight w:val="0"/>
      <w:marTop w:val="0"/>
      <w:marBottom w:val="0"/>
      <w:divBdr>
        <w:top w:val="none" w:sz="0" w:space="0" w:color="auto"/>
        <w:left w:val="none" w:sz="0" w:space="0" w:color="auto"/>
        <w:bottom w:val="none" w:sz="0" w:space="0" w:color="auto"/>
        <w:right w:val="none" w:sz="0" w:space="0" w:color="auto"/>
      </w:divBdr>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891842650">
      <w:bodyDiv w:val="1"/>
      <w:marLeft w:val="0"/>
      <w:marRight w:val="0"/>
      <w:marTop w:val="0"/>
      <w:marBottom w:val="0"/>
      <w:divBdr>
        <w:top w:val="none" w:sz="0" w:space="0" w:color="auto"/>
        <w:left w:val="none" w:sz="0" w:space="0" w:color="auto"/>
        <w:bottom w:val="none" w:sz="0" w:space="0" w:color="auto"/>
        <w:right w:val="none" w:sz="0" w:space="0" w:color="auto"/>
      </w:divBdr>
    </w:div>
    <w:div w:id="894702207">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965895182">
      <w:bodyDiv w:val="1"/>
      <w:marLeft w:val="0"/>
      <w:marRight w:val="0"/>
      <w:marTop w:val="0"/>
      <w:marBottom w:val="0"/>
      <w:divBdr>
        <w:top w:val="none" w:sz="0" w:space="0" w:color="auto"/>
        <w:left w:val="none" w:sz="0" w:space="0" w:color="auto"/>
        <w:bottom w:val="none" w:sz="0" w:space="0" w:color="auto"/>
        <w:right w:val="none" w:sz="0" w:space="0" w:color="auto"/>
      </w:divBdr>
    </w:div>
    <w:div w:id="1048142954">
      <w:bodyDiv w:val="1"/>
      <w:marLeft w:val="0"/>
      <w:marRight w:val="0"/>
      <w:marTop w:val="0"/>
      <w:marBottom w:val="0"/>
      <w:divBdr>
        <w:top w:val="none" w:sz="0" w:space="0" w:color="auto"/>
        <w:left w:val="none" w:sz="0" w:space="0" w:color="auto"/>
        <w:bottom w:val="none" w:sz="0" w:space="0" w:color="auto"/>
        <w:right w:val="none" w:sz="0" w:space="0" w:color="auto"/>
      </w:divBdr>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248689298">
      <w:bodyDiv w:val="1"/>
      <w:marLeft w:val="0"/>
      <w:marRight w:val="0"/>
      <w:marTop w:val="0"/>
      <w:marBottom w:val="0"/>
      <w:divBdr>
        <w:top w:val="none" w:sz="0" w:space="0" w:color="auto"/>
        <w:left w:val="none" w:sz="0" w:space="0" w:color="auto"/>
        <w:bottom w:val="none" w:sz="0" w:space="0" w:color="auto"/>
        <w:right w:val="none" w:sz="0" w:space="0" w:color="auto"/>
      </w:divBdr>
    </w:div>
    <w:div w:id="1299604733">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63304194">
      <w:bodyDiv w:val="1"/>
      <w:marLeft w:val="0"/>
      <w:marRight w:val="0"/>
      <w:marTop w:val="0"/>
      <w:marBottom w:val="0"/>
      <w:divBdr>
        <w:top w:val="none" w:sz="0" w:space="0" w:color="auto"/>
        <w:left w:val="none" w:sz="0" w:space="0" w:color="auto"/>
        <w:bottom w:val="none" w:sz="0" w:space="0" w:color="auto"/>
        <w:right w:val="none" w:sz="0" w:space="0" w:color="auto"/>
      </w:divBdr>
      <w:divsChild>
        <w:div w:id="363672772">
          <w:marLeft w:val="0"/>
          <w:marRight w:val="0"/>
          <w:marTop w:val="0"/>
          <w:marBottom w:val="0"/>
          <w:divBdr>
            <w:top w:val="none" w:sz="0" w:space="0" w:color="auto"/>
            <w:left w:val="none" w:sz="0" w:space="0" w:color="auto"/>
            <w:bottom w:val="none" w:sz="0" w:space="0" w:color="auto"/>
            <w:right w:val="none" w:sz="0" w:space="0" w:color="auto"/>
          </w:divBdr>
          <w:divsChild>
            <w:div w:id="446124562">
              <w:marLeft w:val="0"/>
              <w:marRight w:val="0"/>
              <w:marTop w:val="0"/>
              <w:marBottom w:val="0"/>
              <w:divBdr>
                <w:top w:val="none" w:sz="0" w:space="0" w:color="auto"/>
                <w:left w:val="none" w:sz="0" w:space="0" w:color="auto"/>
                <w:bottom w:val="none" w:sz="0" w:space="0" w:color="auto"/>
                <w:right w:val="none" w:sz="0" w:space="0" w:color="auto"/>
              </w:divBdr>
              <w:divsChild>
                <w:div w:id="1753431295">
                  <w:marLeft w:val="0"/>
                  <w:marRight w:val="0"/>
                  <w:marTop w:val="0"/>
                  <w:marBottom w:val="0"/>
                  <w:divBdr>
                    <w:top w:val="none" w:sz="0" w:space="0" w:color="auto"/>
                    <w:left w:val="none" w:sz="0" w:space="0" w:color="auto"/>
                    <w:bottom w:val="none" w:sz="0" w:space="0" w:color="auto"/>
                    <w:right w:val="none" w:sz="0" w:space="0" w:color="auto"/>
                  </w:divBdr>
                  <w:divsChild>
                    <w:div w:id="123931421">
                      <w:marLeft w:val="0"/>
                      <w:marRight w:val="0"/>
                      <w:marTop w:val="0"/>
                      <w:marBottom w:val="0"/>
                      <w:divBdr>
                        <w:top w:val="none" w:sz="0" w:space="0" w:color="auto"/>
                        <w:left w:val="none" w:sz="0" w:space="0" w:color="auto"/>
                        <w:bottom w:val="none" w:sz="0" w:space="0" w:color="auto"/>
                        <w:right w:val="none" w:sz="0" w:space="0" w:color="auto"/>
                      </w:divBdr>
                      <w:divsChild>
                        <w:div w:id="1212618400">
                          <w:marLeft w:val="0"/>
                          <w:marRight w:val="0"/>
                          <w:marTop w:val="0"/>
                          <w:marBottom w:val="0"/>
                          <w:divBdr>
                            <w:top w:val="none" w:sz="0" w:space="0" w:color="auto"/>
                            <w:left w:val="none" w:sz="0" w:space="0" w:color="auto"/>
                            <w:bottom w:val="none" w:sz="0" w:space="0" w:color="auto"/>
                            <w:right w:val="none" w:sz="0" w:space="0" w:color="auto"/>
                          </w:divBdr>
                          <w:divsChild>
                            <w:div w:id="1693408878">
                              <w:marLeft w:val="0"/>
                              <w:marRight w:val="0"/>
                              <w:marTop w:val="0"/>
                              <w:marBottom w:val="0"/>
                              <w:divBdr>
                                <w:top w:val="none" w:sz="0" w:space="0" w:color="auto"/>
                                <w:left w:val="none" w:sz="0" w:space="0" w:color="auto"/>
                                <w:bottom w:val="none" w:sz="0" w:space="0" w:color="auto"/>
                                <w:right w:val="none" w:sz="0" w:space="0" w:color="auto"/>
                              </w:divBdr>
                              <w:divsChild>
                                <w:div w:id="1612712399">
                                  <w:marLeft w:val="0"/>
                                  <w:marRight w:val="0"/>
                                  <w:marTop w:val="0"/>
                                  <w:marBottom w:val="0"/>
                                  <w:divBdr>
                                    <w:top w:val="none" w:sz="0" w:space="0" w:color="auto"/>
                                    <w:left w:val="none" w:sz="0" w:space="0" w:color="auto"/>
                                    <w:bottom w:val="none" w:sz="0" w:space="0" w:color="auto"/>
                                    <w:right w:val="none" w:sz="0" w:space="0" w:color="auto"/>
                                  </w:divBdr>
                                  <w:divsChild>
                                    <w:div w:id="19225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497526425">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48894584">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14841703">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792163776">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04814141">
      <w:bodyDiv w:val="1"/>
      <w:marLeft w:val="0"/>
      <w:marRight w:val="0"/>
      <w:marTop w:val="0"/>
      <w:marBottom w:val="0"/>
      <w:divBdr>
        <w:top w:val="none" w:sz="0" w:space="0" w:color="auto"/>
        <w:left w:val="none" w:sz="0" w:space="0" w:color="auto"/>
        <w:bottom w:val="none" w:sz="0" w:space="0" w:color="auto"/>
        <w:right w:val="none" w:sz="0" w:space="0" w:color="auto"/>
      </w:divBdr>
    </w:div>
    <w:div w:id="2022244781">
      <w:bodyDiv w:val="1"/>
      <w:marLeft w:val="0"/>
      <w:marRight w:val="0"/>
      <w:marTop w:val="0"/>
      <w:marBottom w:val="0"/>
      <w:divBdr>
        <w:top w:val="none" w:sz="0" w:space="0" w:color="auto"/>
        <w:left w:val="none" w:sz="0" w:space="0" w:color="auto"/>
        <w:bottom w:val="none" w:sz="0" w:space="0" w:color="auto"/>
        <w:right w:val="none" w:sz="0" w:space="0" w:color="auto"/>
      </w:divBdr>
      <w:divsChild>
        <w:div w:id="1386443724">
          <w:marLeft w:val="0"/>
          <w:marRight w:val="0"/>
          <w:marTop w:val="0"/>
          <w:marBottom w:val="0"/>
          <w:divBdr>
            <w:top w:val="none" w:sz="0" w:space="0" w:color="auto"/>
            <w:left w:val="none" w:sz="0" w:space="0" w:color="auto"/>
            <w:bottom w:val="none" w:sz="0" w:space="0" w:color="auto"/>
            <w:right w:val="none" w:sz="0" w:space="0" w:color="auto"/>
          </w:divBdr>
          <w:divsChild>
            <w:div w:id="1644307577">
              <w:marLeft w:val="0"/>
              <w:marRight w:val="0"/>
              <w:marTop w:val="0"/>
              <w:marBottom w:val="0"/>
              <w:divBdr>
                <w:top w:val="none" w:sz="0" w:space="0" w:color="auto"/>
                <w:left w:val="none" w:sz="0" w:space="0" w:color="auto"/>
                <w:bottom w:val="none" w:sz="0" w:space="0" w:color="auto"/>
                <w:right w:val="none" w:sz="0" w:space="0" w:color="auto"/>
              </w:divBdr>
              <w:divsChild>
                <w:div w:id="1222710509">
                  <w:marLeft w:val="0"/>
                  <w:marRight w:val="0"/>
                  <w:marTop w:val="0"/>
                  <w:marBottom w:val="0"/>
                  <w:divBdr>
                    <w:top w:val="none" w:sz="0" w:space="0" w:color="auto"/>
                    <w:left w:val="none" w:sz="0" w:space="0" w:color="auto"/>
                    <w:bottom w:val="none" w:sz="0" w:space="0" w:color="auto"/>
                    <w:right w:val="none" w:sz="0" w:space="0" w:color="auto"/>
                  </w:divBdr>
                  <w:divsChild>
                    <w:div w:id="636104582">
                      <w:marLeft w:val="0"/>
                      <w:marRight w:val="0"/>
                      <w:marTop w:val="0"/>
                      <w:marBottom w:val="0"/>
                      <w:divBdr>
                        <w:top w:val="none" w:sz="0" w:space="0" w:color="auto"/>
                        <w:left w:val="none" w:sz="0" w:space="0" w:color="auto"/>
                        <w:bottom w:val="none" w:sz="0" w:space="0" w:color="auto"/>
                        <w:right w:val="none" w:sz="0" w:space="0" w:color="auto"/>
                      </w:divBdr>
                      <w:divsChild>
                        <w:div w:id="1859730544">
                          <w:marLeft w:val="0"/>
                          <w:marRight w:val="0"/>
                          <w:marTop w:val="0"/>
                          <w:marBottom w:val="0"/>
                          <w:divBdr>
                            <w:top w:val="none" w:sz="0" w:space="0" w:color="auto"/>
                            <w:left w:val="none" w:sz="0" w:space="0" w:color="auto"/>
                            <w:bottom w:val="none" w:sz="0" w:space="0" w:color="auto"/>
                            <w:right w:val="none" w:sz="0" w:space="0" w:color="auto"/>
                          </w:divBdr>
                          <w:divsChild>
                            <w:div w:id="1960409066">
                              <w:marLeft w:val="0"/>
                              <w:marRight w:val="0"/>
                              <w:marTop w:val="0"/>
                              <w:marBottom w:val="0"/>
                              <w:divBdr>
                                <w:top w:val="none" w:sz="0" w:space="0" w:color="auto"/>
                                <w:left w:val="none" w:sz="0" w:space="0" w:color="auto"/>
                                <w:bottom w:val="none" w:sz="0" w:space="0" w:color="auto"/>
                                <w:right w:val="none" w:sz="0" w:space="0" w:color="auto"/>
                              </w:divBdr>
                              <w:divsChild>
                                <w:div w:id="579097966">
                                  <w:marLeft w:val="0"/>
                                  <w:marRight w:val="0"/>
                                  <w:marTop w:val="0"/>
                                  <w:marBottom w:val="0"/>
                                  <w:divBdr>
                                    <w:top w:val="none" w:sz="0" w:space="0" w:color="auto"/>
                                    <w:left w:val="none" w:sz="0" w:space="0" w:color="auto"/>
                                    <w:bottom w:val="none" w:sz="0" w:space="0" w:color="auto"/>
                                    <w:right w:val="none" w:sz="0" w:space="0" w:color="auto"/>
                                  </w:divBdr>
                                  <w:divsChild>
                                    <w:div w:id="502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 w:id="2130855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145F0-C190-4240-8157-9A7CC427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Laura Andrea Cruz Rincón</cp:lastModifiedBy>
  <cp:revision>5</cp:revision>
  <cp:lastPrinted>2025-01-20T16:39:00Z</cp:lastPrinted>
  <dcterms:created xsi:type="dcterms:W3CDTF">2025-05-21T23:38:00Z</dcterms:created>
  <dcterms:modified xsi:type="dcterms:W3CDTF">2025-05-23T22:44:00Z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