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637E" w14:textId="6040438A" w:rsidR="00007A0F" w:rsidRDefault="00007A0F" w:rsidP="00E16336">
      <w:pPr>
        <w:pStyle w:val="Default"/>
        <w:jc w:val="center"/>
        <w:rPr>
          <w:sz w:val="28"/>
          <w:szCs w:val="28"/>
        </w:rPr>
      </w:pPr>
      <w:r>
        <w:rPr>
          <w:b/>
          <w:bCs/>
          <w:sz w:val="28"/>
          <w:szCs w:val="28"/>
        </w:rPr>
        <w:t>TRIBUNAL SUPERIOR DEL DISTRITO JUDICIAL</w:t>
      </w:r>
    </w:p>
    <w:p w14:paraId="444D95D7" w14:textId="1C6BECE9" w:rsidR="00007A0F" w:rsidRDefault="00007A0F" w:rsidP="00E16336">
      <w:pPr>
        <w:pStyle w:val="Default"/>
        <w:jc w:val="center"/>
        <w:rPr>
          <w:sz w:val="28"/>
          <w:szCs w:val="28"/>
        </w:rPr>
      </w:pPr>
      <w:r>
        <w:rPr>
          <w:b/>
          <w:bCs/>
          <w:sz w:val="28"/>
          <w:szCs w:val="28"/>
        </w:rPr>
        <w:t>SALA CIVIL</w:t>
      </w:r>
    </w:p>
    <w:p w14:paraId="6F7A345E" w14:textId="736C7012" w:rsidR="00007A0F" w:rsidRDefault="00007A0F" w:rsidP="00E16336">
      <w:pPr>
        <w:pStyle w:val="Default"/>
        <w:jc w:val="center"/>
        <w:rPr>
          <w:sz w:val="28"/>
          <w:szCs w:val="28"/>
        </w:rPr>
      </w:pPr>
      <w:r>
        <w:rPr>
          <w:sz w:val="28"/>
          <w:szCs w:val="28"/>
        </w:rPr>
        <w:t>Bogotá, D.C., veinte de marzo de dos mil veinticuatro.</w:t>
      </w:r>
    </w:p>
    <w:p w14:paraId="3F9AE17D" w14:textId="77777777" w:rsidR="00E16336" w:rsidRDefault="00E16336" w:rsidP="00E16336">
      <w:pPr>
        <w:pStyle w:val="Default"/>
        <w:jc w:val="center"/>
        <w:rPr>
          <w:b/>
          <w:bCs/>
          <w:sz w:val="23"/>
          <w:szCs w:val="23"/>
        </w:rPr>
      </w:pPr>
    </w:p>
    <w:p w14:paraId="3E37DD21" w14:textId="03286442" w:rsidR="00007A0F" w:rsidRDefault="00007A0F" w:rsidP="00E16336">
      <w:pPr>
        <w:pStyle w:val="Default"/>
        <w:jc w:val="center"/>
        <w:rPr>
          <w:sz w:val="23"/>
          <w:szCs w:val="23"/>
        </w:rPr>
      </w:pPr>
      <w:r>
        <w:rPr>
          <w:b/>
          <w:bCs/>
          <w:sz w:val="23"/>
          <w:szCs w:val="23"/>
        </w:rPr>
        <w:t xml:space="preserve">Radicado: </w:t>
      </w:r>
      <w:r>
        <w:rPr>
          <w:sz w:val="23"/>
          <w:szCs w:val="23"/>
        </w:rPr>
        <w:t xml:space="preserve">11001 31 03 034 2022 </w:t>
      </w:r>
      <w:r>
        <w:rPr>
          <w:b/>
          <w:bCs/>
          <w:sz w:val="23"/>
          <w:szCs w:val="23"/>
        </w:rPr>
        <w:t xml:space="preserve">00394 </w:t>
      </w:r>
      <w:r>
        <w:rPr>
          <w:sz w:val="23"/>
          <w:szCs w:val="23"/>
        </w:rPr>
        <w:t>01</w:t>
      </w:r>
    </w:p>
    <w:p w14:paraId="6DF161C2" w14:textId="77777777" w:rsidR="00E16336" w:rsidRDefault="00E16336" w:rsidP="00007A0F">
      <w:pPr>
        <w:pStyle w:val="Default"/>
        <w:rPr>
          <w:sz w:val="28"/>
          <w:szCs w:val="28"/>
        </w:rPr>
      </w:pPr>
    </w:p>
    <w:p w14:paraId="002B12E2" w14:textId="50C9EF62" w:rsidR="00007A0F" w:rsidRDefault="00007A0F" w:rsidP="00E16336">
      <w:pPr>
        <w:pStyle w:val="Default"/>
        <w:jc w:val="both"/>
        <w:rPr>
          <w:sz w:val="28"/>
          <w:szCs w:val="28"/>
        </w:rPr>
      </w:pPr>
      <w:r>
        <w:rPr>
          <w:sz w:val="28"/>
          <w:szCs w:val="28"/>
        </w:rPr>
        <w:t xml:space="preserve">Se admite, en el efecto </w:t>
      </w:r>
      <w:r>
        <w:rPr>
          <w:b/>
          <w:bCs/>
          <w:sz w:val="28"/>
          <w:szCs w:val="28"/>
        </w:rPr>
        <w:t>SUSPENSIVO</w:t>
      </w:r>
      <w:r>
        <w:rPr>
          <w:sz w:val="28"/>
          <w:szCs w:val="28"/>
        </w:rPr>
        <w:t xml:space="preserve">, el recurso de apelación interpuesto por la parte demandante contra la sentencia anticipada proferida el 11 de septiembre de 2023 por el Juzgado 34 Civil del Circuito, dentro del proceso verbal promovido por Carlos Fernando Puerta Velásquez contra BBVA Seguros de Vida Colombia S.A. y otro. </w:t>
      </w:r>
    </w:p>
    <w:p w14:paraId="4B43227F" w14:textId="77777777" w:rsidR="00E16336" w:rsidRDefault="00E16336" w:rsidP="00E16336">
      <w:pPr>
        <w:pStyle w:val="Default"/>
        <w:jc w:val="both"/>
        <w:rPr>
          <w:sz w:val="28"/>
          <w:szCs w:val="28"/>
        </w:rPr>
      </w:pPr>
    </w:p>
    <w:p w14:paraId="0F801E0E" w14:textId="33C94404" w:rsidR="00007A0F" w:rsidRDefault="00007A0F" w:rsidP="00E16336">
      <w:pPr>
        <w:pStyle w:val="Default"/>
        <w:jc w:val="both"/>
        <w:rPr>
          <w:sz w:val="28"/>
          <w:szCs w:val="28"/>
        </w:rPr>
      </w:pPr>
      <w:r>
        <w:rPr>
          <w:sz w:val="28"/>
          <w:szCs w:val="28"/>
        </w:rPr>
        <w:t xml:space="preserve">Cabe advertir que, de conformidad con lo establecido en la Ley 2213 de 2022, el apelante cuenta con el término de cinco (5) días, a partir de la ejecutoria del admisorio, </w:t>
      </w:r>
      <w:r>
        <w:rPr>
          <w:b/>
          <w:bCs/>
          <w:sz w:val="28"/>
          <w:szCs w:val="28"/>
        </w:rPr>
        <w:t xml:space="preserve">para sustentar en esta instancia los precisos reparos </w:t>
      </w:r>
      <w:r>
        <w:rPr>
          <w:sz w:val="28"/>
          <w:szCs w:val="28"/>
        </w:rPr>
        <w:t xml:space="preserve">en los que fundamentó su recurso de apelación, frente a lo cual la parte no apelante tiene cinco (5) días para la réplica. Además, téngase en cuenta que la no sustentación de la alzada en esta instancia impone declararla desierta según el artículo 12 de la referida normatividad, pues a lo dicho en primera instancia no se le puede dar la connotación de la sustentación de los reparos que solo puede y debe hacerse ante el superior, sin perjuicio de que el apelante acuda al Tribunal por escrito a dar alcance y desarrollo argumental a lo manifestado al momento de la interposición del recurso. </w:t>
      </w:r>
    </w:p>
    <w:p w14:paraId="37EB4CC2" w14:textId="77777777" w:rsidR="00E16336" w:rsidRDefault="00E16336" w:rsidP="00E16336">
      <w:pPr>
        <w:pStyle w:val="Default"/>
        <w:jc w:val="both"/>
        <w:rPr>
          <w:b/>
          <w:bCs/>
          <w:sz w:val="28"/>
          <w:szCs w:val="28"/>
        </w:rPr>
      </w:pPr>
    </w:p>
    <w:p w14:paraId="410DAA2C" w14:textId="698F4231" w:rsidR="00007A0F" w:rsidRDefault="00007A0F" w:rsidP="00E16336">
      <w:pPr>
        <w:pStyle w:val="Default"/>
        <w:jc w:val="both"/>
        <w:rPr>
          <w:sz w:val="28"/>
          <w:szCs w:val="28"/>
        </w:rPr>
      </w:pPr>
      <w:r>
        <w:rPr>
          <w:b/>
          <w:bCs/>
          <w:sz w:val="28"/>
          <w:szCs w:val="28"/>
        </w:rPr>
        <w:t xml:space="preserve">NOTIFÍQUESE </w:t>
      </w:r>
    </w:p>
    <w:p w14:paraId="05A0B851" w14:textId="77777777" w:rsidR="00E16336" w:rsidRDefault="00E16336" w:rsidP="00E16336">
      <w:pPr>
        <w:pStyle w:val="Default"/>
        <w:jc w:val="both"/>
        <w:rPr>
          <w:sz w:val="28"/>
          <w:szCs w:val="28"/>
        </w:rPr>
      </w:pPr>
    </w:p>
    <w:p w14:paraId="44462CD6" w14:textId="58EC8B16" w:rsidR="00007A0F" w:rsidRDefault="00007A0F" w:rsidP="00E16336">
      <w:pPr>
        <w:pStyle w:val="Default"/>
        <w:jc w:val="both"/>
        <w:rPr>
          <w:sz w:val="28"/>
          <w:szCs w:val="28"/>
        </w:rPr>
      </w:pPr>
      <w:r>
        <w:rPr>
          <w:sz w:val="28"/>
          <w:szCs w:val="28"/>
        </w:rPr>
        <w:t xml:space="preserve">El Magistrado, </w:t>
      </w:r>
    </w:p>
    <w:p w14:paraId="5332EB67" w14:textId="77777777" w:rsidR="00007A0F" w:rsidRDefault="00007A0F" w:rsidP="00E16336">
      <w:pPr>
        <w:pStyle w:val="Default"/>
        <w:jc w:val="both"/>
        <w:rPr>
          <w:sz w:val="28"/>
          <w:szCs w:val="28"/>
        </w:rPr>
      </w:pPr>
      <w:r>
        <w:rPr>
          <w:b/>
          <w:bCs/>
          <w:sz w:val="28"/>
          <w:szCs w:val="28"/>
        </w:rPr>
        <w:t xml:space="preserve">GERMÁN VALENZUELA VALBUENA </w:t>
      </w:r>
    </w:p>
    <w:p w14:paraId="7E15C4AE" w14:textId="77777777" w:rsidR="00E16336" w:rsidRDefault="00E16336" w:rsidP="00E16336">
      <w:pPr>
        <w:pStyle w:val="Default"/>
        <w:jc w:val="both"/>
        <w:rPr>
          <w:i/>
          <w:iCs/>
          <w:sz w:val="23"/>
          <w:szCs w:val="23"/>
        </w:rPr>
      </w:pPr>
    </w:p>
    <w:p w14:paraId="637DAA34" w14:textId="01CBAF6E" w:rsidR="00007A0F" w:rsidRDefault="00007A0F" w:rsidP="00E16336">
      <w:pPr>
        <w:pStyle w:val="Default"/>
        <w:jc w:val="both"/>
        <w:rPr>
          <w:rFonts w:ascii="Arial" w:hAnsi="Arial" w:cs="Arial"/>
          <w:sz w:val="16"/>
          <w:szCs w:val="16"/>
        </w:rPr>
      </w:pPr>
      <w:r>
        <w:rPr>
          <w:i/>
          <w:iCs/>
          <w:sz w:val="23"/>
          <w:szCs w:val="23"/>
        </w:rPr>
        <w:t xml:space="preserve">11001 31 03 034 2022 00394 01 </w:t>
      </w:r>
      <w:r>
        <w:rPr>
          <w:rFonts w:ascii="Arial" w:hAnsi="Arial" w:cs="Arial"/>
          <w:sz w:val="16"/>
          <w:szCs w:val="16"/>
        </w:rPr>
        <w:t xml:space="preserve">Firmado Por: </w:t>
      </w:r>
    </w:p>
    <w:p w14:paraId="1347669D" w14:textId="77777777" w:rsidR="00E16336" w:rsidRDefault="00E16336" w:rsidP="00E16336">
      <w:pPr>
        <w:pStyle w:val="Default"/>
        <w:jc w:val="both"/>
        <w:rPr>
          <w:rFonts w:ascii="Arial" w:hAnsi="Arial" w:cs="Arial"/>
          <w:color w:val="auto"/>
          <w:sz w:val="16"/>
          <w:szCs w:val="16"/>
        </w:rPr>
      </w:pPr>
    </w:p>
    <w:p w14:paraId="66F77A49" w14:textId="2427507C" w:rsidR="00007A0F" w:rsidRDefault="00007A0F" w:rsidP="00E16336">
      <w:pPr>
        <w:pStyle w:val="Default"/>
        <w:jc w:val="both"/>
        <w:rPr>
          <w:rFonts w:ascii="Arial" w:hAnsi="Arial" w:cs="Arial"/>
          <w:color w:val="auto"/>
          <w:sz w:val="16"/>
          <w:szCs w:val="16"/>
        </w:rPr>
      </w:pPr>
      <w:r>
        <w:rPr>
          <w:rFonts w:ascii="Arial" w:hAnsi="Arial" w:cs="Arial"/>
          <w:color w:val="auto"/>
          <w:sz w:val="16"/>
          <w:szCs w:val="16"/>
        </w:rPr>
        <w:t xml:space="preserve">German Valenzuela Valbuena </w:t>
      </w:r>
    </w:p>
    <w:p w14:paraId="3F1B23DA" w14:textId="77777777" w:rsidR="00007A0F" w:rsidRDefault="00007A0F" w:rsidP="00E16336">
      <w:pPr>
        <w:pStyle w:val="Default"/>
        <w:jc w:val="both"/>
        <w:rPr>
          <w:rFonts w:ascii="Arial" w:hAnsi="Arial" w:cs="Arial"/>
          <w:color w:val="auto"/>
          <w:sz w:val="16"/>
          <w:szCs w:val="16"/>
        </w:rPr>
      </w:pPr>
      <w:r>
        <w:rPr>
          <w:rFonts w:ascii="Arial" w:hAnsi="Arial" w:cs="Arial"/>
          <w:color w:val="auto"/>
          <w:sz w:val="16"/>
          <w:szCs w:val="16"/>
        </w:rPr>
        <w:t xml:space="preserve">Magistrado </w:t>
      </w:r>
    </w:p>
    <w:p w14:paraId="0F3B3A2A" w14:textId="77777777" w:rsidR="00007A0F" w:rsidRDefault="00007A0F" w:rsidP="00E16336">
      <w:pPr>
        <w:pStyle w:val="Default"/>
        <w:jc w:val="both"/>
        <w:rPr>
          <w:rFonts w:ascii="Arial" w:hAnsi="Arial" w:cs="Arial"/>
          <w:color w:val="auto"/>
          <w:sz w:val="16"/>
          <w:szCs w:val="16"/>
        </w:rPr>
      </w:pPr>
      <w:r>
        <w:rPr>
          <w:rFonts w:ascii="Arial" w:hAnsi="Arial" w:cs="Arial"/>
          <w:color w:val="auto"/>
          <w:sz w:val="16"/>
          <w:szCs w:val="16"/>
        </w:rPr>
        <w:t xml:space="preserve">Sala 019 Civil </w:t>
      </w:r>
    </w:p>
    <w:p w14:paraId="6E331A2C" w14:textId="77777777" w:rsidR="00007A0F" w:rsidRDefault="00007A0F" w:rsidP="00E16336">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397FFDAD" w14:textId="77777777" w:rsidR="00007A0F" w:rsidRDefault="00007A0F" w:rsidP="00E16336">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7E339AB4" w14:textId="77777777" w:rsidR="00007A0F" w:rsidRDefault="00007A0F" w:rsidP="00E16336">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1CC2E8D3" w14:textId="77777777" w:rsidR="00007A0F" w:rsidRDefault="00007A0F" w:rsidP="00E16336">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7C6A9CD2" w14:textId="77777777" w:rsidR="00007A0F" w:rsidRDefault="00007A0F" w:rsidP="00E16336">
      <w:pPr>
        <w:pStyle w:val="Default"/>
        <w:jc w:val="both"/>
        <w:rPr>
          <w:rFonts w:ascii="Arial" w:hAnsi="Arial" w:cs="Arial"/>
          <w:color w:val="auto"/>
          <w:sz w:val="16"/>
          <w:szCs w:val="16"/>
        </w:rPr>
      </w:pPr>
      <w:r>
        <w:rPr>
          <w:rFonts w:ascii="Arial" w:hAnsi="Arial" w:cs="Arial"/>
          <w:color w:val="auto"/>
          <w:sz w:val="16"/>
          <w:szCs w:val="16"/>
        </w:rPr>
        <w:t xml:space="preserve">04151f5e5ffddbe7454708e9f212dced322d728bf34fcd80b15c9827351819b2 </w:t>
      </w:r>
    </w:p>
    <w:p w14:paraId="210F3102" w14:textId="77777777" w:rsidR="00007A0F" w:rsidRDefault="00007A0F" w:rsidP="00E16336">
      <w:pPr>
        <w:pStyle w:val="Default"/>
        <w:jc w:val="both"/>
        <w:rPr>
          <w:rFonts w:ascii="Arial" w:hAnsi="Arial" w:cs="Arial"/>
          <w:color w:val="auto"/>
          <w:sz w:val="16"/>
          <w:szCs w:val="16"/>
        </w:rPr>
      </w:pPr>
      <w:r>
        <w:rPr>
          <w:rFonts w:ascii="Arial" w:hAnsi="Arial" w:cs="Arial"/>
          <w:color w:val="auto"/>
          <w:sz w:val="16"/>
          <w:szCs w:val="16"/>
        </w:rPr>
        <w:t xml:space="preserve">Documento generado en 20/03/2024 04:41:14 PM </w:t>
      </w:r>
    </w:p>
    <w:p w14:paraId="5ED7D1FF" w14:textId="77777777" w:rsidR="00007A0F" w:rsidRDefault="00007A0F" w:rsidP="00E16336">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2BE79AEA" w14:textId="18A00D4A" w:rsidR="00B9243D" w:rsidRDefault="00007A0F" w:rsidP="00E16336">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0F"/>
    <w:rsid w:val="00007A0F"/>
    <w:rsid w:val="00737460"/>
    <w:rsid w:val="00B9243D"/>
    <w:rsid w:val="00DA03DC"/>
    <w:rsid w:val="00E1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8309"/>
  <w15:chartTrackingRefBased/>
  <w15:docId w15:val="{5CD4240A-E3EA-41A4-AA0A-409BB08E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7A0F"/>
    <w:pPr>
      <w:autoSpaceDE w:val="0"/>
      <w:autoSpaceDN w:val="0"/>
      <w:adjustRightInd w:val="0"/>
      <w:spacing w:after="0" w:line="240" w:lineRule="auto"/>
    </w:pPr>
    <w:rPr>
      <w:rFonts w:ascii="Times New Roman" w:hAnsi="Times New Roman" w:cs="Times New Roman"/>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1650</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2024-03-21T15:46:00Z</dcterms:created>
  <dcterms:modified xsi:type="dcterms:W3CDTF">2024-03-21T15:47:00Z</dcterms:modified>
</cp:coreProperties>
</file>