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E8" w:rsidRPr="008E2A07" w:rsidRDefault="005453E8" w:rsidP="005453E8">
      <w:pPr>
        <w:spacing w:after="0" w:line="276" w:lineRule="auto"/>
        <w:jc w:val="center"/>
        <w:rPr>
          <w:rFonts w:cstheme="minorHAnsi"/>
          <w:b/>
          <w:lang w:val="es-CO"/>
        </w:rPr>
      </w:pPr>
      <w:r w:rsidRPr="008E2A07">
        <w:rPr>
          <w:rFonts w:cstheme="minorHAnsi"/>
          <w:b/>
          <w:highlight w:val="yellow"/>
          <w:lang w:val="es-CO"/>
        </w:rPr>
        <w:t>ANÁLISIS CASO TERESITA DE GORDILLO</w:t>
      </w:r>
    </w:p>
    <w:p w:rsidR="005453E8" w:rsidRPr="008E2A07" w:rsidRDefault="005453E8" w:rsidP="005453E8">
      <w:pPr>
        <w:spacing w:after="0" w:line="276" w:lineRule="auto"/>
        <w:jc w:val="center"/>
        <w:rPr>
          <w:rFonts w:cstheme="minorHAnsi"/>
          <w:b/>
          <w:lang w:val="es-CO"/>
        </w:rPr>
      </w:pPr>
      <w:r w:rsidRPr="008E2A07">
        <w:rPr>
          <w:rFonts w:cstheme="minorHAnsi"/>
          <w:b/>
          <w:lang w:val="es-CO"/>
        </w:rPr>
        <w:t>RAD:</w:t>
      </w:r>
      <w:r w:rsidRPr="008E2A07">
        <w:rPr>
          <w:rFonts w:cstheme="minorHAnsi"/>
          <w:lang w:val="es-CO"/>
        </w:rPr>
        <w:t xml:space="preserve"> 520013103003-</w:t>
      </w:r>
      <w:r w:rsidRPr="008E2A07">
        <w:rPr>
          <w:rFonts w:cstheme="minorHAnsi"/>
          <w:b/>
          <w:u w:val="single"/>
          <w:lang w:val="es-CO"/>
        </w:rPr>
        <w:t>2023-00022</w:t>
      </w:r>
      <w:r w:rsidRPr="008E2A07">
        <w:rPr>
          <w:rFonts w:cstheme="minorHAnsi"/>
          <w:lang w:val="es-CO"/>
        </w:rPr>
        <w:t>-00</w:t>
      </w:r>
    </w:p>
    <w:p w:rsidR="005453E8" w:rsidRPr="008E2A07" w:rsidRDefault="005453E8" w:rsidP="005453E8">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5453E8" w:rsidRPr="008E2A07" w:rsidTr="005E17C7">
        <w:trPr>
          <w:trHeight w:val="719"/>
        </w:trPr>
        <w:tc>
          <w:tcPr>
            <w:tcW w:w="3397" w:type="dxa"/>
            <w:shd w:val="clear" w:color="auto" w:fill="auto"/>
          </w:tcPr>
          <w:p w:rsidR="005453E8" w:rsidRPr="008E2A07" w:rsidRDefault="005453E8" w:rsidP="005E17C7">
            <w:pPr>
              <w:spacing w:line="276" w:lineRule="auto"/>
              <w:rPr>
                <w:rFonts w:cstheme="minorHAnsi"/>
                <w:b/>
                <w:lang w:val="es-CO"/>
              </w:rPr>
            </w:pPr>
            <w:r w:rsidRPr="008E2A07">
              <w:rPr>
                <w:rFonts w:cstheme="minorHAnsi"/>
                <w:b/>
                <w:lang w:val="es-CO"/>
              </w:rPr>
              <w:t xml:space="preserve">JUZGADO: </w:t>
            </w:r>
          </w:p>
          <w:p w:rsidR="005453E8" w:rsidRPr="008E2A07" w:rsidRDefault="005453E8" w:rsidP="005E17C7">
            <w:pPr>
              <w:spacing w:line="276" w:lineRule="auto"/>
              <w:rPr>
                <w:rFonts w:cstheme="minorHAnsi"/>
                <w:b/>
                <w:lang w:val="es-CO"/>
              </w:rPr>
            </w:pPr>
            <w:r w:rsidRPr="008E2A07">
              <w:rPr>
                <w:rFonts w:cstheme="minorHAnsi"/>
                <w:b/>
                <w:lang w:val="es-CO"/>
              </w:rPr>
              <w:t>ASUNTO:</w:t>
            </w:r>
          </w:p>
        </w:tc>
        <w:tc>
          <w:tcPr>
            <w:tcW w:w="6673" w:type="dxa"/>
          </w:tcPr>
          <w:p w:rsidR="005453E8" w:rsidRPr="008E2A07" w:rsidRDefault="005453E8" w:rsidP="005E17C7">
            <w:pPr>
              <w:spacing w:line="276" w:lineRule="auto"/>
              <w:jc w:val="both"/>
              <w:rPr>
                <w:rFonts w:cstheme="minorHAnsi"/>
                <w:lang w:val="es-CO"/>
              </w:rPr>
            </w:pPr>
            <w:r w:rsidRPr="008E2A07">
              <w:rPr>
                <w:rFonts w:cstheme="minorHAnsi"/>
                <w:lang w:val="es-CO"/>
              </w:rPr>
              <w:t>Juzgado 3 Civil del Circuito de Pasto</w:t>
            </w:r>
          </w:p>
          <w:p w:rsidR="005453E8" w:rsidRPr="008E2A07" w:rsidRDefault="005453E8" w:rsidP="005E17C7">
            <w:pPr>
              <w:spacing w:line="276" w:lineRule="auto"/>
              <w:jc w:val="both"/>
              <w:rPr>
                <w:rFonts w:cstheme="minorHAnsi"/>
                <w:lang w:val="es-CO"/>
              </w:rPr>
            </w:pPr>
            <w:r w:rsidRPr="008E2A07">
              <w:rPr>
                <w:rFonts w:cstheme="minorHAnsi"/>
                <w:lang w:val="es-CO"/>
              </w:rPr>
              <w:t xml:space="preserve">Responsabilidad civil extracontractual </w:t>
            </w:r>
          </w:p>
        </w:tc>
      </w:tr>
      <w:tr w:rsidR="005453E8" w:rsidRPr="008E2A07" w:rsidTr="005E17C7">
        <w:trPr>
          <w:trHeight w:val="788"/>
        </w:trPr>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DEMANDANTES:</w:t>
            </w:r>
          </w:p>
        </w:tc>
        <w:tc>
          <w:tcPr>
            <w:tcW w:w="6673" w:type="dxa"/>
          </w:tcPr>
          <w:p w:rsidR="005453E8" w:rsidRPr="008E2A07" w:rsidRDefault="005453E8" w:rsidP="005453E8">
            <w:pPr>
              <w:pStyle w:val="Prrafodelista"/>
              <w:numPr>
                <w:ilvl w:val="0"/>
                <w:numId w:val="3"/>
              </w:numPr>
              <w:spacing w:line="276" w:lineRule="auto"/>
              <w:ind w:left="319" w:hanging="319"/>
              <w:jc w:val="both"/>
              <w:rPr>
                <w:rFonts w:cstheme="minorHAnsi"/>
                <w:lang w:val="es-CO"/>
              </w:rPr>
            </w:pPr>
            <w:r w:rsidRPr="008E2A07">
              <w:rPr>
                <w:rFonts w:cstheme="minorHAnsi"/>
                <w:lang w:val="es-CO"/>
              </w:rPr>
              <w:t>Teresita Gordillo (madre de la víctima directa)</w:t>
            </w:r>
          </w:p>
          <w:p w:rsidR="005453E8" w:rsidRPr="008E2A07" w:rsidRDefault="005453E8" w:rsidP="005453E8">
            <w:pPr>
              <w:pStyle w:val="Prrafodelista"/>
              <w:numPr>
                <w:ilvl w:val="0"/>
                <w:numId w:val="3"/>
              </w:numPr>
              <w:spacing w:line="276" w:lineRule="auto"/>
              <w:ind w:left="319" w:hanging="319"/>
              <w:jc w:val="both"/>
              <w:rPr>
                <w:rFonts w:cstheme="minorHAnsi"/>
                <w:lang w:val="es-CO"/>
              </w:rPr>
            </w:pPr>
            <w:r w:rsidRPr="008E2A07">
              <w:rPr>
                <w:rFonts w:cstheme="minorHAnsi"/>
                <w:lang w:val="es-CO"/>
              </w:rPr>
              <w:t>Carlos José Narváez (padre de la víctima directa)</w:t>
            </w:r>
          </w:p>
          <w:p w:rsidR="005453E8" w:rsidRPr="008E2A07" w:rsidRDefault="005453E8" w:rsidP="005453E8">
            <w:pPr>
              <w:pStyle w:val="Prrafodelista"/>
              <w:numPr>
                <w:ilvl w:val="0"/>
                <w:numId w:val="3"/>
              </w:numPr>
              <w:spacing w:line="276" w:lineRule="auto"/>
              <w:ind w:left="319" w:hanging="319"/>
              <w:jc w:val="both"/>
              <w:rPr>
                <w:rFonts w:cstheme="minorHAnsi"/>
                <w:lang w:val="es-CO"/>
              </w:rPr>
            </w:pPr>
            <w:r w:rsidRPr="008E2A07">
              <w:rPr>
                <w:rFonts w:cstheme="minorHAnsi"/>
                <w:lang w:val="es-CO"/>
              </w:rPr>
              <w:t>Laura Narváez Gordillo (hermana de la víctima directa)</w:t>
            </w:r>
          </w:p>
          <w:p w:rsidR="005453E8" w:rsidRPr="008E2A07" w:rsidRDefault="005453E8" w:rsidP="005453E8">
            <w:pPr>
              <w:pStyle w:val="Prrafodelista"/>
              <w:numPr>
                <w:ilvl w:val="0"/>
                <w:numId w:val="3"/>
              </w:numPr>
              <w:spacing w:line="276" w:lineRule="auto"/>
              <w:ind w:left="319" w:hanging="319"/>
              <w:jc w:val="both"/>
              <w:rPr>
                <w:rFonts w:cstheme="minorHAnsi"/>
                <w:lang w:val="es-CO"/>
              </w:rPr>
            </w:pPr>
            <w:r w:rsidRPr="008E2A07">
              <w:rPr>
                <w:rFonts w:cstheme="minorHAnsi"/>
                <w:lang w:val="es-CO"/>
              </w:rPr>
              <w:t>Camila Narváez Gordillo (hermana de la víctima directa)</w:t>
            </w:r>
          </w:p>
          <w:p w:rsidR="005453E8" w:rsidRPr="008E2A07" w:rsidRDefault="005453E8" w:rsidP="005453E8">
            <w:pPr>
              <w:pStyle w:val="Prrafodelista"/>
              <w:numPr>
                <w:ilvl w:val="0"/>
                <w:numId w:val="3"/>
              </w:numPr>
              <w:spacing w:line="276" w:lineRule="auto"/>
              <w:ind w:left="319" w:hanging="319"/>
              <w:jc w:val="both"/>
              <w:rPr>
                <w:rFonts w:cstheme="minorHAnsi"/>
                <w:b/>
                <w:lang w:val="es-CO"/>
              </w:rPr>
            </w:pPr>
            <w:r w:rsidRPr="008E2A07">
              <w:rPr>
                <w:rFonts w:cstheme="minorHAnsi"/>
                <w:lang w:val="es-CO"/>
              </w:rPr>
              <w:t>Carlos Eduardo Narváez Gordillo (hermano de la víctima directa)</w:t>
            </w:r>
          </w:p>
        </w:tc>
      </w:tr>
      <w:tr w:rsidR="005453E8" w:rsidRPr="008E2A07" w:rsidTr="005E17C7">
        <w:trPr>
          <w:trHeight w:val="603"/>
        </w:trPr>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 xml:space="preserve">VÍCTIMA DIRECTA: </w:t>
            </w:r>
          </w:p>
        </w:tc>
        <w:tc>
          <w:tcPr>
            <w:tcW w:w="6673" w:type="dxa"/>
          </w:tcPr>
          <w:p w:rsidR="005453E8" w:rsidRPr="008E2A07" w:rsidRDefault="005453E8" w:rsidP="005E17C7">
            <w:pPr>
              <w:spacing w:line="276" w:lineRule="auto"/>
              <w:jc w:val="both"/>
              <w:rPr>
                <w:rFonts w:cstheme="minorHAnsi"/>
                <w:lang w:val="es-CO"/>
              </w:rPr>
            </w:pPr>
            <w:r w:rsidRPr="008E2A07">
              <w:rPr>
                <w:rFonts w:cstheme="minorHAnsi"/>
                <w:lang w:val="es-CO"/>
              </w:rPr>
              <w:t xml:space="preserve">María José Narváez, fallece. </w:t>
            </w:r>
          </w:p>
        </w:tc>
      </w:tr>
      <w:tr w:rsidR="005453E8" w:rsidRPr="008E2A07" w:rsidTr="005E17C7">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DEMANDADOS:</w:t>
            </w:r>
          </w:p>
        </w:tc>
        <w:tc>
          <w:tcPr>
            <w:tcW w:w="6673" w:type="dxa"/>
          </w:tcPr>
          <w:p w:rsidR="005453E8" w:rsidRPr="008E2A07" w:rsidRDefault="005453E8" w:rsidP="005453E8">
            <w:pPr>
              <w:pStyle w:val="Prrafodelista"/>
              <w:numPr>
                <w:ilvl w:val="0"/>
                <w:numId w:val="4"/>
              </w:numPr>
              <w:spacing w:line="276" w:lineRule="auto"/>
              <w:ind w:left="744"/>
              <w:jc w:val="both"/>
              <w:rPr>
                <w:rFonts w:cstheme="minorHAnsi"/>
                <w:lang w:val="es-CO"/>
              </w:rPr>
            </w:pPr>
            <w:r w:rsidRPr="008E2A07">
              <w:rPr>
                <w:rFonts w:cstheme="minorHAnsi"/>
                <w:lang w:val="es-CO"/>
              </w:rPr>
              <w:t>Mónica Eugenia Erazo Tobar</w:t>
            </w:r>
          </w:p>
          <w:p w:rsidR="005453E8" w:rsidRPr="008E2A07" w:rsidRDefault="005453E8" w:rsidP="005453E8">
            <w:pPr>
              <w:pStyle w:val="Prrafodelista"/>
              <w:numPr>
                <w:ilvl w:val="0"/>
                <w:numId w:val="4"/>
              </w:numPr>
              <w:spacing w:line="276" w:lineRule="auto"/>
              <w:jc w:val="both"/>
              <w:rPr>
                <w:rFonts w:cstheme="minorHAnsi"/>
                <w:b/>
                <w:lang w:val="es-CO"/>
              </w:rPr>
            </w:pPr>
            <w:r w:rsidRPr="008E2A07">
              <w:rPr>
                <w:rFonts w:cstheme="minorHAnsi"/>
                <w:b/>
                <w:lang w:val="es-CO"/>
              </w:rPr>
              <w:t>LIBERTY SEGUROS S.A.</w:t>
            </w:r>
          </w:p>
        </w:tc>
      </w:tr>
      <w:tr w:rsidR="005453E8" w:rsidRPr="008E2A07" w:rsidTr="005E17C7">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 xml:space="preserve">LLAMADOS EN GARANTÍA: </w:t>
            </w:r>
          </w:p>
        </w:tc>
        <w:tc>
          <w:tcPr>
            <w:tcW w:w="6673" w:type="dxa"/>
          </w:tcPr>
          <w:p w:rsidR="005453E8" w:rsidRPr="008E2A07" w:rsidRDefault="005453E8" w:rsidP="005E17C7">
            <w:pPr>
              <w:spacing w:line="276" w:lineRule="auto"/>
              <w:jc w:val="both"/>
              <w:rPr>
                <w:rFonts w:cstheme="minorHAnsi"/>
                <w:lang w:val="es-CO"/>
              </w:rPr>
            </w:pPr>
            <w:r w:rsidRPr="008E2A07">
              <w:rPr>
                <w:rFonts w:cstheme="minorHAnsi"/>
                <w:b/>
                <w:lang w:val="es-CO"/>
              </w:rPr>
              <w:t xml:space="preserve">LIBERTY SEGUROS S.A. </w:t>
            </w:r>
            <w:r w:rsidRPr="008E2A07">
              <w:rPr>
                <w:rFonts w:cstheme="minorHAnsi"/>
                <w:lang w:val="es-CO"/>
              </w:rPr>
              <w:t xml:space="preserve">(llamado por Mónica Eugenia Erazo Tobar). </w:t>
            </w:r>
          </w:p>
          <w:p w:rsidR="005453E8" w:rsidRPr="008E2A07" w:rsidRDefault="005453E8" w:rsidP="005E17C7">
            <w:pPr>
              <w:spacing w:line="276" w:lineRule="auto"/>
              <w:jc w:val="both"/>
              <w:rPr>
                <w:rFonts w:cstheme="minorHAnsi"/>
                <w:b/>
                <w:lang w:val="es-CO"/>
              </w:rPr>
            </w:pPr>
            <w:r w:rsidRPr="008E2A07">
              <w:rPr>
                <w:rFonts w:cstheme="minorHAnsi"/>
                <w:lang w:val="es-CO"/>
              </w:rPr>
              <w:t xml:space="preserve">Seguros Alfa S.A. (llamado por </w:t>
            </w:r>
            <w:proofErr w:type="spellStart"/>
            <w:r w:rsidRPr="008E2A07">
              <w:rPr>
                <w:rFonts w:cstheme="minorHAnsi"/>
                <w:lang w:val="es-CO"/>
              </w:rPr>
              <w:t>Liberty</w:t>
            </w:r>
            <w:proofErr w:type="spellEnd"/>
            <w:r w:rsidRPr="008E2A07">
              <w:rPr>
                <w:rFonts w:cstheme="minorHAnsi"/>
                <w:lang w:val="es-CO"/>
              </w:rPr>
              <w:t>)</w:t>
            </w:r>
          </w:p>
        </w:tc>
      </w:tr>
      <w:tr w:rsidR="005453E8" w:rsidRPr="008E2A07" w:rsidTr="005E17C7">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TIPO DE VINCULACIÓN:</w:t>
            </w:r>
          </w:p>
        </w:tc>
        <w:tc>
          <w:tcPr>
            <w:tcW w:w="6673" w:type="dxa"/>
          </w:tcPr>
          <w:p w:rsidR="005453E8" w:rsidRPr="008E2A07" w:rsidRDefault="005453E8" w:rsidP="005E17C7">
            <w:pPr>
              <w:spacing w:line="276" w:lineRule="auto"/>
              <w:jc w:val="both"/>
              <w:rPr>
                <w:rFonts w:cstheme="minorHAnsi"/>
                <w:lang w:val="es-CO"/>
              </w:rPr>
            </w:pPr>
            <w:r w:rsidRPr="008E2A07">
              <w:rPr>
                <w:rFonts w:cstheme="minorHAnsi"/>
                <w:lang w:val="es-CO"/>
              </w:rPr>
              <w:t>Demandados directos y llamados en garantía</w:t>
            </w:r>
          </w:p>
        </w:tc>
      </w:tr>
      <w:tr w:rsidR="005453E8" w:rsidRPr="008E2A07" w:rsidTr="005E17C7">
        <w:tc>
          <w:tcPr>
            <w:tcW w:w="3397" w:type="dxa"/>
          </w:tcPr>
          <w:p w:rsidR="005453E8" w:rsidRPr="008E2A07" w:rsidRDefault="005453E8" w:rsidP="005E17C7">
            <w:pPr>
              <w:spacing w:line="276" w:lineRule="auto"/>
              <w:jc w:val="both"/>
              <w:rPr>
                <w:rFonts w:cstheme="minorHAnsi"/>
                <w:b/>
                <w:lang w:val="es-CO"/>
              </w:rPr>
            </w:pPr>
            <w:r w:rsidRPr="008E2A07">
              <w:rPr>
                <w:rFonts w:cstheme="minorHAnsi"/>
                <w:b/>
                <w:lang w:val="es-CO"/>
              </w:rPr>
              <w:t>FUNDAMENTO DE LA DEMANDA:</w:t>
            </w:r>
          </w:p>
        </w:tc>
        <w:tc>
          <w:tcPr>
            <w:tcW w:w="6673" w:type="dxa"/>
          </w:tcPr>
          <w:p w:rsidR="005453E8" w:rsidRPr="008E2A07" w:rsidRDefault="005453E8" w:rsidP="005E17C7">
            <w:pPr>
              <w:spacing w:line="276" w:lineRule="auto"/>
              <w:jc w:val="both"/>
              <w:rPr>
                <w:rFonts w:cstheme="minorHAnsi"/>
                <w:lang w:val="es-CO"/>
              </w:rPr>
            </w:pPr>
            <w:r w:rsidRPr="008E2A07">
              <w:rPr>
                <w:rFonts w:cstheme="minorHAnsi"/>
                <w:lang w:val="es-CO"/>
              </w:rPr>
              <w:t xml:space="preserve">Muerte en accidente de tránsito </w:t>
            </w:r>
          </w:p>
        </w:tc>
      </w:tr>
    </w:tbl>
    <w:p w:rsidR="005453E8" w:rsidRPr="008E2A07" w:rsidRDefault="005453E8" w:rsidP="005453E8">
      <w:pPr>
        <w:spacing w:after="0" w:line="276" w:lineRule="auto"/>
        <w:jc w:val="both"/>
        <w:rPr>
          <w:rFonts w:cstheme="minorHAnsi"/>
          <w:b/>
          <w:lang w:val="es-CO"/>
        </w:rPr>
      </w:pPr>
    </w:p>
    <w:p w:rsidR="005453E8" w:rsidRPr="008E2A07" w:rsidRDefault="005453E8" w:rsidP="005453E8">
      <w:pPr>
        <w:spacing w:after="0" w:line="276" w:lineRule="auto"/>
        <w:jc w:val="both"/>
        <w:rPr>
          <w:rFonts w:cstheme="minorHAnsi"/>
          <w:b/>
          <w:lang w:val="es-CO"/>
        </w:rPr>
      </w:pPr>
    </w:p>
    <w:p w:rsidR="005453E8" w:rsidRPr="008E2A07" w:rsidRDefault="005453E8" w:rsidP="005453E8">
      <w:pPr>
        <w:pStyle w:val="Prrafodelista"/>
        <w:numPr>
          <w:ilvl w:val="0"/>
          <w:numId w:val="1"/>
        </w:numPr>
        <w:spacing w:after="0" w:line="276" w:lineRule="auto"/>
        <w:jc w:val="both"/>
        <w:rPr>
          <w:rFonts w:cstheme="minorHAnsi"/>
          <w:b/>
          <w:highlight w:val="yellow"/>
          <w:lang w:val="es-CO"/>
        </w:rPr>
      </w:pPr>
      <w:r w:rsidRPr="008E2A07">
        <w:rPr>
          <w:rFonts w:cstheme="minorHAnsi"/>
          <w:b/>
          <w:highlight w:val="yellow"/>
          <w:lang w:val="es-CO"/>
        </w:rPr>
        <w:t>HECHOS DE LA DEMANDA</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b/>
          <w:u w:val="single"/>
          <w:lang w:val="es-CO"/>
        </w:rPr>
      </w:pPr>
      <w:r w:rsidRPr="008E2A07">
        <w:rPr>
          <w:rFonts w:cstheme="minorHAnsi"/>
          <w:lang w:val="es-CO"/>
        </w:rPr>
        <w:t xml:space="preserve">De conformidad con los hechos de la demanda, el día </w:t>
      </w:r>
      <w:r w:rsidRPr="008E2A07">
        <w:rPr>
          <w:rFonts w:cstheme="minorHAnsi"/>
          <w:b/>
          <w:lang w:val="es-CO"/>
        </w:rPr>
        <w:t>23 de noviembre del 2019</w:t>
      </w:r>
      <w:r w:rsidRPr="008E2A07">
        <w:rPr>
          <w:rFonts w:cstheme="minorHAnsi"/>
          <w:lang w:val="es-CO"/>
        </w:rPr>
        <w:t xml:space="preserve">, la menor María José Narváez, sale con una amiga, la también menor Paula Andrea Melo Erazo, a dar una vuelta en el vehículo de placa </w:t>
      </w:r>
      <w:r w:rsidRPr="008E2A07">
        <w:rPr>
          <w:rFonts w:cstheme="minorHAnsi"/>
          <w:b/>
          <w:lang w:val="es-CO"/>
        </w:rPr>
        <w:t>AVI-806</w:t>
      </w:r>
      <w:r w:rsidRPr="008E2A07">
        <w:rPr>
          <w:rFonts w:cstheme="minorHAnsi"/>
          <w:lang w:val="es-CO"/>
        </w:rPr>
        <w:t xml:space="preserve"> de propiedad de la señora Mónica Erazo tobar, madre de la menor Paula Andrea. Aproximadamente a las 13:00 horas, entre la vía Pasto-Mojarras, kilómetro 13+ 100 metros, ocurrió un accidente de tránsito entre el vehículo de placa AVI-806, el cual era ocupado por tres personas, entre ellas la menor </w:t>
      </w:r>
      <w:r w:rsidRPr="008E2A07">
        <w:rPr>
          <w:rFonts w:cstheme="minorHAnsi"/>
          <w:b/>
          <w:u w:val="single"/>
          <w:lang w:val="es-CO"/>
        </w:rPr>
        <w:t xml:space="preserve">María José Narváez, quien aparentemente por la gravedad del accidente de tránsito y las lesiones murió en el instante. </w:t>
      </w:r>
    </w:p>
    <w:p w:rsidR="005453E8" w:rsidRPr="008E2A07" w:rsidRDefault="005453E8" w:rsidP="005453E8">
      <w:pPr>
        <w:spacing w:after="0" w:line="276" w:lineRule="auto"/>
        <w:jc w:val="both"/>
        <w:rPr>
          <w:rFonts w:cstheme="minorHAnsi"/>
          <w:b/>
          <w:u w:val="single"/>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 xml:space="preserve">Se tiene, de conformidad con el </w:t>
      </w:r>
      <w:r w:rsidRPr="008E2A07">
        <w:rPr>
          <w:rFonts w:cstheme="minorHAnsi"/>
          <w:b/>
          <w:lang w:val="es-CO"/>
        </w:rPr>
        <w:t>IPAT,</w:t>
      </w:r>
      <w:r w:rsidRPr="008E2A07">
        <w:rPr>
          <w:rFonts w:cstheme="minorHAnsi"/>
          <w:lang w:val="es-CO"/>
        </w:rPr>
        <w:t xml:space="preserve"> que la menor Paula Andrea Melo Erazo, era persona que conducía el vehículo de placa AVI.806, y la hipótesis del accidente es la establecida en el numeral “123 -no respetar prelación de interacción o giros”, causal esta que se encuentra atribuida al vehículo de placa AVI-806.</w:t>
      </w:r>
    </w:p>
    <w:p w:rsidR="005453E8" w:rsidRPr="008E2A07" w:rsidRDefault="005453E8" w:rsidP="005453E8">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41"/>
      </w:tblGrid>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Hechos:</w:t>
            </w:r>
          </w:p>
        </w:tc>
        <w:tc>
          <w:tcPr>
            <w:tcW w:w="4541" w:type="dxa"/>
          </w:tcPr>
          <w:p w:rsidR="005453E8" w:rsidRPr="008E2A07" w:rsidRDefault="005453E8" w:rsidP="005E17C7">
            <w:pPr>
              <w:spacing w:line="276" w:lineRule="auto"/>
              <w:jc w:val="both"/>
              <w:rPr>
                <w:rFonts w:cstheme="minorHAnsi"/>
                <w:lang w:val="es-CO"/>
              </w:rPr>
            </w:pPr>
            <w:r w:rsidRPr="008E2A07">
              <w:rPr>
                <w:rFonts w:cstheme="minorHAnsi"/>
                <w:lang w:val="es-CO"/>
              </w:rPr>
              <w:t>23 de noviembre del 2019</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Solicitud audiencia de conciliación:</w:t>
            </w:r>
          </w:p>
        </w:tc>
        <w:tc>
          <w:tcPr>
            <w:tcW w:w="4541" w:type="dxa"/>
          </w:tcPr>
          <w:p w:rsidR="005453E8" w:rsidRPr="008E2A07" w:rsidRDefault="005453E8" w:rsidP="005E17C7">
            <w:pPr>
              <w:spacing w:line="276" w:lineRule="auto"/>
              <w:jc w:val="both"/>
              <w:rPr>
                <w:rFonts w:cstheme="minorHAnsi"/>
                <w:lang w:val="es-CO"/>
              </w:rPr>
            </w:pPr>
            <w:r>
              <w:rPr>
                <w:rFonts w:cstheme="minorHAnsi"/>
                <w:lang w:val="es-CO"/>
              </w:rPr>
              <w:t>05 de noviembre del 2021</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Audiencia de conciliación:</w:t>
            </w:r>
          </w:p>
        </w:tc>
        <w:tc>
          <w:tcPr>
            <w:tcW w:w="4541" w:type="dxa"/>
          </w:tcPr>
          <w:p w:rsidR="005453E8" w:rsidRDefault="005453E8" w:rsidP="005E17C7">
            <w:pPr>
              <w:spacing w:line="276" w:lineRule="auto"/>
              <w:jc w:val="both"/>
              <w:rPr>
                <w:rFonts w:cstheme="minorHAnsi"/>
                <w:lang w:val="es-CO"/>
              </w:rPr>
            </w:pPr>
            <w:r>
              <w:rPr>
                <w:rFonts w:cstheme="minorHAnsi"/>
                <w:lang w:val="es-CO"/>
              </w:rPr>
              <w:t>Primera: 24 de noviembre del 2021 (se solicita aplazamiento)</w:t>
            </w:r>
          </w:p>
          <w:p w:rsidR="005453E8" w:rsidRPr="008E2A07" w:rsidRDefault="005453E8" w:rsidP="005E17C7">
            <w:pPr>
              <w:spacing w:line="276" w:lineRule="auto"/>
              <w:jc w:val="both"/>
              <w:rPr>
                <w:rFonts w:cstheme="minorHAnsi"/>
                <w:lang w:val="es-CO"/>
              </w:rPr>
            </w:pPr>
            <w:r>
              <w:rPr>
                <w:rFonts w:cstheme="minorHAnsi"/>
                <w:lang w:val="es-CO"/>
              </w:rPr>
              <w:t>Segunda: 12 de enero del 2022</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lastRenderedPageBreak/>
              <w:t>Radicación de la demanda:</w:t>
            </w:r>
          </w:p>
        </w:tc>
        <w:tc>
          <w:tcPr>
            <w:tcW w:w="4541" w:type="dxa"/>
          </w:tcPr>
          <w:p w:rsidR="005453E8" w:rsidRPr="008E2A07" w:rsidRDefault="005453E8" w:rsidP="005E17C7">
            <w:pPr>
              <w:spacing w:line="276" w:lineRule="auto"/>
              <w:jc w:val="both"/>
              <w:rPr>
                <w:rFonts w:cstheme="minorHAnsi"/>
                <w:lang w:val="es-CO"/>
              </w:rPr>
            </w:pPr>
            <w:r>
              <w:rPr>
                <w:rFonts w:cstheme="minorHAnsi"/>
                <w:lang w:val="es-CO"/>
              </w:rPr>
              <w:t>12 de mayo del 2022</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 xml:space="preserve">Auto </w:t>
            </w:r>
            <w:proofErr w:type="spellStart"/>
            <w:r w:rsidRPr="008E2A07">
              <w:rPr>
                <w:rFonts w:cstheme="minorHAnsi"/>
                <w:b/>
                <w:lang w:val="es-CO"/>
              </w:rPr>
              <w:t>Admisorio</w:t>
            </w:r>
            <w:proofErr w:type="spellEnd"/>
            <w:r w:rsidRPr="008E2A07">
              <w:rPr>
                <w:rFonts w:cstheme="minorHAnsi"/>
                <w:b/>
                <w:lang w:val="es-CO"/>
              </w:rPr>
              <w:t xml:space="preserve"> de la demanda:</w:t>
            </w:r>
          </w:p>
        </w:tc>
        <w:tc>
          <w:tcPr>
            <w:tcW w:w="4541" w:type="dxa"/>
          </w:tcPr>
          <w:p w:rsidR="005453E8" w:rsidRPr="008E2A07" w:rsidRDefault="005453E8" w:rsidP="005E17C7">
            <w:pPr>
              <w:spacing w:line="276" w:lineRule="auto"/>
              <w:jc w:val="both"/>
              <w:rPr>
                <w:rFonts w:cstheme="minorHAnsi"/>
                <w:lang w:val="es-CO"/>
              </w:rPr>
            </w:pPr>
            <w:r>
              <w:rPr>
                <w:rFonts w:cstheme="minorHAnsi"/>
                <w:lang w:val="es-CO"/>
              </w:rPr>
              <w:t>17 de abril del 2023</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 xml:space="preserve">Notificación </w:t>
            </w:r>
            <w:r>
              <w:rPr>
                <w:rFonts w:cstheme="minorHAnsi"/>
                <w:b/>
                <w:lang w:val="es-CO"/>
              </w:rPr>
              <w:t xml:space="preserve">admisión demanda </w:t>
            </w:r>
            <w:r w:rsidRPr="008E2A07">
              <w:rPr>
                <w:rFonts w:cstheme="minorHAnsi"/>
                <w:b/>
                <w:lang w:val="es-CO"/>
              </w:rPr>
              <w:t xml:space="preserve">a </w:t>
            </w:r>
            <w:proofErr w:type="spellStart"/>
            <w:r w:rsidRPr="008E2A07">
              <w:rPr>
                <w:rFonts w:cstheme="minorHAnsi"/>
                <w:b/>
                <w:lang w:val="es-CO"/>
              </w:rPr>
              <w:t>Liberty</w:t>
            </w:r>
            <w:proofErr w:type="spellEnd"/>
            <w:r w:rsidRPr="008E2A07">
              <w:rPr>
                <w:rFonts w:cstheme="minorHAnsi"/>
                <w:b/>
                <w:lang w:val="es-CO"/>
              </w:rPr>
              <w:t>:</w:t>
            </w:r>
          </w:p>
        </w:tc>
        <w:tc>
          <w:tcPr>
            <w:tcW w:w="4541" w:type="dxa"/>
          </w:tcPr>
          <w:p w:rsidR="005453E8" w:rsidRPr="008E2A07" w:rsidRDefault="005453E8" w:rsidP="005E17C7">
            <w:pPr>
              <w:spacing w:line="276" w:lineRule="auto"/>
              <w:jc w:val="both"/>
              <w:rPr>
                <w:rFonts w:cstheme="minorHAnsi"/>
                <w:lang w:val="es-CO"/>
              </w:rPr>
            </w:pPr>
            <w:r>
              <w:rPr>
                <w:rFonts w:cstheme="minorHAnsi"/>
                <w:lang w:val="es-CO"/>
              </w:rPr>
              <w:t>05 de mayo del 2023</w:t>
            </w:r>
          </w:p>
        </w:tc>
      </w:tr>
      <w:tr w:rsidR="005453E8" w:rsidRPr="008E2A07" w:rsidTr="005E17C7">
        <w:tc>
          <w:tcPr>
            <w:tcW w:w="5529" w:type="dxa"/>
          </w:tcPr>
          <w:p w:rsidR="005453E8" w:rsidRPr="008E2A07" w:rsidRDefault="005453E8" w:rsidP="005E17C7">
            <w:pPr>
              <w:spacing w:line="276" w:lineRule="auto"/>
              <w:jc w:val="both"/>
              <w:rPr>
                <w:rFonts w:cstheme="minorHAnsi"/>
                <w:b/>
                <w:lang w:val="es-CO"/>
              </w:rPr>
            </w:pPr>
            <w:r w:rsidRPr="008E2A07">
              <w:rPr>
                <w:rFonts w:cstheme="minorHAnsi"/>
                <w:b/>
                <w:lang w:val="es-CO"/>
              </w:rPr>
              <w:t xml:space="preserve">Contestación </w:t>
            </w:r>
            <w:proofErr w:type="spellStart"/>
            <w:r w:rsidRPr="008E2A07">
              <w:rPr>
                <w:rFonts w:cstheme="minorHAnsi"/>
                <w:b/>
                <w:lang w:val="es-CO"/>
              </w:rPr>
              <w:t>Liberty</w:t>
            </w:r>
            <w:proofErr w:type="spellEnd"/>
            <w:r>
              <w:rPr>
                <w:rFonts w:cstheme="minorHAnsi"/>
                <w:b/>
                <w:lang w:val="es-CO"/>
              </w:rPr>
              <w:t xml:space="preserve"> y llamamiento a seguros Alfa</w:t>
            </w:r>
            <w:r w:rsidRPr="008E2A07">
              <w:rPr>
                <w:rFonts w:cstheme="minorHAnsi"/>
                <w:b/>
                <w:lang w:val="es-CO"/>
              </w:rPr>
              <w:t>:</w:t>
            </w:r>
          </w:p>
          <w:p w:rsidR="005453E8" w:rsidRPr="008E2A07" w:rsidRDefault="005453E8" w:rsidP="005E17C7">
            <w:pPr>
              <w:spacing w:line="276" w:lineRule="auto"/>
              <w:jc w:val="both"/>
              <w:rPr>
                <w:rFonts w:cstheme="minorHAnsi"/>
                <w:b/>
                <w:lang w:val="es-CO"/>
              </w:rPr>
            </w:pPr>
            <w:r>
              <w:rPr>
                <w:rFonts w:cstheme="minorHAnsi"/>
                <w:b/>
                <w:lang w:val="es-CO"/>
              </w:rPr>
              <w:t xml:space="preserve">Llamamiento a </w:t>
            </w:r>
            <w:proofErr w:type="spellStart"/>
            <w:r>
              <w:rPr>
                <w:rFonts w:cstheme="minorHAnsi"/>
                <w:b/>
                <w:lang w:val="es-CO"/>
              </w:rPr>
              <w:t>Liberty</w:t>
            </w:r>
            <w:proofErr w:type="spellEnd"/>
            <w:r>
              <w:rPr>
                <w:rFonts w:cstheme="minorHAnsi"/>
                <w:b/>
                <w:lang w:val="es-CO"/>
              </w:rPr>
              <w:t xml:space="preserve"> por Mónica Eugenia:</w:t>
            </w:r>
          </w:p>
          <w:p w:rsidR="005453E8" w:rsidRDefault="005453E8" w:rsidP="005E17C7">
            <w:pPr>
              <w:spacing w:line="276" w:lineRule="auto"/>
              <w:jc w:val="both"/>
              <w:rPr>
                <w:rFonts w:cstheme="minorHAnsi"/>
                <w:b/>
                <w:lang w:val="es-CO"/>
              </w:rPr>
            </w:pPr>
            <w:r w:rsidRPr="008E2A07">
              <w:rPr>
                <w:rFonts w:cstheme="minorHAnsi"/>
                <w:b/>
                <w:lang w:val="es-CO"/>
              </w:rPr>
              <w:t>Admisión al llamamiento</w:t>
            </w:r>
            <w:r>
              <w:rPr>
                <w:rFonts w:cstheme="minorHAnsi"/>
                <w:b/>
                <w:lang w:val="es-CO"/>
              </w:rPr>
              <w:t xml:space="preserve"> a </w:t>
            </w:r>
            <w:proofErr w:type="spellStart"/>
            <w:r>
              <w:rPr>
                <w:rFonts w:cstheme="minorHAnsi"/>
                <w:b/>
                <w:lang w:val="es-CO"/>
              </w:rPr>
              <w:t>Liberty</w:t>
            </w:r>
            <w:proofErr w:type="spellEnd"/>
            <w:r>
              <w:rPr>
                <w:rFonts w:cstheme="minorHAnsi"/>
                <w:b/>
                <w:lang w:val="es-CO"/>
              </w:rPr>
              <w:t xml:space="preserve"> a Seguros Alfa</w:t>
            </w:r>
            <w:r w:rsidRPr="008E2A07">
              <w:rPr>
                <w:rFonts w:cstheme="minorHAnsi"/>
                <w:b/>
                <w:lang w:val="es-CO"/>
              </w:rPr>
              <w:t>:</w:t>
            </w:r>
          </w:p>
          <w:p w:rsidR="005453E8" w:rsidRPr="008E2A07" w:rsidRDefault="005453E8" w:rsidP="005E17C7">
            <w:pPr>
              <w:spacing w:line="276" w:lineRule="auto"/>
              <w:jc w:val="both"/>
              <w:rPr>
                <w:rFonts w:cstheme="minorHAnsi"/>
                <w:b/>
                <w:lang w:val="es-CO"/>
              </w:rPr>
            </w:pPr>
            <w:r>
              <w:rPr>
                <w:rFonts w:cstheme="minorHAnsi"/>
                <w:b/>
                <w:lang w:val="es-CO"/>
              </w:rPr>
              <w:t xml:space="preserve">Contestación </w:t>
            </w:r>
            <w:proofErr w:type="spellStart"/>
            <w:r>
              <w:rPr>
                <w:rFonts w:cstheme="minorHAnsi"/>
                <w:b/>
                <w:lang w:val="es-CO"/>
              </w:rPr>
              <w:t>Liberty</w:t>
            </w:r>
            <w:proofErr w:type="spellEnd"/>
            <w:r>
              <w:rPr>
                <w:rFonts w:cstheme="minorHAnsi"/>
                <w:b/>
                <w:lang w:val="es-CO"/>
              </w:rPr>
              <w:t xml:space="preserve"> (a llamamiento Mónica Eugenia):</w:t>
            </w:r>
            <w:r w:rsidRPr="008E2A07">
              <w:rPr>
                <w:rFonts w:cstheme="minorHAnsi"/>
                <w:b/>
                <w:lang w:val="es-CO"/>
              </w:rPr>
              <w:t xml:space="preserve">  </w:t>
            </w:r>
          </w:p>
          <w:p w:rsidR="005453E8" w:rsidRPr="008E2A07" w:rsidRDefault="005453E8" w:rsidP="005E17C7">
            <w:pPr>
              <w:spacing w:line="276" w:lineRule="auto"/>
              <w:jc w:val="both"/>
              <w:rPr>
                <w:rFonts w:cstheme="minorHAnsi"/>
                <w:b/>
                <w:lang w:val="es-CO"/>
              </w:rPr>
            </w:pPr>
          </w:p>
        </w:tc>
        <w:tc>
          <w:tcPr>
            <w:tcW w:w="4541" w:type="dxa"/>
          </w:tcPr>
          <w:p w:rsidR="005453E8" w:rsidRDefault="005453E8" w:rsidP="005E17C7">
            <w:pPr>
              <w:spacing w:line="276" w:lineRule="auto"/>
              <w:jc w:val="both"/>
              <w:rPr>
                <w:rFonts w:cstheme="minorHAnsi"/>
                <w:lang w:val="es-CO"/>
              </w:rPr>
            </w:pPr>
            <w:r>
              <w:rPr>
                <w:rFonts w:cstheme="minorHAnsi"/>
                <w:lang w:val="es-CO"/>
              </w:rPr>
              <w:t>17 de mayo del 2023</w:t>
            </w:r>
          </w:p>
          <w:p w:rsidR="005453E8" w:rsidRDefault="005453E8" w:rsidP="005E17C7">
            <w:pPr>
              <w:spacing w:line="276" w:lineRule="auto"/>
              <w:jc w:val="both"/>
              <w:rPr>
                <w:rFonts w:cstheme="minorHAnsi"/>
                <w:lang w:val="es-CO"/>
              </w:rPr>
            </w:pPr>
            <w:r>
              <w:rPr>
                <w:rFonts w:cstheme="minorHAnsi"/>
                <w:lang w:val="es-CO"/>
              </w:rPr>
              <w:t>15 de junio del 2023</w:t>
            </w:r>
          </w:p>
          <w:p w:rsidR="005453E8" w:rsidRDefault="005453E8" w:rsidP="005E17C7">
            <w:pPr>
              <w:spacing w:line="276" w:lineRule="auto"/>
              <w:jc w:val="both"/>
              <w:rPr>
                <w:rFonts w:cstheme="minorHAnsi"/>
                <w:lang w:val="es-CO"/>
              </w:rPr>
            </w:pPr>
            <w:r>
              <w:rPr>
                <w:rFonts w:cstheme="minorHAnsi"/>
                <w:lang w:val="es-CO"/>
              </w:rPr>
              <w:t>25 de mayo del 2023</w:t>
            </w:r>
          </w:p>
          <w:p w:rsidR="005453E8" w:rsidRPr="008E2A07" w:rsidRDefault="005453E8" w:rsidP="005E17C7">
            <w:pPr>
              <w:spacing w:line="276" w:lineRule="auto"/>
              <w:jc w:val="both"/>
              <w:rPr>
                <w:rFonts w:cstheme="minorHAnsi"/>
                <w:lang w:val="es-CO"/>
              </w:rPr>
            </w:pPr>
            <w:r>
              <w:rPr>
                <w:rFonts w:cstheme="minorHAnsi"/>
                <w:lang w:val="es-CO"/>
              </w:rPr>
              <w:t>18 de julio del 2023</w:t>
            </w:r>
          </w:p>
        </w:tc>
      </w:tr>
    </w:tbl>
    <w:p w:rsidR="005453E8" w:rsidRPr="008E2A07" w:rsidRDefault="005453E8" w:rsidP="005453E8">
      <w:pPr>
        <w:spacing w:after="0" w:line="276" w:lineRule="auto"/>
        <w:jc w:val="both"/>
        <w:rPr>
          <w:rFonts w:cstheme="minorHAnsi"/>
          <w:lang w:val="es-CO"/>
        </w:rPr>
      </w:pPr>
    </w:p>
    <w:p w:rsidR="005453E8" w:rsidRDefault="005453E8" w:rsidP="005453E8">
      <w:pPr>
        <w:spacing w:line="276" w:lineRule="auto"/>
        <w:jc w:val="both"/>
        <w:rPr>
          <w:rFonts w:cstheme="minorHAnsi"/>
          <w:b/>
          <w:lang w:val="es-CO"/>
        </w:rPr>
      </w:pPr>
      <w:r w:rsidRPr="00910025">
        <w:rPr>
          <w:rFonts w:cstheme="minorHAnsi"/>
          <w:b/>
          <w:highlight w:val="yellow"/>
          <w:lang w:val="es-CO"/>
        </w:rPr>
        <w:t>INFORMACIÓN RELEVANTE</w:t>
      </w:r>
    </w:p>
    <w:p w:rsidR="005453E8" w:rsidRPr="00213C6D" w:rsidRDefault="005453E8" w:rsidP="005453E8">
      <w:pPr>
        <w:spacing w:after="0" w:line="276" w:lineRule="auto"/>
        <w:jc w:val="both"/>
        <w:rPr>
          <w:rFonts w:cstheme="minorHAnsi"/>
          <w:b/>
          <w:lang w:val="es-CO"/>
        </w:rPr>
      </w:pPr>
      <w:r w:rsidRPr="00213C6D">
        <w:rPr>
          <w:rFonts w:cstheme="minorHAnsi"/>
          <w:b/>
          <w:lang w:val="es-CO"/>
        </w:rPr>
        <w:t>RECLAMACIÓN DIRECTA:</w:t>
      </w:r>
      <w:r>
        <w:rPr>
          <w:rFonts w:cstheme="minorHAnsi"/>
          <w:b/>
          <w:lang w:val="es-CO"/>
        </w:rPr>
        <w:t xml:space="preserve">                                </w:t>
      </w:r>
      <w:r w:rsidRPr="00937A1A">
        <w:rPr>
          <w:rFonts w:cstheme="minorHAnsi"/>
          <w:lang w:val="es-CO"/>
        </w:rPr>
        <w:t>enero del 2021</w:t>
      </w:r>
    </w:p>
    <w:p w:rsidR="005453E8" w:rsidRPr="00213C6D" w:rsidRDefault="005453E8" w:rsidP="005453E8">
      <w:pPr>
        <w:spacing w:after="0" w:line="276" w:lineRule="auto"/>
        <w:jc w:val="both"/>
        <w:rPr>
          <w:rFonts w:cstheme="minorHAnsi"/>
          <w:b/>
          <w:lang w:val="es-CO"/>
        </w:rPr>
      </w:pPr>
      <w:r w:rsidRPr="00213C6D">
        <w:rPr>
          <w:rFonts w:cstheme="minorHAnsi"/>
          <w:b/>
          <w:lang w:val="es-CO"/>
        </w:rPr>
        <w:t xml:space="preserve">RESPUESTA LIBERTY:                </w:t>
      </w:r>
      <w:r w:rsidRPr="00213C6D">
        <w:rPr>
          <w:rFonts w:cstheme="minorHAnsi"/>
          <w:lang w:val="es-CO"/>
        </w:rPr>
        <w:t xml:space="preserve"> </w:t>
      </w:r>
      <w:r>
        <w:rPr>
          <w:rFonts w:cstheme="minorHAnsi"/>
          <w:lang w:val="es-CO"/>
        </w:rPr>
        <w:t xml:space="preserve">                       </w:t>
      </w:r>
      <w:r w:rsidRPr="00213C6D">
        <w:rPr>
          <w:rFonts w:cstheme="minorHAnsi"/>
          <w:lang w:val="es-CO"/>
        </w:rPr>
        <w:t>Ofrecimiento</w:t>
      </w:r>
      <w:r>
        <w:rPr>
          <w:rFonts w:cstheme="minorHAnsi"/>
          <w:lang w:val="es-CO"/>
        </w:rPr>
        <w:t xml:space="preserve"> $130.000.000 (esto se indica en la demanda)</w:t>
      </w:r>
    </w:p>
    <w:p w:rsidR="005453E8" w:rsidRPr="00213C6D" w:rsidRDefault="005453E8" w:rsidP="005453E8">
      <w:pPr>
        <w:spacing w:after="0" w:line="276" w:lineRule="auto"/>
        <w:jc w:val="both"/>
        <w:rPr>
          <w:rFonts w:cstheme="minorHAnsi"/>
          <w:b/>
          <w:lang w:val="es-CO"/>
        </w:rPr>
      </w:pPr>
      <w:r>
        <w:rPr>
          <w:rFonts w:cstheme="minorHAnsi"/>
          <w:b/>
          <w:lang w:val="es-CO"/>
        </w:rPr>
        <w:t xml:space="preserve">SOLICITUD </w:t>
      </w:r>
      <w:r w:rsidRPr="00213C6D">
        <w:rPr>
          <w:rFonts w:cstheme="minorHAnsi"/>
          <w:b/>
          <w:lang w:val="es-CO"/>
        </w:rPr>
        <w:t>RECONSIDERACIÓN</w:t>
      </w:r>
      <w:r w:rsidRPr="00E07D12">
        <w:rPr>
          <w:rFonts w:cstheme="minorHAnsi"/>
          <w:lang w:val="es-CO"/>
        </w:rPr>
        <w:t xml:space="preserve">:            </w:t>
      </w:r>
      <w:r>
        <w:rPr>
          <w:rFonts w:cstheme="minorHAnsi"/>
          <w:lang w:val="es-CO"/>
        </w:rPr>
        <w:t xml:space="preserve">  </w:t>
      </w:r>
      <w:r w:rsidRPr="00E07D12">
        <w:rPr>
          <w:rFonts w:cstheme="minorHAnsi"/>
          <w:lang w:val="es-CO"/>
        </w:rPr>
        <w:t xml:space="preserve">      14 de julio del 2021</w:t>
      </w:r>
    </w:p>
    <w:p w:rsidR="005453E8" w:rsidRPr="00213C6D" w:rsidRDefault="005453E8" w:rsidP="005453E8">
      <w:pPr>
        <w:spacing w:after="0" w:line="276" w:lineRule="auto"/>
        <w:jc w:val="both"/>
        <w:rPr>
          <w:rFonts w:cstheme="minorHAnsi"/>
          <w:b/>
          <w:lang w:val="es-CO"/>
        </w:rPr>
      </w:pPr>
      <w:r>
        <w:rPr>
          <w:rFonts w:cstheme="minorHAnsi"/>
          <w:b/>
          <w:lang w:val="es-CO"/>
        </w:rPr>
        <w:t xml:space="preserve">RESPUESTAS </w:t>
      </w:r>
      <w:r w:rsidRPr="00213C6D">
        <w:rPr>
          <w:rFonts w:cstheme="minorHAnsi"/>
          <w:b/>
          <w:lang w:val="es-CO"/>
        </w:rPr>
        <w:t>LIBERTY:</w:t>
      </w:r>
      <w:r>
        <w:rPr>
          <w:rFonts w:cstheme="minorHAnsi"/>
          <w:b/>
          <w:lang w:val="es-CO"/>
        </w:rPr>
        <w:t xml:space="preserve">                                      </w:t>
      </w:r>
      <w:r w:rsidRPr="00E07D12">
        <w:rPr>
          <w:rFonts w:cstheme="minorHAnsi"/>
          <w:lang w:val="es-CO"/>
        </w:rPr>
        <w:t>22 de julio del 2021</w:t>
      </w:r>
      <w:r>
        <w:rPr>
          <w:rFonts w:cstheme="minorHAnsi"/>
          <w:lang w:val="es-CO"/>
        </w:rPr>
        <w:t xml:space="preserve"> – 27 de agosto del 2021</w:t>
      </w:r>
    </w:p>
    <w:p w:rsidR="005453E8" w:rsidRDefault="005453E8" w:rsidP="005453E8">
      <w:pPr>
        <w:spacing w:after="0" w:line="276" w:lineRule="auto"/>
        <w:jc w:val="both"/>
        <w:rPr>
          <w:rFonts w:cstheme="minorHAnsi"/>
          <w:b/>
          <w:u w:val="single"/>
          <w:lang w:val="es-CO"/>
        </w:rPr>
      </w:pPr>
    </w:p>
    <w:p w:rsidR="005453E8" w:rsidRDefault="005453E8" w:rsidP="005453E8">
      <w:pPr>
        <w:spacing w:after="0" w:line="276" w:lineRule="auto"/>
        <w:jc w:val="both"/>
        <w:rPr>
          <w:rFonts w:cstheme="minorHAnsi"/>
          <w:lang w:val="es-CO"/>
        </w:rPr>
      </w:pPr>
      <w:r w:rsidRPr="008E2A07">
        <w:rPr>
          <w:rFonts w:cstheme="minorHAnsi"/>
          <w:b/>
          <w:u w:val="single"/>
          <w:lang w:val="es-CO"/>
        </w:rPr>
        <w:t>Prescripción</w:t>
      </w:r>
      <w:r w:rsidRPr="008E2A07">
        <w:rPr>
          <w:rFonts w:cstheme="minorHAnsi"/>
          <w:lang w:val="es-CO"/>
        </w:rPr>
        <w:t xml:space="preserve">: no. De acuerdo con los hitos temporales anteriores, la demanda directa y llamamiento formulados en oportunidad. </w:t>
      </w:r>
    </w:p>
    <w:p w:rsidR="005453E8"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p>
    <w:p w:rsidR="005453E8" w:rsidRPr="008E2A07" w:rsidRDefault="005453E8" w:rsidP="005453E8">
      <w:pPr>
        <w:pStyle w:val="Prrafodelista"/>
        <w:numPr>
          <w:ilvl w:val="0"/>
          <w:numId w:val="1"/>
        </w:numPr>
        <w:spacing w:after="0" w:line="276" w:lineRule="auto"/>
        <w:jc w:val="both"/>
        <w:rPr>
          <w:rFonts w:cstheme="minorHAnsi"/>
          <w:highlight w:val="yellow"/>
          <w:lang w:val="es-CO"/>
        </w:rPr>
      </w:pPr>
      <w:r w:rsidRPr="008E2A07">
        <w:rPr>
          <w:rFonts w:cstheme="minorHAnsi"/>
          <w:b/>
          <w:highlight w:val="yellow"/>
          <w:lang w:val="es-CO"/>
        </w:rPr>
        <w:t>PRETENSIONES</w:t>
      </w:r>
    </w:p>
    <w:p w:rsidR="005453E8" w:rsidRPr="008E2A07" w:rsidRDefault="005453E8" w:rsidP="005453E8">
      <w:pPr>
        <w:pStyle w:val="Prrafodelista"/>
        <w:spacing w:after="0" w:line="276" w:lineRule="auto"/>
        <w:jc w:val="both"/>
        <w:rPr>
          <w:rFonts w:cstheme="minorHAnsi"/>
          <w:highlight w:val="yellow"/>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 xml:space="preserve">Las pretensiones se encuentran encaminadas al reconocimiento y pago de </w:t>
      </w:r>
      <w:r w:rsidRPr="008E2A07">
        <w:rPr>
          <w:rFonts w:cstheme="minorHAnsi"/>
          <w:b/>
          <w:lang w:val="es-CO"/>
        </w:rPr>
        <w:t xml:space="preserve">$ </w:t>
      </w:r>
      <w:r>
        <w:rPr>
          <w:rFonts w:cstheme="minorHAnsi"/>
          <w:b/>
          <w:lang w:val="es-CO"/>
        </w:rPr>
        <w:t>727.785.220</w:t>
      </w:r>
      <w:r w:rsidRPr="008E2A07">
        <w:rPr>
          <w:rFonts w:cstheme="minorHAnsi"/>
          <w:b/>
          <w:lang w:val="es-CO"/>
        </w:rPr>
        <w:t>.</w:t>
      </w:r>
      <w:r w:rsidRPr="008E2A07">
        <w:rPr>
          <w:rFonts w:cstheme="minorHAnsi"/>
          <w:lang w:val="es-CO"/>
        </w:rPr>
        <w:t xml:space="preserve"> Disc</w:t>
      </w:r>
      <w:r>
        <w:rPr>
          <w:rFonts w:cstheme="minorHAnsi"/>
          <w:lang w:val="es-CO"/>
        </w:rPr>
        <w:t xml:space="preserve">riminada de la siguiente forma </w:t>
      </w:r>
      <w:r w:rsidRPr="007F3C11">
        <w:rPr>
          <w:rFonts w:cstheme="minorHAnsi"/>
          <w:b/>
          <w:i/>
          <w:u w:val="single"/>
          <w:lang w:val="es-CO"/>
        </w:rPr>
        <w:t>(teniendo en cuenta subsanación de la demanda):</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1.</w:t>
      </w:r>
      <w:r w:rsidRPr="008E2A07">
        <w:rPr>
          <w:rFonts w:cstheme="minorHAnsi"/>
          <w:lang w:val="es-CO"/>
        </w:rPr>
        <w:tab/>
      </w:r>
      <w:r w:rsidRPr="008E2A07">
        <w:rPr>
          <w:rFonts w:cstheme="minorHAnsi"/>
          <w:b/>
          <w:lang w:val="es-CO"/>
        </w:rPr>
        <w:t>Lucro cesante:</w:t>
      </w:r>
      <w:r w:rsidRPr="008E2A07">
        <w:rPr>
          <w:rFonts w:cstheme="minorHAnsi"/>
          <w:lang w:val="es-CO"/>
        </w:rPr>
        <w:t xml:space="preserve"> </w:t>
      </w:r>
      <w:r w:rsidRPr="008E2A07">
        <w:rPr>
          <w:rFonts w:cstheme="minorHAnsi"/>
          <w:b/>
          <w:lang w:val="es-CO"/>
        </w:rPr>
        <w:t xml:space="preserve">$ </w:t>
      </w:r>
      <w:r>
        <w:rPr>
          <w:rFonts w:cstheme="minorHAnsi"/>
          <w:b/>
          <w:lang w:val="es-CO"/>
        </w:rPr>
        <w:t>127.785.220</w:t>
      </w:r>
    </w:p>
    <w:p w:rsidR="005453E8" w:rsidRPr="008E2A07" w:rsidRDefault="005453E8" w:rsidP="005453E8">
      <w:pPr>
        <w:spacing w:after="0" w:line="276" w:lineRule="auto"/>
        <w:jc w:val="both"/>
        <w:rPr>
          <w:rFonts w:cstheme="minorHAnsi"/>
          <w:lang w:val="es-CO"/>
        </w:rPr>
      </w:pPr>
      <w:r w:rsidRPr="008E2A07">
        <w:rPr>
          <w:rFonts w:cstheme="minorHAnsi"/>
          <w:lang w:val="es-CO"/>
        </w:rPr>
        <w:t>2.</w:t>
      </w:r>
      <w:r w:rsidRPr="008E2A07">
        <w:rPr>
          <w:rFonts w:cstheme="minorHAnsi"/>
          <w:lang w:val="es-CO"/>
        </w:rPr>
        <w:tab/>
      </w:r>
      <w:r w:rsidRPr="008E2A07">
        <w:rPr>
          <w:rFonts w:cstheme="minorHAnsi"/>
          <w:b/>
          <w:lang w:val="es-CO"/>
        </w:rPr>
        <w:t>Daño moral:</w:t>
      </w:r>
      <w:r w:rsidRPr="008E2A07">
        <w:rPr>
          <w:rFonts w:cstheme="minorHAnsi"/>
          <w:lang w:val="es-CO"/>
        </w:rPr>
        <w:t xml:space="preserve"> </w:t>
      </w:r>
      <w:r>
        <w:rPr>
          <w:rFonts w:cstheme="minorHAnsi"/>
          <w:b/>
          <w:lang w:val="es-CO"/>
        </w:rPr>
        <w:t>$ 30</w:t>
      </w:r>
      <w:r w:rsidRPr="008E2A07">
        <w:rPr>
          <w:rFonts w:cstheme="minorHAnsi"/>
          <w:b/>
          <w:lang w:val="es-CO"/>
        </w:rPr>
        <w:t>0.000.000</w:t>
      </w:r>
    </w:p>
    <w:p w:rsidR="005453E8" w:rsidRPr="008E2A07" w:rsidRDefault="005453E8" w:rsidP="005453E8">
      <w:pPr>
        <w:pStyle w:val="Prrafodelista"/>
        <w:numPr>
          <w:ilvl w:val="0"/>
          <w:numId w:val="5"/>
        </w:numPr>
        <w:spacing w:after="0" w:line="276" w:lineRule="auto"/>
        <w:jc w:val="both"/>
        <w:rPr>
          <w:rFonts w:cstheme="minorHAnsi"/>
          <w:lang w:val="es-CO"/>
        </w:rPr>
      </w:pPr>
      <w:r w:rsidRPr="008E2A07">
        <w:rPr>
          <w:rFonts w:cstheme="minorHAnsi"/>
          <w:lang w:val="es-CO"/>
        </w:rPr>
        <w:t>Para Teresita Gordillo</w:t>
      </w:r>
      <w:r>
        <w:rPr>
          <w:rFonts w:cstheme="minorHAnsi"/>
          <w:lang w:val="es-CO"/>
        </w:rPr>
        <w:t>: $60.000.000</w:t>
      </w:r>
      <w:r w:rsidRPr="008E2A07">
        <w:rPr>
          <w:rFonts w:cstheme="minorHAnsi"/>
          <w:lang w:val="es-CO"/>
        </w:rPr>
        <w:t xml:space="preserve"> </w:t>
      </w:r>
    </w:p>
    <w:p w:rsidR="005453E8" w:rsidRPr="008E2A07" w:rsidRDefault="005453E8" w:rsidP="005453E8">
      <w:pPr>
        <w:pStyle w:val="Prrafodelista"/>
        <w:numPr>
          <w:ilvl w:val="0"/>
          <w:numId w:val="5"/>
        </w:numPr>
        <w:spacing w:after="0" w:line="276" w:lineRule="auto"/>
        <w:jc w:val="both"/>
        <w:rPr>
          <w:rFonts w:cstheme="minorHAnsi"/>
          <w:lang w:val="es-CO"/>
        </w:rPr>
      </w:pPr>
      <w:r w:rsidRPr="008E2A07">
        <w:rPr>
          <w:rFonts w:cstheme="minorHAnsi"/>
          <w:lang w:val="es-CO"/>
        </w:rPr>
        <w:t>Para Carlos José Narváez</w:t>
      </w:r>
      <w:r>
        <w:rPr>
          <w:rFonts w:cstheme="minorHAnsi"/>
          <w:lang w:val="es-CO"/>
        </w:rPr>
        <w:t>: $60.000.000</w:t>
      </w:r>
    </w:p>
    <w:p w:rsidR="005453E8" w:rsidRPr="008E2A07" w:rsidRDefault="005453E8" w:rsidP="005453E8">
      <w:pPr>
        <w:pStyle w:val="Prrafodelista"/>
        <w:numPr>
          <w:ilvl w:val="0"/>
          <w:numId w:val="5"/>
        </w:numPr>
        <w:spacing w:after="0" w:line="276" w:lineRule="auto"/>
        <w:jc w:val="both"/>
        <w:rPr>
          <w:rFonts w:cstheme="minorHAnsi"/>
          <w:lang w:val="es-CO"/>
        </w:rPr>
      </w:pPr>
      <w:r w:rsidRPr="008E2A07">
        <w:rPr>
          <w:rFonts w:cstheme="minorHAnsi"/>
          <w:lang w:val="es-CO"/>
        </w:rPr>
        <w:t>Para Laura Narváez Gordillo</w:t>
      </w:r>
      <w:r>
        <w:rPr>
          <w:rFonts w:cstheme="minorHAnsi"/>
          <w:lang w:val="es-CO"/>
        </w:rPr>
        <w:t>: $60.000.000</w:t>
      </w:r>
    </w:p>
    <w:p w:rsidR="005453E8" w:rsidRPr="008E2A07" w:rsidRDefault="005453E8" w:rsidP="005453E8">
      <w:pPr>
        <w:pStyle w:val="Prrafodelista"/>
        <w:numPr>
          <w:ilvl w:val="0"/>
          <w:numId w:val="5"/>
        </w:numPr>
        <w:spacing w:after="0" w:line="276" w:lineRule="auto"/>
        <w:jc w:val="both"/>
        <w:rPr>
          <w:rFonts w:cstheme="minorHAnsi"/>
          <w:lang w:val="es-CO"/>
        </w:rPr>
      </w:pPr>
      <w:r w:rsidRPr="008E2A07">
        <w:rPr>
          <w:rFonts w:cstheme="minorHAnsi"/>
          <w:lang w:val="es-CO"/>
        </w:rPr>
        <w:t>Para Camila Narváez Gordillo</w:t>
      </w:r>
      <w:r>
        <w:rPr>
          <w:rFonts w:cstheme="minorHAnsi"/>
          <w:lang w:val="es-CO"/>
        </w:rPr>
        <w:t>: $60.000.000</w:t>
      </w:r>
    </w:p>
    <w:p w:rsidR="005453E8" w:rsidRPr="008E2A07" w:rsidRDefault="005453E8" w:rsidP="005453E8">
      <w:pPr>
        <w:pStyle w:val="Prrafodelista"/>
        <w:numPr>
          <w:ilvl w:val="0"/>
          <w:numId w:val="5"/>
        </w:numPr>
        <w:spacing w:after="0" w:line="276" w:lineRule="auto"/>
        <w:jc w:val="both"/>
        <w:rPr>
          <w:rFonts w:cstheme="minorHAnsi"/>
          <w:lang w:val="es-CO"/>
        </w:rPr>
      </w:pPr>
      <w:r w:rsidRPr="008E2A07">
        <w:rPr>
          <w:rFonts w:cstheme="minorHAnsi"/>
          <w:lang w:val="es-CO"/>
        </w:rPr>
        <w:t>Para Carlos Eduardo Narváez Gordillo</w:t>
      </w:r>
      <w:r>
        <w:rPr>
          <w:rFonts w:cstheme="minorHAnsi"/>
          <w:lang w:val="es-CO"/>
        </w:rPr>
        <w:t>: $60.000.000</w:t>
      </w:r>
    </w:p>
    <w:p w:rsidR="005453E8" w:rsidRPr="008E2A07" w:rsidRDefault="005453E8" w:rsidP="005453E8">
      <w:pPr>
        <w:pStyle w:val="Prrafodelista"/>
        <w:spacing w:after="0" w:line="276" w:lineRule="auto"/>
        <w:jc w:val="both"/>
        <w:rPr>
          <w:rFonts w:cstheme="minorHAnsi"/>
          <w:lang w:val="es-CO"/>
        </w:rPr>
      </w:pPr>
    </w:p>
    <w:p w:rsidR="005453E8" w:rsidRPr="007370AF" w:rsidRDefault="005453E8" w:rsidP="005453E8">
      <w:pPr>
        <w:pStyle w:val="Prrafodelista"/>
        <w:numPr>
          <w:ilvl w:val="0"/>
          <w:numId w:val="4"/>
        </w:numPr>
        <w:spacing w:after="0" w:line="276" w:lineRule="auto"/>
        <w:jc w:val="both"/>
        <w:rPr>
          <w:rFonts w:cstheme="minorHAnsi"/>
          <w:b/>
          <w:lang w:val="es-CO"/>
        </w:rPr>
      </w:pPr>
      <w:r w:rsidRPr="007370AF">
        <w:rPr>
          <w:rFonts w:cstheme="minorHAnsi"/>
          <w:b/>
          <w:lang w:val="es-CO"/>
        </w:rPr>
        <w:t xml:space="preserve">Daño a la vida en relación: $ </w:t>
      </w:r>
      <w:r>
        <w:rPr>
          <w:rFonts w:cstheme="minorHAnsi"/>
          <w:b/>
          <w:lang w:val="es-CO"/>
        </w:rPr>
        <w:t>3</w:t>
      </w:r>
      <w:r w:rsidRPr="007370AF">
        <w:rPr>
          <w:rFonts w:cstheme="minorHAnsi"/>
          <w:b/>
          <w:lang w:val="es-CO"/>
        </w:rPr>
        <w:t>00.000.000</w:t>
      </w:r>
    </w:p>
    <w:p w:rsidR="005453E8" w:rsidRPr="008E2A07" w:rsidRDefault="005453E8" w:rsidP="005453E8">
      <w:pPr>
        <w:pStyle w:val="Prrafodelista"/>
        <w:numPr>
          <w:ilvl w:val="0"/>
          <w:numId w:val="9"/>
        </w:numPr>
        <w:spacing w:after="0" w:line="276" w:lineRule="auto"/>
        <w:jc w:val="both"/>
        <w:rPr>
          <w:rFonts w:cstheme="minorHAnsi"/>
          <w:lang w:val="es-CO"/>
        </w:rPr>
      </w:pPr>
      <w:r w:rsidRPr="008E2A07">
        <w:rPr>
          <w:rFonts w:cstheme="minorHAnsi"/>
          <w:lang w:val="es-CO"/>
        </w:rPr>
        <w:t>Para Teresita Gordillo</w:t>
      </w:r>
      <w:r>
        <w:rPr>
          <w:rFonts w:cstheme="minorHAnsi"/>
          <w:lang w:val="es-CO"/>
        </w:rPr>
        <w:t>: $60.000.000</w:t>
      </w:r>
      <w:r w:rsidRPr="008E2A07">
        <w:rPr>
          <w:rFonts w:cstheme="minorHAnsi"/>
          <w:lang w:val="es-CO"/>
        </w:rPr>
        <w:t xml:space="preserve"> </w:t>
      </w:r>
    </w:p>
    <w:p w:rsidR="005453E8" w:rsidRPr="008E2A07" w:rsidRDefault="005453E8" w:rsidP="005453E8">
      <w:pPr>
        <w:pStyle w:val="Prrafodelista"/>
        <w:numPr>
          <w:ilvl w:val="0"/>
          <w:numId w:val="9"/>
        </w:numPr>
        <w:spacing w:after="0" w:line="276" w:lineRule="auto"/>
        <w:jc w:val="both"/>
        <w:rPr>
          <w:rFonts w:cstheme="minorHAnsi"/>
          <w:lang w:val="es-CO"/>
        </w:rPr>
      </w:pPr>
      <w:r w:rsidRPr="008E2A07">
        <w:rPr>
          <w:rFonts w:cstheme="minorHAnsi"/>
          <w:lang w:val="es-CO"/>
        </w:rPr>
        <w:t>Para Carlos José Narváez</w:t>
      </w:r>
      <w:r>
        <w:rPr>
          <w:rFonts w:cstheme="minorHAnsi"/>
          <w:lang w:val="es-CO"/>
        </w:rPr>
        <w:t>: $60.000.000</w:t>
      </w:r>
    </w:p>
    <w:p w:rsidR="005453E8" w:rsidRPr="008E2A07" w:rsidRDefault="005453E8" w:rsidP="005453E8">
      <w:pPr>
        <w:pStyle w:val="Prrafodelista"/>
        <w:numPr>
          <w:ilvl w:val="0"/>
          <w:numId w:val="9"/>
        </w:numPr>
        <w:spacing w:after="0" w:line="276" w:lineRule="auto"/>
        <w:jc w:val="both"/>
        <w:rPr>
          <w:rFonts w:cstheme="minorHAnsi"/>
          <w:lang w:val="es-CO"/>
        </w:rPr>
      </w:pPr>
      <w:r w:rsidRPr="008E2A07">
        <w:rPr>
          <w:rFonts w:cstheme="minorHAnsi"/>
          <w:lang w:val="es-CO"/>
        </w:rPr>
        <w:t>Para Laura Narváez Gordillo</w:t>
      </w:r>
      <w:r>
        <w:rPr>
          <w:rFonts w:cstheme="minorHAnsi"/>
          <w:lang w:val="es-CO"/>
        </w:rPr>
        <w:t>: $60.000.000</w:t>
      </w:r>
    </w:p>
    <w:p w:rsidR="005453E8" w:rsidRPr="008E2A07" w:rsidRDefault="005453E8" w:rsidP="005453E8">
      <w:pPr>
        <w:pStyle w:val="Prrafodelista"/>
        <w:numPr>
          <w:ilvl w:val="0"/>
          <w:numId w:val="9"/>
        </w:numPr>
        <w:spacing w:after="0" w:line="276" w:lineRule="auto"/>
        <w:jc w:val="both"/>
        <w:rPr>
          <w:rFonts w:cstheme="minorHAnsi"/>
          <w:lang w:val="es-CO"/>
        </w:rPr>
      </w:pPr>
      <w:r w:rsidRPr="008E2A07">
        <w:rPr>
          <w:rFonts w:cstheme="minorHAnsi"/>
          <w:lang w:val="es-CO"/>
        </w:rPr>
        <w:t>Para Camila Narváez Gordillo</w:t>
      </w:r>
      <w:r>
        <w:rPr>
          <w:rFonts w:cstheme="minorHAnsi"/>
          <w:lang w:val="es-CO"/>
        </w:rPr>
        <w:t>: $60.000.000</w:t>
      </w:r>
    </w:p>
    <w:p w:rsidR="005453E8" w:rsidRPr="008E2A07" w:rsidRDefault="005453E8" w:rsidP="005453E8">
      <w:pPr>
        <w:pStyle w:val="Prrafodelista"/>
        <w:numPr>
          <w:ilvl w:val="0"/>
          <w:numId w:val="9"/>
        </w:numPr>
        <w:spacing w:after="0" w:line="276" w:lineRule="auto"/>
        <w:jc w:val="both"/>
        <w:rPr>
          <w:rFonts w:cstheme="minorHAnsi"/>
          <w:lang w:val="es-CO"/>
        </w:rPr>
      </w:pPr>
      <w:r w:rsidRPr="008E2A07">
        <w:rPr>
          <w:rFonts w:cstheme="minorHAnsi"/>
          <w:lang w:val="es-CO"/>
        </w:rPr>
        <w:t>Para Carlos Eduardo Narváez Gordillo</w:t>
      </w:r>
      <w:r>
        <w:rPr>
          <w:rFonts w:cstheme="minorHAnsi"/>
          <w:lang w:val="es-CO"/>
        </w:rPr>
        <w:t>: $60.000.000</w:t>
      </w:r>
    </w:p>
    <w:p w:rsidR="005453E8" w:rsidRPr="008E2A07" w:rsidRDefault="005453E8" w:rsidP="005453E8">
      <w:pPr>
        <w:pStyle w:val="Prrafodelista"/>
        <w:spacing w:after="0" w:line="276" w:lineRule="auto"/>
        <w:ind w:left="705"/>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4.</w:t>
      </w:r>
      <w:r w:rsidRPr="008E2A07">
        <w:rPr>
          <w:rFonts w:cstheme="minorHAnsi"/>
          <w:lang w:val="es-CO"/>
        </w:rPr>
        <w:tab/>
        <w:t>Costas y agencias en derecho.</w:t>
      </w:r>
    </w:p>
    <w:p w:rsidR="005453E8" w:rsidRPr="008E2A07" w:rsidRDefault="005453E8" w:rsidP="005453E8">
      <w:pPr>
        <w:spacing w:after="0" w:line="276" w:lineRule="auto"/>
        <w:jc w:val="both"/>
        <w:rPr>
          <w:rFonts w:cstheme="minorHAnsi"/>
          <w:lang w:val="es-CO"/>
        </w:rPr>
      </w:pPr>
      <w:r w:rsidRPr="008E2A07">
        <w:rPr>
          <w:rFonts w:cstheme="minorHAnsi"/>
          <w:lang w:val="es-CO"/>
        </w:rPr>
        <w:t>5.</w:t>
      </w:r>
      <w:r w:rsidRPr="008E2A07">
        <w:rPr>
          <w:rFonts w:cstheme="minorHAnsi"/>
          <w:lang w:val="es-CO"/>
        </w:rPr>
        <w:tab/>
        <w:t>Indexación de los valores pretendidos</w:t>
      </w:r>
    </w:p>
    <w:p w:rsidR="005453E8" w:rsidRPr="008E2A07" w:rsidRDefault="005453E8" w:rsidP="005453E8">
      <w:pPr>
        <w:pStyle w:val="Prrafodelista"/>
        <w:spacing w:after="0" w:line="276" w:lineRule="auto"/>
        <w:ind w:left="360"/>
        <w:jc w:val="both"/>
        <w:rPr>
          <w:rFonts w:cstheme="minorHAnsi"/>
          <w:lang w:val="es-CO"/>
        </w:rPr>
      </w:pPr>
    </w:p>
    <w:p w:rsidR="005453E8" w:rsidRPr="008E2A07" w:rsidRDefault="005453E8" w:rsidP="005453E8">
      <w:pPr>
        <w:pStyle w:val="Prrafodelista"/>
        <w:spacing w:after="0" w:line="276" w:lineRule="auto"/>
        <w:ind w:left="360"/>
        <w:jc w:val="both"/>
        <w:rPr>
          <w:rFonts w:cstheme="minorHAnsi"/>
          <w:lang w:val="es-CO"/>
        </w:rPr>
      </w:pPr>
    </w:p>
    <w:p w:rsidR="005453E8" w:rsidRPr="008E2A07" w:rsidRDefault="005453E8" w:rsidP="005453E8">
      <w:pPr>
        <w:pStyle w:val="Prrafodelista"/>
        <w:numPr>
          <w:ilvl w:val="0"/>
          <w:numId w:val="1"/>
        </w:numPr>
        <w:spacing w:after="0" w:line="276" w:lineRule="auto"/>
        <w:jc w:val="both"/>
        <w:rPr>
          <w:rFonts w:cstheme="minorHAnsi"/>
          <w:b/>
          <w:highlight w:val="yellow"/>
          <w:lang w:val="es-CO"/>
        </w:rPr>
      </w:pPr>
      <w:r w:rsidRPr="008E2A07">
        <w:rPr>
          <w:rFonts w:cstheme="minorHAnsi"/>
          <w:b/>
          <w:highlight w:val="yellow"/>
          <w:lang w:val="es-CO"/>
        </w:rPr>
        <w:t>PÓLIZAS VINCULADAS Y ANÁLISIS DE COBERTURA</w:t>
      </w:r>
    </w:p>
    <w:p w:rsidR="005453E8" w:rsidRPr="008E2A07" w:rsidRDefault="005453E8" w:rsidP="005453E8">
      <w:pPr>
        <w:pStyle w:val="Prrafodelista"/>
        <w:spacing w:after="0" w:line="276" w:lineRule="auto"/>
        <w:jc w:val="both"/>
        <w:rPr>
          <w:rFonts w:cstheme="minorHAnsi"/>
          <w:b/>
          <w:highlight w:val="yellow"/>
          <w:lang w:val="es-CO"/>
        </w:rPr>
      </w:pPr>
    </w:p>
    <w:p w:rsidR="005453E8" w:rsidRPr="008E2A07" w:rsidRDefault="005453E8" w:rsidP="005453E8">
      <w:pPr>
        <w:spacing w:after="0" w:line="276" w:lineRule="auto"/>
        <w:jc w:val="both"/>
        <w:rPr>
          <w:rFonts w:cstheme="minorHAnsi"/>
          <w:b/>
          <w:u w:val="single"/>
          <w:lang w:val="es-CO"/>
        </w:rPr>
      </w:pPr>
      <w:r w:rsidRPr="008E2A07">
        <w:rPr>
          <w:rFonts w:cstheme="minorHAnsi"/>
          <w:b/>
          <w:u w:val="single"/>
          <w:lang w:val="es-CO"/>
        </w:rPr>
        <w:t>Con la demanda directa se vinculó la Póliza Seguro de Automóviles No. 281613 vigente entre el 16 de junio del 2019 al 16 de junio del 2021</w:t>
      </w:r>
    </w:p>
    <w:p w:rsidR="005453E8" w:rsidRPr="008E2A07" w:rsidRDefault="005453E8" w:rsidP="005453E8">
      <w:pPr>
        <w:spacing w:after="0" w:line="276" w:lineRule="auto"/>
        <w:jc w:val="both"/>
        <w:rPr>
          <w:rFonts w:cstheme="minorHAnsi"/>
          <w:b/>
          <w:lang w:val="es-CO"/>
        </w:rPr>
      </w:pP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Retroactividad: N/A</w:t>
      </w:r>
    </w:p>
    <w:p w:rsidR="005453E8" w:rsidRPr="008E2A07" w:rsidRDefault="005453E8" w:rsidP="005453E8">
      <w:pPr>
        <w:pStyle w:val="Prrafodelista"/>
        <w:numPr>
          <w:ilvl w:val="0"/>
          <w:numId w:val="2"/>
        </w:numPr>
        <w:spacing w:after="0" w:line="276" w:lineRule="auto"/>
        <w:jc w:val="both"/>
        <w:rPr>
          <w:rFonts w:cstheme="minorHAnsi"/>
          <w:b/>
          <w:lang w:val="es-CO"/>
        </w:rPr>
      </w:pPr>
      <w:r w:rsidRPr="008E2A07">
        <w:rPr>
          <w:rFonts w:cstheme="minorHAnsi"/>
          <w:b/>
          <w:lang w:val="es-CO"/>
        </w:rPr>
        <w:t xml:space="preserve">Amparo afectado: </w:t>
      </w:r>
      <w:r w:rsidRPr="008E2A07">
        <w:rPr>
          <w:rFonts w:cstheme="minorHAnsi"/>
          <w:lang w:val="es-CO"/>
        </w:rPr>
        <w:t xml:space="preserve">RCE Lesiones o muerte a más de una persona </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Límite asegurado:</w:t>
      </w:r>
      <w:r w:rsidRPr="008E2A07">
        <w:rPr>
          <w:rFonts w:cstheme="minorHAnsi"/>
          <w:lang w:val="es-CO"/>
        </w:rPr>
        <w:t xml:space="preserve"> $ 2.000.000.000</w:t>
      </w:r>
    </w:p>
    <w:p w:rsidR="005453E8" w:rsidRPr="008E2A07" w:rsidRDefault="005453E8" w:rsidP="005453E8">
      <w:pPr>
        <w:pStyle w:val="Prrafodelista"/>
        <w:numPr>
          <w:ilvl w:val="0"/>
          <w:numId w:val="2"/>
        </w:numPr>
        <w:spacing w:after="0" w:line="276" w:lineRule="auto"/>
        <w:jc w:val="both"/>
        <w:rPr>
          <w:rFonts w:cstheme="minorHAnsi"/>
          <w:b/>
          <w:lang w:val="es-CO"/>
        </w:rPr>
      </w:pPr>
      <w:r w:rsidRPr="008E2A07">
        <w:rPr>
          <w:rFonts w:cstheme="minorHAnsi"/>
          <w:b/>
          <w:lang w:val="es-CO"/>
        </w:rPr>
        <w:t xml:space="preserve">Tomador: </w:t>
      </w:r>
      <w:r w:rsidRPr="008E2A07">
        <w:rPr>
          <w:rFonts w:cstheme="minorHAnsi"/>
        </w:rPr>
        <w:t>BANCO DE OCCIDENTE S.A</w:t>
      </w:r>
    </w:p>
    <w:p w:rsidR="005453E8" w:rsidRPr="008E2A07" w:rsidRDefault="005453E8" w:rsidP="005453E8">
      <w:pPr>
        <w:pStyle w:val="Prrafodelista"/>
        <w:numPr>
          <w:ilvl w:val="0"/>
          <w:numId w:val="2"/>
        </w:numPr>
        <w:spacing w:after="0" w:line="276" w:lineRule="auto"/>
        <w:jc w:val="both"/>
        <w:rPr>
          <w:rFonts w:cstheme="minorHAnsi"/>
          <w:b/>
          <w:lang w:val="es-CO"/>
        </w:rPr>
      </w:pPr>
      <w:r w:rsidRPr="008E2A07">
        <w:rPr>
          <w:rFonts w:cstheme="minorHAnsi"/>
          <w:b/>
          <w:lang w:val="es-CO"/>
        </w:rPr>
        <w:t xml:space="preserve">Asegurado: </w:t>
      </w:r>
      <w:r w:rsidRPr="008E2A07">
        <w:rPr>
          <w:rFonts w:cstheme="minorHAnsi"/>
        </w:rPr>
        <w:t>MONICA EUGENIA ERAZO TOBAR</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 xml:space="preserve">Beneficiarios: </w:t>
      </w:r>
      <w:r w:rsidRPr="008E2A07">
        <w:rPr>
          <w:rFonts w:cstheme="minorHAnsi"/>
        </w:rPr>
        <w:t>BANCO DE OCCIDENTE S.A</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Vehículo asegurado:</w:t>
      </w:r>
      <w:r w:rsidRPr="008E2A07">
        <w:rPr>
          <w:rFonts w:cstheme="minorHAnsi"/>
          <w:lang w:val="es-CO"/>
        </w:rPr>
        <w:t xml:space="preserve"> placa AVI804</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 xml:space="preserve">Modalidad cobertura: </w:t>
      </w:r>
      <w:r w:rsidRPr="008E2A07">
        <w:rPr>
          <w:rFonts w:cstheme="minorHAnsi"/>
          <w:lang w:val="es-CO"/>
        </w:rPr>
        <w:t xml:space="preserve">por ocurrencia. </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Deducible:</w:t>
      </w:r>
      <w:r w:rsidRPr="008E2A07">
        <w:rPr>
          <w:rFonts w:cstheme="minorHAnsi"/>
          <w:lang w:val="es-CO"/>
        </w:rPr>
        <w:t xml:space="preserve"> N/A</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Coaseguro:</w:t>
      </w:r>
      <w:r w:rsidRPr="008E2A07">
        <w:rPr>
          <w:rFonts w:cstheme="minorHAnsi"/>
          <w:lang w:val="es-CO"/>
        </w:rPr>
        <w:t xml:space="preserve"> SI. 75% en cabeza de </w:t>
      </w:r>
      <w:proofErr w:type="spellStart"/>
      <w:r w:rsidRPr="008E2A07">
        <w:rPr>
          <w:rFonts w:cstheme="minorHAnsi"/>
          <w:lang w:val="es-CO"/>
        </w:rPr>
        <w:t>Liberty</w:t>
      </w:r>
      <w:proofErr w:type="spellEnd"/>
      <w:r w:rsidRPr="008E2A07">
        <w:rPr>
          <w:rFonts w:cstheme="minorHAnsi"/>
          <w:lang w:val="es-CO"/>
        </w:rPr>
        <w:t xml:space="preserve"> Seguros S.A., y el 25% en cabeza de Seguros Alfa S.A.</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 xml:space="preserve">Interés asegurable: </w:t>
      </w:r>
      <w:r w:rsidRPr="008E2A07">
        <w:rPr>
          <w:rFonts w:cstheme="minorHAnsi"/>
          <w:lang w:val="es-CO"/>
        </w:rPr>
        <w:t>sí.</w:t>
      </w:r>
    </w:p>
    <w:p w:rsidR="005453E8" w:rsidRPr="008E2A07" w:rsidRDefault="005453E8" w:rsidP="005453E8">
      <w:pPr>
        <w:pStyle w:val="Prrafodelista"/>
        <w:numPr>
          <w:ilvl w:val="0"/>
          <w:numId w:val="2"/>
        </w:numPr>
        <w:spacing w:after="0" w:line="276" w:lineRule="auto"/>
        <w:jc w:val="both"/>
        <w:rPr>
          <w:rFonts w:cstheme="minorHAnsi"/>
          <w:lang w:val="es-CO"/>
        </w:rPr>
      </w:pPr>
      <w:r w:rsidRPr="008E2A07">
        <w:rPr>
          <w:rFonts w:cstheme="minorHAnsi"/>
          <w:b/>
          <w:lang w:val="es-CO"/>
        </w:rPr>
        <w:t>Amparo patrimonial:</w:t>
      </w:r>
      <w:r w:rsidRPr="008E2A07">
        <w:rPr>
          <w:rFonts w:cstheme="minorHAnsi"/>
          <w:lang w:val="es-CO"/>
        </w:rPr>
        <w:t xml:space="preserve"> incluido. </w:t>
      </w:r>
    </w:p>
    <w:p w:rsidR="005453E8"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B02E5">
        <w:rPr>
          <w:rFonts w:cstheme="minorHAnsi"/>
          <w:lang w:val="es-CO"/>
        </w:rPr>
        <w:drawing>
          <wp:inline distT="0" distB="0" distL="0" distR="0" wp14:anchorId="0EDFFD88" wp14:editId="420DF09F">
            <wp:extent cx="4333875" cy="7641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63297" cy="769319"/>
                    </a:xfrm>
                    <a:prstGeom prst="rect">
                      <a:avLst/>
                    </a:prstGeom>
                  </pic:spPr>
                </pic:pic>
              </a:graphicData>
            </a:graphic>
          </wp:inline>
        </w:drawing>
      </w:r>
    </w:p>
    <w:p w:rsidR="005453E8" w:rsidRPr="008E2A07" w:rsidRDefault="005453E8" w:rsidP="005453E8">
      <w:pPr>
        <w:spacing w:after="0" w:line="276" w:lineRule="auto"/>
        <w:jc w:val="both"/>
        <w:rPr>
          <w:rFonts w:cstheme="minorHAnsi"/>
          <w:b/>
          <w:lang w:val="es-CO"/>
        </w:rPr>
      </w:pPr>
      <w:r>
        <w:rPr>
          <w:rFonts w:cstheme="minorHAnsi"/>
          <w:b/>
          <w:lang w:val="es-CO"/>
        </w:rPr>
        <w:t xml:space="preserve">**La demandada Mónica Eugenia Erazo llamó en garantía a </w:t>
      </w:r>
      <w:proofErr w:type="spellStart"/>
      <w:r>
        <w:rPr>
          <w:rFonts w:cstheme="minorHAnsi"/>
          <w:b/>
          <w:lang w:val="es-CO"/>
        </w:rPr>
        <w:t>L</w:t>
      </w:r>
      <w:r w:rsidRPr="008E2A07">
        <w:rPr>
          <w:rFonts w:cstheme="minorHAnsi"/>
          <w:b/>
          <w:lang w:val="es-CO"/>
        </w:rPr>
        <w:t>iberty</w:t>
      </w:r>
      <w:proofErr w:type="spellEnd"/>
      <w:r w:rsidRPr="008E2A07">
        <w:rPr>
          <w:rFonts w:cstheme="minorHAnsi"/>
          <w:b/>
          <w:lang w:val="es-CO"/>
        </w:rPr>
        <w:t xml:space="preserve"> en virtud de la</w:t>
      </w:r>
      <w:r>
        <w:rPr>
          <w:rFonts w:cstheme="minorHAnsi"/>
          <w:b/>
          <w:lang w:val="es-CO"/>
        </w:rPr>
        <w:t xml:space="preserve"> misma</w:t>
      </w:r>
      <w:r w:rsidRPr="008E2A07">
        <w:rPr>
          <w:rFonts w:cstheme="minorHAnsi"/>
          <w:b/>
          <w:lang w:val="es-CO"/>
        </w:rPr>
        <w:t xml:space="preserve"> póliza anteriormente identificada.</w:t>
      </w:r>
    </w:p>
    <w:p w:rsidR="005453E8" w:rsidRPr="008E2A07" w:rsidRDefault="005453E8" w:rsidP="005453E8">
      <w:pPr>
        <w:spacing w:after="0" w:line="276" w:lineRule="auto"/>
        <w:jc w:val="both"/>
        <w:rPr>
          <w:rFonts w:cstheme="minorHAnsi"/>
          <w:b/>
          <w:lang w:val="es-CO"/>
        </w:rPr>
      </w:pPr>
    </w:p>
    <w:p w:rsidR="005453E8" w:rsidRDefault="005453E8" w:rsidP="005453E8">
      <w:pPr>
        <w:spacing w:after="0" w:line="276" w:lineRule="auto"/>
        <w:jc w:val="both"/>
        <w:rPr>
          <w:rFonts w:cstheme="minorHAnsi"/>
          <w:b/>
          <w:lang w:val="es-CO"/>
        </w:rPr>
      </w:pPr>
      <w:r>
        <w:rPr>
          <w:rFonts w:cstheme="minorHAnsi"/>
          <w:b/>
          <w:noProof/>
          <w:lang w:val="es-CO" w:eastAsia="es-CO"/>
        </w:rPr>
        <w:lastRenderedPageBreak/>
        <w:drawing>
          <wp:inline distT="0" distB="0" distL="0" distR="0" wp14:anchorId="2BD4CFAA" wp14:editId="1E2F86AD">
            <wp:extent cx="4962525" cy="4207012"/>
            <wp:effectExtent l="152400" t="152400" r="352425" b="3651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6827" cy="4210659"/>
                    </a:xfrm>
                    <a:prstGeom prst="rect">
                      <a:avLst/>
                    </a:prstGeom>
                    <a:ln>
                      <a:noFill/>
                    </a:ln>
                    <a:effectLst>
                      <a:outerShdw blurRad="292100" dist="139700" dir="2700000" algn="tl" rotWithShape="0">
                        <a:srgbClr val="333333">
                          <a:alpha val="65000"/>
                        </a:srgbClr>
                      </a:outerShdw>
                    </a:effectLst>
                  </pic:spPr>
                </pic:pic>
              </a:graphicData>
            </a:graphic>
          </wp:inline>
        </w:drawing>
      </w:r>
    </w:p>
    <w:p w:rsidR="005453E8" w:rsidRDefault="005453E8" w:rsidP="005453E8">
      <w:pPr>
        <w:spacing w:after="0" w:line="276" w:lineRule="auto"/>
        <w:jc w:val="both"/>
        <w:rPr>
          <w:rFonts w:cstheme="minorHAnsi"/>
          <w:b/>
          <w:lang w:val="es-CO"/>
        </w:rPr>
      </w:pPr>
    </w:p>
    <w:p w:rsidR="005453E8" w:rsidRPr="008E2A07" w:rsidRDefault="005453E8" w:rsidP="005453E8">
      <w:pPr>
        <w:spacing w:after="0" w:line="276" w:lineRule="auto"/>
        <w:jc w:val="both"/>
        <w:rPr>
          <w:rFonts w:cstheme="minorHAnsi"/>
          <w:b/>
          <w:lang w:val="es-CO"/>
        </w:rPr>
      </w:pPr>
      <w:r w:rsidRPr="00937A1A">
        <w:rPr>
          <w:rFonts w:cstheme="minorHAnsi"/>
          <w:b/>
          <w:lang w:val="es-CO"/>
        </w:rPr>
        <w:drawing>
          <wp:inline distT="0" distB="0" distL="0" distR="0" wp14:anchorId="204E4D20" wp14:editId="76F199E4">
            <wp:extent cx="6400800" cy="1085850"/>
            <wp:effectExtent l="152400" t="152400" r="361950" b="3619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0222"/>
                    <a:stretch/>
                  </pic:blipFill>
                  <pic:spPr bwMode="auto">
                    <a:xfrm>
                      <a:off x="0" y="0"/>
                      <a:ext cx="6400800" cy="1085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5453E8" w:rsidRPr="008E2A07" w:rsidRDefault="005453E8" w:rsidP="005453E8">
      <w:pPr>
        <w:spacing w:after="0" w:line="276" w:lineRule="auto"/>
        <w:jc w:val="both"/>
        <w:rPr>
          <w:rFonts w:cstheme="minorHAnsi"/>
          <w:lang w:val="es-CO"/>
        </w:rPr>
      </w:pPr>
      <w:r w:rsidRPr="008E2A07">
        <w:rPr>
          <w:rFonts w:cstheme="minorHAnsi"/>
          <w:b/>
          <w:highlight w:val="yellow"/>
          <w:lang w:val="es-CO"/>
        </w:rPr>
        <w:t>IMPORTANTE:</w:t>
      </w:r>
      <w:r w:rsidRPr="008E2A07">
        <w:rPr>
          <w:rFonts w:cstheme="minorHAnsi"/>
          <w:lang w:val="es-CO"/>
        </w:rPr>
        <w:t xml:space="preserve"> </w:t>
      </w:r>
      <w:r>
        <w:rPr>
          <w:rFonts w:cstheme="minorHAnsi"/>
          <w:lang w:val="es-CO"/>
        </w:rPr>
        <w:t>E</w:t>
      </w:r>
      <w:r w:rsidRPr="008E2A07">
        <w:rPr>
          <w:rFonts w:cstheme="minorHAnsi"/>
          <w:lang w:val="es-CO"/>
        </w:rPr>
        <w:t xml:space="preserve">l contrato de seguro </w:t>
      </w:r>
      <w:r w:rsidRPr="008E2A07">
        <w:rPr>
          <w:rFonts w:cstheme="minorHAnsi"/>
          <w:b/>
          <w:i/>
          <w:u w:val="single"/>
          <w:lang w:val="es-CO"/>
        </w:rPr>
        <w:t>presta cobertura temporal</w:t>
      </w:r>
      <w:r w:rsidRPr="008E2A07">
        <w:rPr>
          <w:rFonts w:cstheme="minorHAnsi"/>
          <w:lang w:val="es-CO"/>
        </w:rPr>
        <w:t xml:space="preserve">, puesto que los hechos ocurrieron el 23 de noviembre del 2020 y la vigencia de la póliza comprendía desde el 16 de junio de 2019 al 16 de junio de 2021, en modalidad ocurrencia, es decir, los hechos tuvieron lugar dentro de su vigencia. Aunado a ello, </w:t>
      </w:r>
      <w:r w:rsidRPr="008E2A07">
        <w:rPr>
          <w:rFonts w:cstheme="minorHAnsi"/>
          <w:b/>
          <w:i/>
          <w:u w:val="single"/>
          <w:lang w:val="es-CO"/>
        </w:rPr>
        <w:t>presta cobertura material</w:t>
      </w:r>
      <w:r w:rsidRPr="008E2A07">
        <w:rPr>
          <w:rFonts w:cstheme="minorHAnsi"/>
          <w:lang w:val="es-CO"/>
        </w:rPr>
        <w:t xml:space="preserve">, en tanto que la mismo ampara la responsabilidad civil extracontractual en que, de acuerdo con la Ley, incurra el asegurado o conductor autorizado, pretensión que se endilga al asegurado.  </w:t>
      </w:r>
    </w:p>
    <w:p w:rsidR="005453E8" w:rsidRDefault="005453E8" w:rsidP="005453E8">
      <w:pPr>
        <w:spacing w:after="0" w:line="276" w:lineRule="auto"/>
        <w:jc w:val="both"/>
        <w:rPr>
          <w:rFonts w:cstheme="minorHAnsi"/>
          <w:b/>
          <w:lang w:val="es-CO"/>
        </w:rPr>
      </w:pPr>
    </w:p>
    <w:p w:rsidR="005453E8" w:rsidRPr="008E2A07" w:rsidRDefault="005453E8" w:rsidP="005453E8">
      <w:pPr>
        <w:spacing w:after="0" w:line="276" w:lineRule="auto"/>
        <w:jc w:val="both"/>
        <w:rPr>
          <w:rFonts w:cstheme="minorHAnsi"/>
          <w:b/>
          <w:lang w:val="es-CO"/>
        </w:rPr>
      </w:pPr>
    </w:p>
    <w:p w:rsidR="005453E8" w:rsidRPr="008E2A07" w:rsidRDefault="005453E8" w:rsidP="005453E8">
      <w:pPr>
        <w:pStyle w:val="Prrafodelista"/>
        <w:numPr>
          <w:ilvl w:val="0"/>
          <w:numId w:val="1"/>
        </w:numPr>
        <w:spacing w:after="0" w:line="276" w:lineRule="auto"/>
        <w:jc w:val="both"/>
        <w:rPr>
          <w:rFonts w:cstheme="minorHAnsi"/>
          <w:highlight w:val="yellow"/>
          <w:lang w:val="es-CO"/>
        </w:rPr>
      </w:pPr>
      <w:r w:rsidRPr="008E2A07">
        <w:rPr>
          <w:rFonts w:cstheme="minorHAnsi"/>
          <w:b/>
          <w:highlight w:val="yellow"/>
          <w:lang w:val="es-CO"/>
        </w:rPr>
        <w:t xml:space="preserve">LIQUIDACIÓN OBJETIVA:   </w:t>
      </w:r>
    </w:p>
    <w:p w:rsidR="005453E8" w:rsidRPr="008E2A07" w:rsidRDefault="005453E8" w:rsidP="005453E8">
      <w:pPr>
        <w:spacing w:after="0" w:line="276" w:lineRule="auto"/>
        <w:jc w:val="both"/>
        <w:rPr>
          <w:rFonts w:cstheme="minorHAnsi"/>
          <w:highlight w:val="yellow"/>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 xml:space="preserve">Como liquidación objetiva de perjuicios se tiene la suma de </w:t>
      </w:r>
      <w:r w:rsidRPr="008E2A07">
        <w:rPr>
          <w:rFonts w:cstheme="minorHAnsi"/>
          <w:b/>
          <w:lang w:val="es-CO"/>
        </w:rPr>
        <w:t>$ 544.000.000,</w:t>
      </w:r>
      <w:r w:rsidRPr="008E2A07">
        <w:rPr>
          <w:rFonts w:cstheme="minorHAnsi"/>
          <w:lang w:val="es-CO"/>
        </w:rPr>
        <w:t xml:space="preserve"> valor al que se llegó de la siguiente manera: </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b/>
          <w:lang w:val="es-CO"/>
        </w:rPr>
        <w:t>Lucro cesante:</w:t>
      </w:r>
      <w:r w:rsidRPr="008E2A07">
        <w:rPr>
          <w:rFonts w:cstheme="minorHAnsi"/>
          <w:lang w:val="es-CO"/>
        </w:rPr>
        <w:t xml:space="preserve"> no se reconoce la suma pretendida por los demandantes, considerando que no reposa prueba alguna que acredite que el señor Carlos Narváez y la señora Teresita Gordillo, a raíz de la muerte de la menor María José Narváez quedaron cesantes laboralmente, o que sus capacidades se vieron reducida por dichas circunstancias. En ese mismo orden de ideas, se precisa que la menor María José Narváez al momento de su fallecimiento, se encontraba estudiando, y que era ella la persona que dependía económicamente de sus padres, más no, en la forma que la activa pretende hacerlo ver, pues los señores Carlos Narváez y Teresita Gordillo, padres de la hoy fallecida, solicitan el reconocimiento de un monto económico por concepto de lucro cesante futuro, como si ellos dependieran económicamente de occisa. En ese orden de ideas, se precisa señalar que los hoy demandantes y padres de la menor María José Narváez, se encuentran vinculados al sistema general de seguridad social, entendiendo así, que sus vinculaciones laborales no se vieron afectadas por la muerte de la menor María José.</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b/>
          <w:lang w:val="es-CO"/>
        </w:rPr>
        <w:t>Daño moral</w:t>
      </w:r>
      <w:r w:rsidRPr="008E2A07">
        <w:rPr>
          <w:rFonts w:cstheme="minorHAnsi"/>
          <w:lang w:val="es-CO"/>
        </w:rPr>
        <w:t>: se reconoce la suma total de $ 294.000.000. Suma dividida así:</w:t>
      </w:r>
    </w:p>
    <w:p w:rsidR="005453E8" w:rsidRPr="008E2A07" w:rsidRDefault="005453E8" w:rsidP="005453E8">
      <w:pPr>
        <w:pStyle w:val="Prrafodelista"/>
        <w:numPr>
          <w:ilvl w:val="0"/>
          <w:numId w:val="6"/>
        </w:numPr>
        <w:spacing w:after="0" w:line="276" w:lineRule="auto"/>
        <w:jc w:val="both"/>
        <w:rPr>
          <w:rFonts w:cstheme="minorHAnsi"/>
          <w:lang w:val="es-CO"/>
        </w:rPr>
      </w:pPr>
      <w:r w:rsidRPr="008E2A07">
        <w:rPr>
          <w:rFonts w:cstheme="minorHAnsi"/>
          <w:lang w:val="es-CO"/>
        </w:rPr>
        <w:t xml:space="preserve">Para el señor Carlos Narváez como padre de la víctima, el valor de $72.000.000; </w:t>
      </w:r>
    </w:p>
    <w:p w:rsidR="005453E8" w:rsidRPr="008E2A07" w:rsidRDefault="005453E8" w:rsidP="005453E8">
      <w:pPr>
        <w:pStyle w:val="Prrafodelista"/>
        <w:numPr>
          <w:ilvl w:val="0"/>
          <w:numId w:val="6"/>
        </w:numPr>
        <w:spacing w:after="0" w:line="276" w:lineRule="auto"/>
        <w:jc w:val="both"/>
        <w:rPr>
          <w:rFonts w:cstheme="minorHAnsi"/>
          <w:lang w:val="es-CO"/>
        </w:rPr>
      </w:pPr>
      <w:r w:rsidRPr="008E2A07">
        <w:rPr>
          <w:rFonts w:cstheme="minorHAnsi"/>
          <w:lang w:val="es-CO"/>
        </w:rPr>
        <w:t>Para la señora Teresita Gordillo, madre de la víctima, el valor de $72.000.000</w:t>
      </w:r>
    </w:p>
    <w:p w:rsidR="005453E8" w:rsidRPr="008E2A07" w:rsidRDefault="005453E8" w:rsidP="005453E8">
      <w:pPr>
        <w:pStyle w:val="Prrafodelista"/>
        <w:numPr>
          <w:ilvl w:val="0"/>
          <w:numId w:val="6"/>
        </w:numPr>
        <w:spacing w:after="0" w:line="276" w:lineRule="auto"/>
        <w:jc w:val="both"/>
        <w:rPr>
          <w:rFonts w:cstheme="minorHAnsi"/>
          <w:lang w:val="es-CO"/>
        </w:rPr>
      </w:pPr>
      <w:r w:rsidRPr="008E2A07">
        <w:rPr>
          <w:rFonts w:cstheme="minorHAnsi"/>
          <w:lang w:val="es-CO"/>
        </w:rPr>
        <w:t xml:space="preserve">Para la señora Camila Narváez Gordillo, como hermana de la víctima el valor de $50.000.000 </w:t>
      </w:r>
    </w:p>
    <w:p w:rsidR="005453E8" w:rsidRPr="008E2A07" w:rsidRDefault="005453E8" w:rsidP="005453E8">
      <w:pPr>
        <w:pStyle w:val="Prrafodelista"/>
        <w:numPr>
          <w:ilvl w:val="0"/>
          <w:numId w:val="6"/>
        </w:numPr>
        <w:spacing w:after="0" w:line="276" w:lineRule="auto"/>
        <w:jc w:val="both"/>
        <w:rPr>
          <w:rFonts w:cstheme="minorHAnsi"/>
          <w:lang w:val="es-CO"/>
        </w:rPr>
      </w:pPr>
      <w:r w:rsidRPr="008E2A07">
        <w:rPr>
          <w:rFonts w:cstheme="minorHAnsi"/>
          <w:lang w:val="es-CO"/>
        </w:rPr>
        <w:t xml:space="preserve">Para Laura Narváez Gordillo, hermana de la víctima, el valor de $50.000.000 </w:t>
      </w:r>
    </w:p>
    <w:p w:rsidR="005453E8" w:rsidRPr="008E2A07" w:rsidRDefault="005453E8" w:rsidP="005453E8">
      <w:pPr>
        <w:pStyle w:val="Prrafodelista"/>
        <w:numPr>
          <w:ilvl w:val="0"/>
          <w:numId w:val="6"/>
        </w:numPr>
        <w:spacing w:after="0" w:line="276" w:lineRule="auto"/>
        <w:jc w:val="both"/>
        <w:rPr>
          <w:rFonts w:cstheme="minorHAnsi"/>
          <w:lang w:val="es-CO"/>
        </w:rPr>
      </w:pPr>
      <w:r w:rsidRPr="008E2A07">
        <w:rPr>
          <w:rFonts w:cstheme="minorHAnsi"/>
          <w:lang w:val="es-CO"/>
        </w:rPr>
        <w:t>Para Carlos Eduardo Narváez Gordillo, hermano de la víctima, el valor de $50.000.000</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 xml:space="preserve">Se llegó a tal liquidación teniendo en cuenta que la menor María José Narváez Gordillo, falleció como consecuencia del accidente de tránsito ocurrido el día 23 de noviembre del 2020, como ocupante del vehículo de placa AVI-806, según se el IPAT aportado con el escrito de la demanda. Bajo esa consideración se encuentra que el vehículo antes relacionado, se encuentra amparado por la póliza de responsabilidad civil extracontractual No. 281613. El anterior valor tomando como referencia la sentencia SC5686-2018 de la Corte Suprema de Justicia, en la que reconoció la suma de $ 72.000.000 a los padres del fallecido. </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b/>
          <w:lang w:val="es-CO"/>
        </w:rPr>
        <w:t>Daño a la vida de relación:</w:t>
      </w:r>
      <w:r w:rsidRPr="008E2A07">
        <w:rPr>
          <w:rFonts w:cstheme="minorHAnsi"/>
          <w:lang w:val="es-CO"/>
        </w:rPr>
        <w:t xml:space="preserve"> se reconoce la suma de $ 250.000.000; discriminada así:</w:t>
      </w:r>
    </w:p>
    <w:p w:rsidR="005453E8" w:rsidRPr="008E2A07" w:rsidRDefault="005453E8" w:rsidP="005453E8">
      <w:pPr>
        <w:spacing w:after="0" w:line="276" w:lineRule="auto"/>
        <w:jc w:val="both"/>
        <w:rPr>
          <w:rFonts w:cstheme="minorHAnsi"/>
          <w:lang w:val="es-CO"/>
        </w:rPr>
      </w:pPr>
    </w:p>
    <w:p w:rsidR="005453E8" w:rsidRPr="008E2A07" w:rsidRDefault="005453E8" w:rsidP="005453E8">
      <w:pPr>
        <w:pStyle w:val="Prrafodelista"/>
        <w:numPr>
          <w:ilvl w:val="0"/>
          <w:numId w:val="7"/>
        </w:numPr>
        <w:spacing w:after="0" w:line="276" w:lineRule="auto"/>
        <w:jc w:val="both"/>
        <w:rPr>
          <w:rFonts w:cstheme="minorHAnsi"/>
          <w:lang w:val="es-CO"/>
        </w:rPr>
      </w:pPr>
      <w:r w:rsidRPr="008E2A07">
        <w:rPr>
          <w:rFonts w:cstheme="minorHAnsi"/>
          <w:lang w:val="es-CO"/>
        </w:rPr>
        <w:t>A favor del señor Carlos Narváez, como padre de la víctima el valor de $50.000.000.</w:t>
      </w:r>
    </w:p>
    <w:p w:rsidR="005453E8" w:rsidRPr="008E2A07" w:rsidRDefault="005453E8" w:rsidP="005453E8">
      <w:pPr>
        <w:pStyle w:val="Prrafodelista"/>
        <w:numPr>
          <w:ilvl w:val="0"/>
          <w:numId w:val="7"/>
        </w:numPr>
        <w:spacing w:after="0" w:line="276" w:lineRule="auto"/>
        <w:jc w:val="both"/>
        <w:rPr>
          <w:rFonts w:cstheme="minorHAnsi"/>
          <w:lang w:val="es-CO"/>
        </w:rPr>
      </w:pPr>
      <w:r w:rsidRPr="008E2A07">
        <w:rPr>
          <w:rFonts w:cstheme="minorHAnsi"/>
          <w:lang w:val="es-CO"/>
        </w:rPr>
        <w:t>En favor de la señora Teresita Gordillo, como madre de la víctima, el valor de $50.000.000.</w:t>
      </w:r>
    </w:p>
    <w:p w:rsidR="005453E8" w:rsidRPr="008E2A07" w:rsidRDefault="005453E8" w:rsidP="005453E8">
      <w:pPr>
        <w:pStyle w:val="Prrafodelista"/>
        <w:numPr>
          <w:ilvl w:val="0"/>
          <w:numId w:val="7"/>
        </w:numPr>
        <w:spacing w:after="0" w:line="276" w:lineRule="auto"/>
        <w:jc w:val="both"/>
        <w:rPr>
          <w:rFonts w:cstheme="minorHAnsi"/>
          <w:lang w:val="es-CO"/>
        </w:rPr>
      </w:pPr>
      <w:r w:rsidRPr="008E2A07">
        <w:rPr>
          <w:rFonts w:cstheme="minorHAnsi"/>
          <w:lang w:val="es-CO"/>
        </w:rPr>
        <w:t>En favor de la señora Camila Narváez Gordillo, como hermana de la víctima el valor de $50.000.000.</w:t>
      </w:r>
    </w:p>
    <w:p w:rsidR="005453E8" w:rsidRPr="008E2A07" w:rsidRDefault="005453E8" w:rsidP="005453E8">
      <w:pPr>
        <w:pStyle w:val="Prrafodelista"/>
        <w:numPr>
          <w:ilvl w:val="0"/>
          <w:numId w:val="7"/>
        </w:numPr>
        <w:spacing w:after="0" w:line="276" w:lineRule="auto"/>
        <w:jc w:val="both"/>
        <w:rPr>
          <w:rFonts w:cstheme="minorHAnsi"/>
          <w:lang w:val="es-CO"/>
        </w:rPr>
      </w:pPr>
      <w:r w:rsidRPr="008E2A07">
        <w:rPr>
          <w:rFonts w:cstheme="minorHAnsi"/>
          <w:lang w:val="es-CO"/>
        </w:rPr>
        <w:lastRenderedPageBreak/>
        <w:t>En favor de Laura Narváez Gordillo, hermana de la víctima el valor de $50.000.000</w:t>
      </w:r>
    </w:p>
    <w:p w:rsidR="005453E8" w:rsidRPr="008E2A07" w:rsidRDefault="005453E8" w:rsidP="005453E8">
      <w:pPr>
        <w:pStyle w:val="Prrafodelista"/>
        <w:numPr>
          <w:ilvl w:val="0"/>
          <w:numId w:val="7"/>
        </w:numPr>
        <w:spacing w:after="0" w:line="276" w:lineRule="auto"/>
        <w:jc w:val="both"/>
        <w:rPr>
          <w:rFonts w:cstheme="minorHAnsi"/>
          <w:lang w:val="es-CO"/>
        </w:rPr>
      </w:pPr>
      <w:r w:rsidRPr="008E2A07">
        <w:rPr>
          <w:rFonts w:cstheme="minorHAnsi"/>
          <w:lang w:val="es-CO"/>
        </w:rPr>
        <w:t xml:space="preserve">En favor de Carlos Eduardo Narváez Gordillo, hermano de la víctima, el valor de $50.000.000. </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lang w:val="es-CO"/>
        </w:rPr>
        <w:t>Lo anterior considerando que la menor fallecida, María José Narváez tenía 16 años de edad, de conformidad al registro civil adjunto al expediente. Se considera que dichos valores también son reconocidos a la primera línea de consanguinidad, pues el daño a la vida en relación, no solo comprenden los daños fisiológicos, sino las alteraciones generales en la existencia. El anterior valor tomando como referencia la sentencia SC5686-2018 de la Corte Suprema de Justicia, en la que reconoció la suma de $ 50.000.000 como tasación de perjuicio respecto de padres, hijos, compañeros, nietos y hermanos por fallecimiento de sus parientes, y adicionalmente, frente al daño al proyecto de vida.</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b/>
          <w:lang w:val="es-CO"/>
        </w:rPr>
        <w:t>Deducible:</w:t>
      </w:r>
      <w:r w:rsidRPr="008E2A07">
        <w:rPr>
          <w:rFonts w:cstheme="minorHAnsi"/>
          <w:lang w:val="es-CO"/>
        </w:rPr>
        <w:t xml:space="preserve"> para el amparo de Muerte o Lesiones a Una Persona no se pactó deducible. </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lang w:val="es-CO"/>
        </w:rPr>
      </w:pPr>
      <w:r w:rsidRPr="008E2A07">
        <w:rPr>
          <w:rFonts w:cstheme="minorHAnsi"/>
          <w:b/>
          <w:lang w:val="es-CO"/>
        </w:rPr>
        <w:t>Coaseguro:</w:t>
      </w:r>
      <w:r w:rsidRPr="008E2A07">
        <w:rPr>
          <w:rFonts w:cstheme="minorHAnsi"/>
          <w:lang w:val="es-CO"/>
        </w:rPr>
        <w:t xml:space="preserve"> Considerando que la póliza No. 281613 presenta coaseguro con la compañía Seguros Alfa S.A., dentro del cual se pactó como porcentaje entre las partes el siguiente: 75% en cabeza de </w:t>
      </w:r>
      <w:proofErr w:type="spellStart"/>
      <w:r w:rsidRPr="008E2A07">
        <w:rPr>
          <w:rFonts w:cstheme="minorHAnsi"/>
          <w:lang w:val="es-CO"/>
        </w:rPr>
        <w:t>Liberty</w:t>
      </w:r>
      <w:proofErr w:type="spellEnd"/>
      <w:r w:rsidRPr="008E2A07">
        <w:rPr>
          <w:rFonts w:cstheme="minorHAnsi"/>
          <w:lang w:val="es-CO"/>
        </w:rPr>
        <w:t xml:space="preserve"> Seguros S.A., y el 25% en cabeza de Seguros Alfa S.A.</w:t>
      </w:r>
    </w:p>
    <w:p w:rsidR="005453E8" w:rsidRPr="008E2A07" w:rsidRDefault="005453E8" w:rsidP="005453E8">
      <w:pPr>
        <w:spacing w:after="0" w:line="276" w:lineRule="auto"/>
        <w:jc w:val="both"/>
        <w:rPr>
          <w:rFonts w:cstheme="minorHAnsi"/>
          <w:lang w:val="es-CO"/>
        </w:rPr>
      </w:pPr>
    </w:p>
    <w:p w:rsidR="005453E8" w:rsidRPr="008E2A07" w:rsidRDefault="005453E8" w:rsidP="005453E8">
      <w:pPr>
        <w:spacing w:after="0" w:line="276" w:lineRule="auto"/>
        <w:jc w:val="both"/>
        <w:rPr>
          <w:rFonts w:cstheme="minorHAnsi"/>
          <w:highlight w:val="yellow"/>
          <w:lang w:val="es-CO"/>
        </w:rPr>
      </w:pPr>
      <w:r w:rsidRPr="008E2A07">
        <w:rPr>
          <w:rFonts w:cstheme="minorHAnsi"/>
          <w:b/>
          <w:lang w:val="es-CO"/>
        </w:rPr>
        <w:t>Valor de la contingencia:</w:t>
      </w:r>
      <w:r w:rsidRPr="008E2A07">
        <w:rPr>
          <w:rFonts w:cstheme="minorHAnsi"/>
          <w:lang w:val="es-CO"/>
        </w:rPr>
        <w:t xml:space="preserve"> el valor de la liquidación objetiva ($544.000.000), para lo cual se debe poner de presente el porcentaje de (75%) establecido en el coaseguro correspondería a $408.000.000, mismo que es cubierto en su totalidad por el amparo que otorga la póliza No. 281613.</w:t>
      </w:r>
    </w:p>
    <w:p w:rsidR="005453E8" w:rsidRPr="008E2A07" w:rsidRDefault="005453E8" w:rsidP="005453E8">
      <w:pPr>
        <w:pStyle w:val="Prrafodelista"/>
        <w:spacing w:after="0" w:line="276" w:lineRule="auto"/>
        <w:ind w:left="360"/>
        <w:jc w:val="both"/>
        <w:rPr>
          <w:rFonts w:cstheme="minorHAnsi"/>
          <w:lang w:val="es-CO"/>
        </w:rPr>
      </w:pPr>
    </w:p>
    <w:p w:rsidR="005453E8" w:rsidRPr="008E2A07" w:rsidRDefault="005453E8" w:rsidP="005453E8">
      <w:pPr>
        <w:spacing w:after="0" w:line="276" w:lineRule="auto"/>
        <w:jc w:val="both"/>
        <w:rPr>
          <w:rFonts w:cstheme="minorHAnsi"/>
          <w:b/>
          <w:highlight w:val="yellow"/>
          <w:lang w:val="es-CO"/>
        </w:rPr>
      </w:pPr>
    </w:p>
    <w:p w:rsidR="005453E8" w:rsidRPr="008E2A07" w:rsidRDefault="005453E8" w:rsidP="005453E8">
      <w:pPr>
        <w:spacing w:after="0" w:line="276" w:lineRule="auto"/>
        <w:jc w:val="both"/>
        <w:rPr>
          <w:rFonts w:cstheme="minorHAnsi"/>
          <w:b/>
          <w:highlight w:val="yellow"/>
          <w:lang w:val="es-CO"/>
        </w:rPr>
      </w:pPr>
    </w:p>
    <w:p w:rsidR="005453E8" w:rsidRPr="008E2A07" w:rsidRDefault="005453E8" w:rsidP="005453E8">
      <w:pPr>
        <w:pStyle w:val="Prrafodelista"/>
        <w:numPr>
          <w:ilvl w:val="0"/>
          <w:numId w:val="1"/>
        </w:numPr>
        <w:spacing w:after="0" w:line="276" w:lineRule="auto"/>
        <w:jc w:val="both"/>
        <w:rPr>
          <w:rFonts w:cstheme="minorHAnsi"/>
          <w:b/>
          <w:highlight w:val="yellow"/>
          <w:lang w:val="es-CO"/>
        </w:rPr>
      </w:pPr>
      <w:r w:rsidRPr="008E2A07">
        <w:rPr>
          <w:rFonts w:cstheme="minorHAnsi"/>
          <w:b/>
          <w:highlight w:val="yellow"/>
          <w:lang w:val="es-CO"/>
        </w:rPr>
        <w:t xml:space="preserve">CALIFICACIÓN CONTINGENCIA: </w:t>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La contingencia se califica como</w:t>
      </w:r>
      <w:r w:rsidRPr="008E2A07">
        <w:rPr>
          <w:rFonts w:asciiTheme="minorHAnsi" w:hAnsiTheme="minorHAnsi" w:cstheme="minorHAnsi"/>
          <w:b/>
          <w:sz w:val="22"/>
          <w:szCs w:val="22"/>
          <w:lang w:val="es-CO"/>
        </w:rPr>
        <w:t xml:space="preserve"> PROBABLE</w:t>
      </w:r>
      <w:r w:rsidRPr="008E2A07">
        <w:rPr>
          <w:rFonts w:asciiTheme="minorHAnsi" w:hAnsiTheme="minorHAnsi" w:cstheme="minorHAnsi"/>
          <w:sz w:val="22"/>
          <w:szCs w:val="22"/>
          <w:lang w:val="es-CO"/>
        </w:rPr>
        <w:t xml:space="preserve"> toda vez que la Póliza Seguro de Automóviles No. 281613 presta cobertura material y temporal, además, la responsabilidad del asegurado está plenamente acreditada. </w:t>
      </w: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Lo primero que debe indicarse es que el contrato de seguro </w:t>
      </w:r>
      <w:r w:rsidRPr="008E2A07">
        <w:rPr>
          <w:rFonts w:asciiTheme="minorHAnsi" w:hAnsiTheme="minorHAnsi" w:cstheme="minorHAnsi"/>
          <w:b/>
          <w:i/>
          <w:sz w:val="22"/>
          <w:szCs w:val="22"/>
          <w:u w:val="single"/>
          <w:lang w:val="es-CO"/>
        </w:rPr>
        <w:t>presta cobertura temporal</w:t>
      </w:r>
      <w:r w:rsidRPr="008E2A07">
        <w:rPr>
          <w:rFonts w:asciiTheme="minorHAnsi" w:hAnsiTheme="minorHAnsi" w:cstheme="minorHAnsi"/>
          <w:sz w:val="22"/>
          <w:szCs w:val="22"/>
          <w:lang w:val="es-CO"/>
        </w:rPr>
        <w:t xml:space="preserve">, puesto que los hechos ocurrieron el 23 de noviembre del 2020 y la vigencia de la póliza comprendía desde el 16 de junio de 2019 al 16 de junio de 2021, en modalidad ocurrencia, es decir, los hechos tuvieron lugar dentro de su vigencia. Aunado a ello, </w:t>
      </w:r>
      <w:r w:rsidRPr="008E2A07">
        <w:rPr>
          <w:rFonts w:asciiTheme="minorHAnsi" w:hAnsiTheme="minorHAnsi" w:cstheme="minorHAnsi"/>
          <w:b/>
          <w:i/>
          <w:sz w:val="22"/>
          <w:szCs w:val="22"/>
          <w:u w:val="single"/>
          <w:lang w:val="es-CO"/>
        </w:rPr>
        <w:t>presta cobertura material</w:t>
      </w:r>
      <w:r w:rsidRPr="008E2A07">
        <w:rPr>
          <w:rFonts w:asciiTheme="minorHAnsi" w:hAnsiTheme="minorHAnsi" w:cstheme="minorHAnsi"/>
          <w:sz w:val="22"/>
          <w:szCs w:val="22"/>
          <w:lang w:val="es-CO"/>
        </w:rPr>
        <w:t xml:space="preserve">, en tanto que la mismo ampara la responsabilidad civil extracontractual en que, de acuerdo con la Ley, incurra el asegurado o conductor autorizado, pretensión que se endilga al asegurado.  </w:t>
      </w: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Lo anteriormente esgrimido debe ser analizado de manera conjunta con el estudio de la responsabilidad del asegurado, toda vez que la misma está plenamente acreditada, por las siguientes razones: </w:t>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El IPAT codifica únicamente al conductor asegurado con la hipótesis 123 “No respetar prelación de intersecciones o giros”; </w:t>
      </w: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lastRenderedPageBreak/>
        <w:t>Revisado el bosquejo topográfico del mismo IPAT se corrobora la hipótesis, pues la posición final del vehículo asegurado omite dar prelación al vehículo que lleva la vía, sobre la intersección entre la vía que conduce a Mojarra y el giro para retornar a la ciudad de Pasto, colisionando con el vehículo se tracción pesada de placa OXD-135</w:t>
      </w:r>
      <w:r>
        <w:rPr>
          <w:rFonts w:asciiTheme="minorHAnsi" w:hAnsiTheme="minorHAnsi" w:cstheme="minorHAnsi"/>
          <w:sz w:val="22"/>
          <w:szCs w:val="22"/>
          <w:lang w:val="es-CO"/>
        </w:rPr>
        <w:t>.</w:t>
      </w: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El proceso penal está activo, por concurso de dos personas lesionadas y una fallecida. Se resalta </w:t>
      </w:r>
      <w:proofErr w:type="gramStart"/>
      <w:r w:rsidRPr="008E2A07">
        <w:rPr>
          <w:rFonts w:asciiTheme="minorHAnsi" w:hAnsiTheme="minorHAnsi" w:cstheme="minorHAnsi"/>
          <w:sz w:val="22"/>
          <w:szCs w:val="22"/>
          <w:lang w:val="es-CO"/>
        </w:rPr>
        <w:t>que</w:t>
      </w:r>
      <w:proofErr w:type="gramEnd"/>
      <w:r w:rsidRPr="008E2A07">
        <w:rPr>
          <w:rFonts w:asciiTheme="minorHAnsi" w:hAnsiTheme="minorHAnsi" w:cstheme="minorHAnsi"/>
          <w:sz w:val="22"/>
          <w:szCs w:val="22"/>
          <w:lang w:val="es-CO"/>
        </w:rPr>
        <w:t xml:space="preserve"> dentro de este proceso, una de las partes lesionadas ya fue reparada por el valor de $30.000.000; </w:t>
      </w: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La Compañía Aseguradora ya tenía calificado el proceso como probable con ocasión a la reclamación directa</w:t>
      </w:r>
      <w:r>
        <w:rPr>
          <w:rFonts w:asciiTheme="minorHAnsi" w:hAnsiTheme="minorHAnsi" w:cstheme="minorHAnsi"/>
          <w:sz w:val="22"/>
          <w:szCs w:val="22"/>
          <w:lang w:val="es-CO"/>
        </w:rPr>
        <w:t xml:space="preserve"> presentada por los demandantes.</w:t>
      </w: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b/>
          <w:i/>
          <w:sz w:val="22"/>
          <w:szCs w:val="22"/>
          <w:u w:val="single"/>
          <w:lang w:val="es-CO"/>
        </w:rPr>
        <w:t>La Compañía Aseguradora ya hizo un ofrecimiento a los demandantes</w:t>
      </w:r>
      <w:r w:rsidRPr="008E2A07">
        <w:rPr>
          <w:rFonts w:asciiTheme="minorHAnsi" w:hAnsiTheme="minorHAnsi" w:cstheme="minorHAnsi"/>
          <w:sz w:val="22"/>
          <w:szCs w:val="22"/>
          <w:lang w:val="es-CO"/>
        </w:rPr>
        <w:t xml:space="preserve">; </w:t>
      </w:r>
    </w:p>
    <w:p w:rsidR="005453E8"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Si bien en la contestación se alegó que 1) Que los padres de la menor María José Narváez, tenían la obligación de cuidado y protección de la misma, y que bajo esa consideración fueron ellos, de manera voluntaria quienes, a sabiendas que la conducción es una actividad peligrosa, de manera voluntaria autorizaron a la hoy fallecida, a que diera una vuelta en el vehículo de placa AVI-806, mismo que fue conducido por la menor Paula Melo Erazo, pues lo cierto es que la causa del accidente está encaminada a la falta de prelación en intersecciones y giros, considerando que la menor María José Narváez era ocupante del vehículo, más no la conductora del mismo, por lo tanto no es prudente hacer una reducción de la indemnización a la que tienen derecho los demandantes; </w:t>
      </w:r>
    </w:p>
    <w:p w:rsidR="005453E8" w:rsidRPr="008E2A07" w:rsidRDefault="005453E8" w:rsidP="005453E8">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 xml:space="preserve">Aunado a lo anterior, en el interrogatorio de parte se puede tratar de endilgar la obligación al deber de cuidado y protección de los hijos menores de edad, considerando que la conducción de vehículos ha sido catalogada como una actividad peligrosa de acuerdo al artículo 2356 del Código Civil, mas no por ello, se puede eximir de la responsabilidad pretendida que recae sobre los hoy demandados, porque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E2A07">
        <w:rPr>
          <w:rFonts w:asciiTheme="minorHAnsi" w:hAnsiTheme="minorHAnsi" w:cstheme="minorHAnsi"/>
          <w:sz w:val="22"/>
          <w:szCs w:val="22"/>
          <w:lang w:val="es-CO"/>
        </w:rPr>
        <w:t>Todo lo anterior sin perjuicio del carácter contingente del proceso.</w:t>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910025">
        <w:rPr>
          <w:rFonts w:cstheme="minorHAnsi"/>
          <w:lang w:val="es-CO"/>
        </w:rPr>
        <w:drawing>
          <wp:inline distT="0" distB="0" distL="0" distR="0" wp14:anchorId="2DA9B4CB" wp14:editId="6289980D">
            <wp:extent cx="6400800" cy="1966726"/>
            <wp:effectExtent l="152400" t="152400" r="361950" b="3575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6400800" cy="1966726"/>
                    </a:xfrm>
                    <a:prstGeom prst="rect">
                      <a:avLst/>
                    </a:prstGeom>
                    <a:ln>
                      <a:noFill/>
                    </a:ln>
                    <a:effectLst>
                      <a:outerShdw blurRad="292100" dist="139700" dir="2700000" algn="tl" rotWithShape="0">
                        <a:srgbClr val="333333">
                          <a:alpha val="65000"/>
                        </a:srgbClr>
                      </a:outerShdw>
                    </a:effectLst>
                  </pic:spPr>
                </pic:pic>
              </a:graphicData>
            </a:graphic>
          </wp:inline>
        </w:drawing>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937A1A">
        <w:rPr>
          <w:rFonts w:asciiTheme="minorHAnsi" w:hAnsiTheme="minorHAnsi" w:cstheme="minorHAnsi"/>
          <w:sz w:val="22"/>
          <w:szCs w:val="22"/>
          <w:lang w:val="es-CO"/>
        </w:rPr>
        <w:drawing>
          <wp:inline distT="0" distB="0" distL="0" distR="0" wp14:anchorId="539B0F6D" wp14:editId="7EABA73B">
            <wp:extent cx="5734050" cy="3464322"/>
            <wp:effectExtent l="152400" t="152400" r="361950" b="3651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9117" cy="3467383"/>
                    </a:xfrm>
                    <a:prstGeom prst="rect">
                      <a:avLst/>
                    </a:prstGeom>
                    <a:ln>
                      <a:noFill/>
                    </a:ln>
                    <a:effectLst>
                      <a:outerShdw blurRad="292100" dist="139700" dir="2700000" algn="tl" rotWithShape="0">
                        <a:srgbClr val="333333">
                          <a:alpha val="65000"/>
                        </a:srgbClr>
                      </a:outerShdw>
                    </a:effectLst>
                  </pic:spPr>
                </pic:pic>
              </a:graphicData>
            </a:graphic>
          </wp:inline>
        </w:drawing>
      </w: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Pr="008E2A07"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07D12">
        <w:rPr>
          <w:rFonts w:asciiTheme="minorHAnsi" w:hAnsiTheme="minorHAnsi" w:cstheme="minorHAnsi"/>
          <w:sz w:val="22"/>
          <w:szCs w:val="22"/>
          <w:lang w:val="es-CO"/>
        </w:rPr>
        <w:lastRenderedPageBreak/>
        <w:drawing>
          <wp:inline distT="0" distB="0" distL="0" distR="0" wp14:anchorId="1A3B6C16" wp14:editId="74AE3FF6">
            <wp:extent cx="6163535" cy="6001588"/>
            <wp:effectExtent l="152400" t="152400" r="370840" b="3613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3535" cy="6001588"/>
                    </a:xfrm>
                    <a:prstGeom prst="rect">
                      <a:avLst/>
                    </a:prstGeom>
                    <a:ln>
                      <a:noFill/>
                    </a:ln>
                    <a:effectLst>
                      <a:outerShdw blurRad="292100" dist="139700" dir="2700000" algn="tl" rotWithShape="0">
                        <a:srgbClr val="333333">
                          <a:alpha val="65000"/>
                        </a:srgbClr>
                      </a:outerShdw>
                    </a:effectLst>
                  </pic:spPr>
                </pic:pic>
              </a:graphicData>
            </a:graphic>
          </wp:inline>
        </w:drawing>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07D12">
        <w:rPr>
          <w:rFonts w:asciiTheme="minorHAnsi" w:hAnsiTheme="minorHAnsi" w:cstheme="minorHAnsi"/>
          <w:sz w:val="22"/>
          <w:szCs w:val="22"/>
          <w:lang w:val="es-CO"/>
        </w:rPr>
        <w:lastRenderedPageBreak/>
        <w:drawing>
          <wp:inline distT="0" distB="0" distL="0" distR="0" wp14:anchorId="5BD8B481" wp14:editId="2391A7AF">
            <wp:extent cx="6182588" cy="3810532"/>
            <wp:effectExtent l="152400" t="152400" r="370840" b="3619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2588" cy="3810532"/>
                    </a:xfrm>
                    <a:prstGeom prst="rect">
                      <a:avLst/>
                    </a:prstGeom>
                    <a:ln>
                      <a:noFill/>
                    </a:ln>
                    <a:effectLst>
                      <a:outerShdw blurRad="292100" dist="139700" dir="2700000" algn="tl" rotWithShape="0">
                        <a:srgbClr val="333333">
                          <a:alpha val="65000"/>
                        </a:srgbClr>
                      </a:outerShdw>
                    </a:effectLst>
                  </pic:spPr>
                </pic:pic>
              </a:graphicData>
            </a:graphic>
          </wp:inline>
        </w:drawing>
      </w: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53E8" w:rsidRDefault="005453E8" w:rsidP="005453E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B669C" w:rsidRDefault="006B669C">
      <w:bookmarkStart w:id="0" w:name="_GoBack"/>
      <w:bookmarkEnd w:id="0"/>
    </w:p>
    <w:sectPr w:rsidR="006B669C" w:rsidSect="00614509">
      <w:headerReference w:type="default" r:id="rId13"/>
      <w:footerReference w:type="default" r:id="rId1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5453E8" w:rsidP="00614509">
    <w:pPr>
      <w:pStyle w:val="Encabezado"/>
    </w:pPr>
  </w:p>
  <w:p w:rsidR="00614509" w:rsidRPr="00B60C06" w:rsidRDefault="005453E8"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5453E8" w:rsidP="00614509">
    <w:pPr>
      <w:spacing w:after="0" w:line="0" w:lineRule="atLeast"/>
      <w:ind w:left="400"/>
      <w:rPr>
        <w:rFonts w:ascii="Arial" w:eastAsia="Arial" w:hAnsi="Arial" w:cs="Arial"/>
        <w:b/>
        <w:color w:val="12213B"/>
        <w:sz w:val="20"/>
        <w:szCs w:val="20"/>
        <w:lang w:eastAsia="es-CO"/>
      </w:rPr>
    </w:pPr>
  </w:p>
  <w:p w:rsidR="00614509" w:rsidRPr="00B60C06" w:rsidRDefault="005453E8"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B98936D" wp14:editId="075C99AA">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5453E8"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5453E8"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5453E8" w:rsidP="0061450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5453E8">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12027E18" wp14:editId="04AC2874">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F6C"/>
    <w:multiLevelType w:val="hybridMultilevel"/>
    <w:tmpl w:val="A1F4B816"/>
    <w:lvl w:ilvl="0" w:tplc="FE2684A4">
      <w:start w:val="1"/>
      <w:numFmt w:val="decimal"/>
      <w:lvlText w:val="%1."/>
      <w:lvlJc w:val="left"/>
      <w:pPr>
        <w:ind w:left="70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112FFF"/>
    <w:multiLevelType w:val="hybridMultilevel"/>
    <w:tmpl w:val="9FF0397A"/>
    <w:lvl w:ilvl="0" w:tplc="31F868F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CA30069"/>
    <w:multiLevelType w:val="hybridMultilevel"/>
    <w:tmpl w:val="09BA6CD4"/>
    <w:lvl w:ilvl="0" w:tplc="234A268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9946A5"/>
    <w:multiLevelType w:val="hybridMultilevel"/>
    <w:tmpl w:val="E5325096"/>
    <w:lvl w:ilvl="0" w:tplc="234A2684">
      <w:start w:val="7"/>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31E71753"/>
    <w:multiLevelType w:val="hybridMultilevel"/>
    <w:tmpl w:val="F54E7642"/>
    <w:lvl w:ilvl="0" w:tplc="FE2684A4">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5312B"/>
    <w:multiLevelType w:val="hybridMultilevel"/>
    <w:tmpl w:val="024C75BA"/>
    <w:lvl w:ilvl="0" w:tplc="69B8171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258674C"/>
    <w:multiLevelType w:val="hybridMultilevel"/>
    <w:tmpl w:val="42784ABC"/>
    <w:lvl w:ilvl="0" w:tplc="9740DCE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E8"/>
    <w:rsid w:val="003F39D0"/>
    <w:rsid w:val="005453E8"/>
    <w:rsid w:val="006B669C"/>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B2CD"/>
  <w15:chartTrackingRefBased/>
  <w15:docId w15:val="{14F36088-C2F2-42A7-8EDA-07C454DB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E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3E8"/>
    <w:pPr>
      <w:ind w:left="720"/>
      <w:contextualSpacing/>
    </w:pPr>
  </w:style>
  <w:style w:type="paragraph" w:styleId="Encabezado">
    <w:name w:val="header"/>
    <w:basedOn w:val="Normal"/>
    <w:link w:val="EncabezadoCar"/>
    <w:unhideWhenUsed/>
    <w:rsid w:val="005453E8"/>
    <w:pPr>
      <w:tabs>
        <w:tab w:val="center" w:pos="4419"/>
        <w:tab w:val="right" w:pos="8838"/>
      </w:tabs>
      <w:spacing w:after="0" w:line="240" w:lineRule="auto"/>
    </w:pPr>
  </w:style>
  <w:style w:type="character" w:customStyle="1" w:styleId="EncabezadoCar">
    <w:name w:val="Encabezado Car"/>
    <w:basedOn w:val="Fuentedeprrafopredeter"/>
    <w:link w:val="Encabezado"/>
    <w:rsid w:val="005453E8"/>
    <w:rPr>
      <w:lang w:val="en-US"/>
    </w:rPr>
  </w:style>
  <w:style w:type="paragraph" w:styleId="Piedepgina">
    <w:name w:val="footer"/>
    <w:basedOn w:val="Normal"/>
    <w:link w:val="PiedepginaCar"/>
    <w:uiPriority w:val="99"/>
    <w:unhideWhenUsed/>
    <w:rsid w:val="005453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3E8"/>
    <w:rPr>
      <w:lang w:val="en-US"/>
    </w:rPr>
  </w:style>
  <w:style w:type="table" w:styleId="Tablaconcuadrcula">
    <w:name w:val="Table Grid"/>
    <w:basedOn w:val="Tablanormal"/>
    <w:uiPriority w:val="39"/>
    <w:rsid w:val="005453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53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2024-05-22T17:54:00Z</dcterms:created>
  <dcterms:modified xsi:type="dcterms:W3CDTF">2024-05-22T17:55:00Z</dcterms:modified>
</cp:coreProperties>
</file>