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866C32" w:rsidRDefault="003314A2" w:rsidP="009744C6">
      <w:pPr>
        <w:spacing w:line="276" w:lineRule="auto"/>
        <w:rPr>
          <w:rFonts w:ascii="Century Gothic" w:hAnsi="Century Gothic"/>
          <w:sz w:val="22"/>
          <w:szCs w:val="22"/>
        </w:rPr>
      </w:pPr>
      <w:r w:rsidRPr="00866C32">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866C32" w:rsidRDefault="00F67EF8" w:rsidP="009744C6">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866C32" w14:paraId="077F9E4D" w14:textId="77777777" w:rsidTr="003827E1">
        <w:trPr>
          <w:trHeight w:val="454"/>
        </w:trPr>
        <w:tc>
          <w:tcPr>
            <w:tcW w:w="4537" w:type="dxa"/>
            <w:vAlign w:val="center"/>
          </w:tcPr>
          <w:p w14:paraId="239BC5A7" w14:textId="7E10D35F" w:rsidR="00F67EF8" w:rsidRPr="00866C32" w:rsidRDefault="00F67EF8" w:rsidP="009744C6">
            <w:pPr>
              <w:spacing w:line="276" w:lineRule="auto"/>
              <w:rPr>
                <w:rFonts w:ascii="Century Gothic" w:hAnsi="Century Gothic"/>
                <w:b/>
                <w:bCs/>
                <w:sz w:val="22"/>
                <w:szCs w:val="22"/>
              </w:rPr>
            </w:pPr>
            <w:r w:rsidRPr="00866C32">
              <w:rPr>
                <w:rFonts w:ascii="Century Gothic" w:hAnsi="Century Gothic"/>
                <w:b/>
                <w:bCs/>
                <w:sz w:val="22"/>
                <w:szCs w:val="22"/>
              </w:rPr>
              <w:t>Fecha de presentación</w:t>
            </w:r>
          </w:p>
        </w:tc>
        <w:tc>
          <w:tcPr>
            <w:tcW w:w="5670" w:type="dxa"/>
          </w:tcPr>
          <w:p w14:paraId="29FA6EF6" w14:textId="2C380C85" w:rsidR="00F67EF8" w:rsidRPr="00866C32" w:rsidRDefault="00517CE1" w:rsidP="009744C6">
            <w:pPr>
              <w:spacing w:line="276" w:lineRule="auto"/>
              <w:jc w:val="both"/>
              <w:rPr>
                <w:rFonts w:ascii="Century Gothic" w:hAnsi="Century Gothic"/>
                <w:sz w:val="22"/>
                <w:szCs w:val="22"/>
              </w:rPr>
            </w:pPr>
            <w:r w:rsidRPr="00866C32">
              <w:rPr>
                <w:rFonts w:ascii="Century Gothic" w:hAnsi="Century Gothic"/>
                <w:sz w:val="22"/>
                <w:szCs w:val="22"/>
              </w:rPr>
              <w:t>2</w:t>
            </w:r>
            <w:r w:rsidR="001F19F9">
              <w:rPr>
                <w:rFonts w:ascii="Century Gothic" w:hAnsi="Century Gothic"/>
                <w:sz w:val="22"/>
                <w:szCs w:val="22"/>
              </w:rPr>
              <w:t>9</w:t>
            </w:r>
            <w:r w:rsidR="007617DF" w:rsidRPr="00866C32">
              <w:rPr>
                <w:rFonts w:ascii="Century Gothic" w:hAnsi="Century Gothic"/>
                <w:sz w:val="22"/>
                <w:szCs w:val="22"/>
              </w:rPr>
              <w:t>/0</w:t>
            </w:r>
            <w:r w:rsidR="001F19F9">
              <w:rPr>
                <w:rFonts w:ascii="Century Gothic" w:hAnsi="Century Gothic"/>
                <w:sz w:val="22"/>
                <w:szCs w:val="22"/>
              </w:rPr>
              <w:t>8</w:t>
            </w:r>
            <w:r w:rsidR="007617DF" w:rsidRPr="00866C32">
              <w:rPr>
                <w:rFonts w:ascii="Century Gothic" w:hAnsi="Century Gothic"/>
                <w:sz w:val="22"/>
                <w:szCs w:val="22"/>
              </w:rPr>
              <w:t>/2025</w:t>
            </w:r>
          </w:p>
        </w:tc>
      </w:tr>
      <w:tr w:rsidR="00F67EF8" w:rsidRPr="00866C32" w14:paraId="6959AD48" w14:textId="77777777" w:rsidTr="003827E1">
        <w:trPr>
          <w:trHeight w:val="454"/>
        </w:trPr>
        <w:tc>
          <w:tcPr>
            <w:tcW w:w="4537" w:type="dxa"/>
            <w:vAlign w:val="center"/>
          </w:tcPr>
          <w:p w14:paraId="45E895A9" w14:textId="1E20E681" w:rsidR="00F67EF8" w:rsidRPr="00866C32" w:rsidRDefault="00F67EF8" w:rsidP="009744C6">
            <w:pPr>
              <w:spacing w:line="276" w:lineRule="auto"/>
              <w:rPr>
                <w:rFonts w:ascii="Century Gothic" w:hAnsi="Century Gothic"/>
                <w:b/>
                <w:bCs/>
                <w:sz w:val="22"/>
                <w:szCs w:val="22"/>
              </w:rPr>
            </w:pPr>
            <w:r w:rsidRPr="00866C32">
              <w:rPr>
                <w:rFonts w:ascii="Century Gothic" w:hAnsi="Century Gothic"/>
                <w:b/>
                <w:bCs/>
                <w:sz w:val="22"/>
                <w:szCs w:val="22"/>
              </w:rPr>
              <w:t>Tipo de abogado</w:t>
            </w:r>
          </w:p>
        </w:tc>
        <w:tc>
          <w:tcPr>
            <w:tcW w:w="5670" w:type="dxa"/>
          </w:tcPr>
          <w:p w14:paraId="06C25C40" w14:textId="5CFD278A" w:rsidR="00F67EF8" w:rsidRPr="00866C32" w:rsidRDefault="00B775EB" w:rsidP="009744C6">
            <w:pPr>
              <w:spacing w:line="276" w:lineRule="auto"/>
              <w:jc w:val="both"/>
              <w:rPr>
                <w:rFonts w:ascii="Century Gothic" w:hAnsi="Century Gothic"/>
                <w:sz w:val="22"/>
                <w:szCs w:val="22"/>
              </w:rPr>
            </w:pPr>
            <w:r w:rsidRPr="00866C32">
              <w:rPr>
                <w:rFonts w:ascii="Century Gothic" w:hAnsi="Century Gothic"/>
                <w:sz w:val="22"/>
                <w:szCs w:val="22"/>
              </w:rPr>
              <w:t>Externo</w:t>
            </w:r>
          </w:p>
        </w:tc>
      </w:tr>
      <w:tr w:rsidR="00F67EF8" w:rsidRPr="00866C32" w14:paraId="2F6DA3B0" w14:textId="77777777" w:rsidTr="003827E1">
        <w:trPr>
          <w:trHeight w:val="454"/>
        </w:trPr>
        <w:tc>
          <w:tcPr>
            <w:tcW w:w="4537" w:type="dxa"/>
            <w:vAlign w:val="center"/>
          </w:tcPr>
          <w:p w14:paraId="30599F8A" w14:textId="674A8832" w:rsidR="00F67EF8" w:rsidRPr="00866C32" w:rsidRDefault="00F67EF8" w:rsidP="009744C6">
            <w:pPr>
              <w:spacing w:line="276" w:lineRule="auto"/>
              <w:rPr>
                <w:rFonts w:ascii="Century Gothic" w:hAnsi="Century Gothic"/>
                <w:sz w:val="22"/>
                <w:szCs w:val="22"/>
              </w:rPr>
            </w:pPr>
            <w:r w:rsidRPr="00866C32">
              <w:rPr>
                <w:rFonts w:ascii="Century Gothic" w:hAnsi="Century Gothic"/>
                <w:b/>
                <w:bCs/>
                <w:sz w:val="22"/>
                <w:szCs w:val="22"/>
              </w:rPr>
              <w:t>Aseguradora vinculada al proceso</w:t>
            </w:r>
          </w:p>
        </w:tc>
        <w:tc>
          <w:tcPr>
            <w:tcW w:w="5670" w:type="dxa"/>
          </w:tcPr>
          <w:p w14:paraId="794A38B0" w14:textId="6F0A4EA0" w:rsidR="00F67EF8" w:rsidRPr="00866C32" w:rsidRDefault="00B775EB" w:rsidP="009744C6">
            <w:pPr>
              <w:spacing w:line="276" w:lineRule="auto"/>
              <w:jc w:val="both"/>
              <w:rPr>
                <w:rFonts w:ascii="Century Gothic" w:hAnsi="Century Gothic"/>
                <w:sz w:val="22"/>
                <w:szCs w:val="22"/>
              </w:rPr>
            </w:pPr>
            <w:r w:rsidRPr="00866C32">
              <w:rPr>
                <w:rFonts w:ascii="Century Gothic" w:hAnsi="Century Gothic"/>
                <w:sz w:val="22"/>
                <w:szCs w:val="22"/>
              </w:rPr>
              <w:t xml:space="preserve">EQUIDAD SEGUROS </w:t>
            </w:r>
            <w:r w:rsidR="007617DF" w:rsidRPr="00866C32">
              <w:rPr>
                <w:rFonts w:ascii="Century Gothic" w:hAnsi="Century Gothic"/>
                <w:sz w:val="22"/>
                <w:szCs w:val="22"/>
              </w:rPr>
              <w:t>GENERALES ORGANISMO COOPERATIVO</w:t>
            </w:r>
          </w:p>
        </w:tc>
      </w:tr>
      <w:tr w:rsidR="00F67EF8" w:rsidRPr="00866C32" w14:paraId="490540BB" w14:textId="77777777" w:rsidTr="003827E1">
        <w:trPr>
          <w:trHeight w:val="454"/>
        </w:trPr>
        <w:tc>
          <w:tcPr>
            <w:tcW w:w="4537" w:type="dxa"/>
            <w:vAlign w:val="center"/>
          </w:tcPr>
          <w:p w14:paraId="1C2D5235" w14:textId="2B4007F3" w:rsidR="00F67EF8" w:rsidRPr="00866C32" w:rsidRDefault="00992368" w:rsidP="009744C6">
            <w:pPr>
              <w:spacing w:line="276" w:lineRule="auto"/>
              <w:rPr>
                <w:rFonts w:ascii="Century Gothic" w:hAnsi="Century Gothic"/>
                <w:b/>
                <w:bCs/>
                <w:sz w:val="22"/>
                <w:szCs w:val="22"/>
              </w:rPr>
            </w:pPr>
            <w:r w:rsidRPr="00866C32">
              <w:rPr>
                <w:rFonts w:ascii="Century Gothic" w:hAnsi="Century Gothic"/>
                <w:b/>
                <w:bCs/>
                <w:sz w:val="22"/>
                <w:szCs w:val="22"/>
              </w:rPr>
              <w:t>SGC</w:t>
            </w:r>
          </w:p>
        </w:tc>
        <w:tc>
          <w:tcPr>
            <w:tcW w:w="5670" w:type="dxa"/>
          </w:tcPr>
          <w:p w14:paraId="11B788BC" w14:textId="2255302C" w:rsidR="00F67EF8" w:rsidRPr="00866C32" w:rsidRDefault="00F67EF8" w:rsidP="009744C6">
            <w:pPr>
              <w:spacing w:line="276" w:lineRule="auto"/>
              <w:jc w:val="both"/>
              <w:rPr>
                <w:rFonts w:ascii="Century Gothic" w:hAnsi="Century Gothic"/>
                <w:sz w:val="22"/>
                <w:szCs w:val="22"/>
              </w:rPr>
            </w:pPr>
          </w:p>
        </w:tc>
      </w:tr>
      <w:tr w:rsidR="00F67EF8" w:rsidRPr="00866C32" w14:paraId="1D86DF69" w14:textId="77777777" w:rsidTr="003827E1">
        <w:trPr>
          <w:trHeight w:val="454"/>
        </w:trPr>
        <w:tc>
          <w:tcPr>
            <w:tcW w:w="4537" w:type="dxa"/>
            <w:vAlign w:val="center"/>
          </w:tcPr>
          <w:p w14:paraId="699114C2" w14:textId="0BB9EC2F" w:rsidR="00F67EF8" w:rsidRPr="00866C32" w:rsidRDefault="00992368" w:rsidP="009744C6">
            <w:pPr>
              <w:spacing w:line="276" w:lineRule="auto"/>
              <w:rPr>
                <w:rFonts w:ascii="Century Gothic" w:hAnsi="Century Gothic"/>
                <w:b/>
                <w:bCs/>
                <w:sz w:val="22"/>
                <w:szCs w:val="22"/>
              </w:rPr>
            </w:pPr>
            <w:r w:rsidRPr="00866C32">
              <w:rPr>
                <w:rFonts w:ascii="Century Gothic" w:hAnsi="Century Gothic"/>
                <w:b/>
                <w:bCs/>
                <w:sz w:val="22"/>
                <w:szCs w:val="22"/>
              </w:rPr>
              <w:t>Despacho/Juzgado/ Tribunal</w:t>
            </w:r>
          </w:p>
        </w:tc>
        <w:tc>
          <w:tcPr>
            <w:tcW w:w="5670" w:type="dxa"/>
          </w:tcPr>
          <w:p w14:paraId="7DD6339C" w14:textId="5537EBA7" w:rsidR="00F67EF8" w:rsidRPr="00866C32" w:rsidRDefault="00686467" w:rsidP="009744C6">
            <w:pPr>
              <w:spacing w:line="276" w:lineRule="auto"/>
              <w:jc w:val="both"/>
              <w:rPr>
                <w:rFonts w:ascii="Century Gothic" w:hAnsi="Century Gothic"/>
                <w:sz w:val="22"/>
                <w:szCs w:val="22"/>
              </w:rPr>
            </w:pPr>
            <w:r w:rsidRPr="00686467">
              <w:rPr>
                <w:rFonts w:ascii="Century Gothic" w:eastAsia="Arial" w:hAnsi="Century Gothic" w:cs="Arial"/>
                <w:color w:val="000000"/>
                <w:sz w:val="22"/>
                <w:szCs w:val="22"/>
              </w:rPr>
              <w:t>JUZGADO SESENTA Y CINCO (65) ADMINISTRATIVO ORAL DEL CIRCUITO DE BOGOTÁ</w:t>
            </w:r>
          </w:p>
        </w:tc>
      </w:tr>
      <w:tr w:rsidR="00F67EF8" w:rsidRPr="00866C32" w14:paraId="54742FD8" w14:textId="77777777" w:rsidTr="003827E1">
        <w:trPr>
          <w:trHeight w:val="454"/>
        </w:trPr>
        <w:tc>
          <w:tcPr>
            <w:tcW w:w="4537" w:type="dxa"/>
            <w:vAlign w:val="center"/>
          </w:tcPr>
          <w:p w14:paraId="5A357CCF" w14:textId="3C7FFC83" w:rsidR="00F67EF8" w:rsidRPr="00866C32" w:rsidRDefault="00992368" w:rsidP="009744C6">
            <w:pPr>
              <w:spacing w:line="276" w:lineRule="auto"/>
              <w:rPr>
                <w:rFonts w:ascii="Century Gothic" w:hAnsi="Century Gothic"/>
                <w:b/>
                <w:bCs/>
                <w:sz w:val="22"/>
                <w:szCs w:val="22"/>
              </w:rPr>
            </w:pPr>
            <w:r w:rsidRPr="00866C32">
              <w:rPr>
                <w:rFonts w:ascii="Century Gothic" w:hAnsi="Century Gothic"/>
                <w:b/>
                <w:bCs/>
                <w:sz w:val="22"/>
                <w:szCs w:val="22"/>
              </w:rPr>
              <w:t xml:space="preserve">Ciudad </w:t>
            </w:r>
          </w:p>
        </w:tc>
        <w:tc>
          <w:tcPr>
            <w:tcW w:w="5670" w:type="dxa"/>
          </w:tcPr>
          <w:p w14:paraId="5101FDD8" w14:textId="214F743D" w:rsidR="00F67EF8" w:rsidRPr="00866C32" w:rsidRDefault="00517CE1" w:rsidP="009744C6">
            <w:pPr>
              <w:spacing w:line="276" w:lineRule="auto"/>
              <w:jc w:val="both"/>
              <w:rPr>
                <w:rFonts w:ascii="Century Gothic" w:hAnsi="Century Gothic"/>
                <w:sz w:val="22"/>
                <w:szCs w:val="22"/>
              </w:rPr>
            </w:pPr>
            <w:r w:rsidRPr="00866C32">
              <w:rPr>
                <w:rFonts w:ascii="Century Gothic" w:hAnsi="Century Gothic"/>
                <w:sz w:val="22"/>
                <w:szCs w:val="22"/>
              </w:rPr>
              <w:t xml:space="preserve">BOGOTÁ D.C. </w:t>
            </w:r>
          </w:p>
        </w:tc>
      </w:tr>
      <w:tr w:rsidR="00992368" w:rsidRPr="00866C32" w14:paraId="3983A9CE" w14:textId="77777777" w:rsidTr="003827E1">
        <w:trPr>
          <w:trHeight w:val="454"/>
        </w:trPr>
        <w:tc>
          <w:tcPr>
            <w:tcW w:w="4537" w:type="dxa"/>
            <w:vAlign w:val="center"/>
          </w:tcPr>
          <w:p w14:paraId="7EC7EF81" w14:textId="3CF9A0A9" w:rsidR="00992368" w:rsidRPr="00866C32" w:rsidRDefault="008E249B" w:rsidP="009744C6">
            <w:pPr>
              <w:spacing w:line="276" w:lineRule="auto"/>
              <w:rPr>
                <w:rFonts w:ascii="Century Gothic" w:hAnsi="Century Gothic"/>
                <w:b/>
                <w:bCs/>
                <w:sz w:val="22"/>
                <w:szCs w:val="22"/>
              </w:rPr>
            </w:pPr>
            <w:r w:rsidRPr="00866C32">
              <w:rPr>
                <w:rFonts w:ascii="Century Gothic" w:hAnsi="Century Gothic"/>
                <w:b/>
                <w:bCs/>
                <w:sz w:val="22"/>
                <w:szCs w:val="22"/>
              </w:rPr>
              <w:t>Radicado completo 23 dígitos</w:t>
            </w:r>
          </w:p>
        </w:tc>
        <w:tc>
          <w:tcPr>
            <w:tcW w:w="5670" w:type="dxa"/>
          </w:tcPr>
          <w:p w14:paraId="573C25D1" w14:textId="1A763C0E" w:rsidR="00992368" w:rsidRPr="00866C32" w:rsidRDefault="00686467" w:rsidP="009744C6">
            <w:pPr>
              <w:spacing w:line="276" w:lineRule="auto"/>
              <w:jc w:val="both"/>
              <w:rPr>
                <w:rFonts w:ascii="Century Gothic" w:hAnsi="Century Gothic"/>
                <w:sz w:val="22"/>
                <w:szCs w:val="22"/>
              </w:rPr>
            </w:pPr>
            <w:r w:rsidRPr="00686467">
              <w:rPr>
                <w:rFonts w:ascii="Century Gothic" w:hAnsi="Century Gothic"/>
                <w:sz w:val="22"/>
                <w:szCs w:val="22"/>
              </w:rPr>
              <w:t>110013343065</w:t>
            </w:r>
            <w:r w:rsidRPr="00686467">
              <w:rPr>
                <w:rFonts w:ascii="Century Gothic" w:hAnsi="Century Gothic"/>
                <w:b/>
                <w:bCs/>
                <w:sz w:val="22"/>
                <w:szCs w:val="22"/>
              </w:rPr>
              <w:t>202200296</w:t>
            </w:r>
            <w:r w:rsidRPr="00686467">
              <w:rPr>
                <w:rFonts w:ascii="Century Gothic" w:hAnsi="Century Gothic"/>
                <w:sz w:val="22"/>
                <w:szCs w:val="22"/>
              </w:rPr>
              <w:t>00</w:t>
            </w:r>
          </w:p>
        </w:tc>
      </w:tr>
      <w:tr w:rsidR="00992368" w:rsidRPr="00866C32" w14:paraId="4A0D8041" w14:textId="77777777" w:rsidTr="003827E1">
        <w:trPr>
          <w:trHeight w:val="454"/>
        </w:trPr>
        <w:tc>
          <w:tcPr>
            <w:tcW w:w="4537" w:type="dxa"/>
            <w:vAlign w:val="center"/>
          </w:tcPr>
          <w:p w14:paraId="6BA2EEB5" w14:textId="7369F36B" w:rsidR="00992368" w:rsidRPr="00866C32" w:rsidRDefault="00B2787D" w:rsidP="009744C6">
            <w:pPr>
              <w:spacing w:line="276" w:lineRule="auto"/>
              <w:rPr>
                <w:rFonts w:ascii="Century Gothic" w:hAnsi="Century Gothic"/>
                <w:b/>
                <w:bCs/>
                <w:sz w:val="22"/>
                <w:szCs w:val="22"/>
              </w:rPr>
            </w:pPr>
            <w:r w:rsidRPr="00866C32">
              <w:rPr>
                <w:rFonts w:ascii="Century Gothic" w:hAnsi="Century Gothic"/>
                <w:b/>
                <w:bCs/>
                <w:sz w:val="22"/>
                <w:szCs w:val="22"/>
              </w:rPr>
              <w:t>Fecha de notificación</w:t>
            </w:r>
          </w:p>
        </w:tc>
        <w:tc>
          <w:tcPr>
            <w:tcW w:w="5670" w:type="dxa"/>
          </w:tcPr>
          <w:p w14:paraId="64AC88EB" w14:textId="34D6021D" w:rsidR="00992368" w:rsidRPr="00866C32" w:rsidRDefault="007617DF" w:rsidP="009744C6">
            <w:pPr>
              <w:spacing w:line="276" w:lineRule="auto"/>
              <w:jc w:val="both"/>
              <w:rPr>
                <w:rFonts w:ascii="Century Gothic" w:hAnsi="Century Gothic"/>
                <w:sz w:val="22"/>
                <w:szCs w:val="22"/>
              </w:rPr>
            </w:pPr>
            <w:r w:rsidRPr="00866C32">
              <w:rPr>
                <w:rFonts w:ascii="Century Gothic" w:hAnsi="Century Gothic"/>
                <w:sz w:val="22"/>
                <w:szCs w:val="22"/>
              </w:rPr>
              <w:t>1</w:t>
            </w:r>
            <w:r w:rsidR="00686467">
              <w:rPr>
                <w:rFonts w:ascii="Century Gothic" w:hAnsi="Century Gothic"/>
                <w:sz w:val="22"/>
                <w:szCs w:val="22"/>
              </w:rPr>
              <w:t>5</w:t>
            </w:r>
            <w:r w:rsidRPr="00866C32">
              <w:rPr>
                <w:rFonts w:ascii="Century Gothic" w:hAnsi="Century Gothic"/>
                <w:sz w:val="22"/>
                <w:szCs w:val="22"/>
              </w:rPr>
              <w:t>/0</w:t>
            </w:r>
            <w:r w:rsidR="00686467">
              <w:rPr>
                <w:rFonts w:ascii="Century Gothic" w:hAnsi="Century Gothic"/>
                <w:sz w:val="22"/>
                <w:szCs w:val="22"/>
              </w:rPr>
              <w:t>5</w:t>
            </w:r>
            <w:r w:rsidRPr="00866C32">
              <w:rPr>
                <w:rFonts w:ascii="Century Gothic" w:hAnsi="Century Gothic"/>
                <w:sz w:val="22"/>
                <w:szCs w:val="22"/>
              </w:rPr>
              <w:t>/2025</w:t>
            </w:r>
          </w:p>
        </w:tc>
      </w:tr>
      <w:tr w:rsidR="00992368" w:rsidRPr="00866C32" w14:paraId="028BDD81" w14:textId="77777777" w:rsidTr="003827E1">
        <w:trPr>
          <w:trHeight w:val="454"/>
        </w:trPr>
        <w:tc>
          <w:tcPr>
            <w:tcW w:w="4537" w:type="dxa"/>
            <w:vAlign w:val="center"/>
          </w:tcPr>
          <w:p w14:paraId="74AA3CB7" w14:textId="0154798B" w:rsidR="00992368" w:rsidRPr="00866C32" w:rsidRDefault="00B2787D" w:rsidP="009744C6">
            <w:pPr>
              <w:spacing w:line="276" w:lineRule="auto"/>
              <w:rPr>
                <w:rFonts w:ascii="Century Gothic" w:hAnsi="Century Gothic"/>
                <w:b/>
                <w:bCs/>
                <w:sz w:val="22"/>
                <w:szCs w:val="22"/>
              </w:rPr>
            </w:pPr>
            <w:r w:rsidRPr="00866C32">
              <w:rPr>
                <w:rFonts w:ascii="Century Gothic" w:hAnsi="Century Gothic"/>
                <w:b/>
                <w:bCs/>
                <w:sz w:val="22"/>
                <w:szCs w:val="22"/>
              </w:rPr>
              <w:t>Fecha vencimiento del término</w:t>
            </w:r>
          </w:p>
        </w:tc>
        <w:tc>
          <w:tcPr>
            <w:tcW w:w="5670" w:type="dxa"/>
          </w:tcPr>
          <w:p w14:paraId="41E82979" w14:textId="29D0BEEB" w:rsidR="00992368" w:rsidRPr="00866C32" w:rsidRDefault="00B775EB" w:rsidP="009744C6">
            <w:pPr>
              <w:spacing w:line="276" w:lineRule="auto"/>
              <w:jc w:val="both"/>
              <w:rPr>
                <w:rFonts w:ascii="Century Gothic" w:hAnsi="Century Gothic"/>
                <w:sz w:val="22"/>
                <w:szCs w:val="22"/>
              </w:rPr>
            </w:pPr>
            <w:r w:rsidRPr="00866C32">
              <w:rPr>
                <w:rFonts w:ascii="Century Gothic" w:hAnsi="Century Gothic"/>
                <w:sz w:val="22"/>
                <w:szCs w:val="22"/>
              </w:rPr>
              <w:t>1</w:t>
            </w:r>
            <w:r w:rsidR="00686467">
              <w:rPr>
                <w:rFonts w:ascii="Century Gothic" w:hAnsi="Century Gothic"/>
                <w:sz w:val="22"/>
                <w:szCs w:val="22"/>
              </w:rPr>
              <w:t>0</w:t>
            </w:r>
            <w:r w:rsidRPr="00866C32">
              <w:rPr>
                <w:rFonts w:ascii="Century Gothic" w:hAnsi="Century Gothic"/>
                <w:sz w:val="22"/>
                <w:szCs w:val="22"/>
              </w:rPr>
              <w:t>/0</w:t>
            </w:r>
            <w:r w:rsidR="00686467">
              <w:rPr>
                <w:rFonts w:ascii="Century Gothic" w:hAnsi="Century Gothic"/>
                <w:sz w:val="22"/>
                <w:szCs w:val="22"/>
              </w:rPr>
              <w:t>6</w:t>
            </w:r>
            <w:r w:rsidRPr="00866C32">
              <w:rPr>
                <w:rFonts w:ascii="Century Gothic" w:hAnsi="Century Gothic"/>
                <w:sz w:val="22"/>
                <w:szCs w:val="22"/>
              </w:rPr>
              <w:t>/2025</w:t>
            </w:r>
          </w:p>
        </w:tc>
      </w:tr>
    </w:tbl>
    <w:p w14:paraId="619AE562" w14:textId="77777777" w:rsidR="00BA1E5F" w:rsidRPr="00866C32" w:rsidRDefault="00BA1E5F" w:rsidP="009744C6">
      <w:pPr>
        <w:spacing w:line="276" w:lineRule="auto"/>
        <w:rPr>
          <w:rFonts w:ascii="Century Gothic" w:hAnsi="Century Gothic"/>
        </w:rPr>
      </w:pPr>
    </w:p>
    <w:p w14:paraId="64A76143" w14:textId="77777777" w:rsidR="00BA1E5F" w:rsidRPr="00866C32" w:rsidRDefault="00BA1E5F" w:rsidP="009744C6">
      <w:pPr>
        <w:spacing w:line="276" w:lineRule="auto"/>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B2787D" w:rsidRPr="00866C32" w14:paraId="55765E90" w14:textId="77777777" w:rsidTr="0095378E">
        <w:tc>
          <w:tcPr>
            <w:tcW w:w="10207" w:type="dxa"/>
            <w:shd w:val="clear" w:color="auto" w:fill="C5E0B3" w:themeFill="accent6" w:themeFillTint="66"/>
            <w:vAlign w:val="center"/>
          </w:tcPr>
          <w:p w14:paraId="7B465D4D" w14:textId="5CAE6B68" w:rsidR="00B2787D" w:rsidRPr="00866C32" w:rsidRDefault="00B2787D" w:rsidP="009744C6">
            <w:pPr>
              <w:spacing w:line="276" w:lineRule="auto"/>
              <w:jc w:val="center"/>
              <w:rPr>
                <w:rFonts w:ascii="Century Gothic" w:hAnsi="Century Gothic"/>
                <w:sz w:val="22"/>
                <w:szCs w:val="22"/>
              </w:rPr>
            </w:pPr>
            <w:r w:rsidRPr="00866C32">
              <w:rPr>
                <w:rFonts w:ascii="Century Gothic" w:hAnsi="Century Gothic"/>
                <w:b/>
                <w:bCs/>
                <w:sz w:val="22"/>
                <w:szCs w:val="22"/>
              </w:rPr>
              <w:t>Hechos</w:t>
            </w:r>
            <w:r w:rsidR="007C37D7" w:rsidRPr="00866C32">
              <w:rPr>
                <w:rFonts w:ascii="Century Gothic" w:hAnsi="Century Gothic"/>
                <w:b/>
                <w:bCs/>
                <w:sz w:val="22"/>
                <w:szCs w:val="22"/>
              </w:rPr>
              <w:t xml:space="preserve"> </w:t>
            </w:r>
            <w:r w:rsidR="007C37D7" w:rsidRPr="00866C32">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866C32" w14:paraId="59EA92D0" w14:textId="77777777" w:rsidTr="006056E7">
        <w:tc>
          <w:tcPr>
            <w:tcW w:w="10207" w:type="dxa"/>
            <w:vAlign w:val="center"/>
          </w:tcPr>
          <w:p w14:paraId="1328A9FD" w14:textId="77777777" w:rsidR="004B3DDF" w:rsidRDefault="004B3DDF" w:rsidP="009744C6">
            <w:pPr>
              <w:spacing w:line="276" w:lineRule="auto"/>
              <w:jc w:val="both"/>
              <w:rPr>
                <w:rFonts w:ascii="Century Gothic" w:hAnsi="Century Gothic"/>
                <w:sz w:val="22"/>
                <w:szCs w:val="22"/>
                <w:lang w:val="es-CO"/>
              </w:rPr>
            </w:pPr>
          </w:p>
          <w:p w14:paraId="13807F67" w14:textId="565B99D0" w:rsidR="00686467" w:rsidRDefault="00686467" w:rsidP="009744C6">
            <w:pPr>
              <w:spacing w:line="276" w:lineRule="auto"/>
              <w:jc w:val="both"/>
              <w:rPr>
                <w:rFonts w:ascii="Century Gothic" w:hAnsi="Century Gothic"/>
                <w:sz w:val="22"/>
                <w:szCs w:val="22"/>
                <w:lang w:val="es-CO"/>
              </w:rPr>
            </w:pPr>
            <w:r w:rsidRPr="00686467">
              <w:rPr>
                <w:rFonts w:ascii="Century Gothic" w:hAnsi="Century Gothic"/>
                <w:sz w:val="22"/>
                <w:szCs w:val="22"/>
                <w:lang w:val="es-CO"/>
              </w:rPr>
              <w:t>Los demandantes exponen que la señora Giovanna Inés Motta Sánchez (q.e.p.d.) se encontraba afiliada al Sistema General de Seguridad Social en Salud como beneficiaria del Plan Obligatorio de Salud, siendo usuaria de la EPS SANITAS S.A.S., la cual le prestaba los servicios médicos en la ciudad de Pereira a través de la IPS COMFAMILIAR Risaralda. Según relatan, el 6 de octubre de 2020, la señora Motta Sánchez falleció debido a graves fallas médico-asistenciales imputables tanto a la EPS como a la IPS, quienes, a pesar de estar obligadas a garantizar una atención oportuna y adecuada, incurrieron en omisiones que comprometieron directamente la vida de la paciente.</w:t>
            </w:r>
          </w:p>
          <w:p w14:paraId="732813DC" w14:textId="77777777" w:rsidR="00686467" w:rsidRPr="00686467" w:rsidRDefault="00686467" w:rsidP="009744C6">
            <w:pPr>
              <w:spacing w:line="276" w:lineRule="auto"/>
              <w:jc w:val="both"/>
              <w:rPr>
                <w:rFonts w:ascii="Century Gothic" w:hAnsi="Century Gothic"/>
                <w:sz w:val="22"/>
                <w:szCs w:val="22"/>
                <w:lang w:val="es-CO"/>
              </w:rPr>
            </w:pPr>
          </w:p>
          <w:p w14:paraId="43A43F26" w14:textId="77777777" w:rsidR="00686467" w:rsidRDefault="00686467" w:rsidP="009744C6">
            <w:pPr>
              <w:spacing w:line="276" w:lineRule="auto"/>
              <w:jc w:val="both"/>
              <w:rPr>
                <w:rFonts w:ascii="Century Gothic" w:hAnsi="Century Gothic"/>
                <w:sz w:val="22"/>
                <w:szCs w:val="22"/>
                <w:lang w:val="es-CO"/>
              </w:rPr>
            </w:pPr>
            <w:r w:rsidRPr="00686467">
              <w:rPr>
                <w:rFonts w:ascii="Century Gothic" w:hAnsi="Century Gothic"/>
                <w:sz w:val="22"/>
                <w:szCs w:val="22"/>
                <w:lang w:val="es-CO"/>
              </w:rPr>
              <w:t>Manifiestan que esta situación también compromete la responsabilidad del Ministerio de Salud, en su calidad de titular del sistema de salud pública, por las fallas estructurales del servicio y por su función de vigilancia y supervisión sobre los prestadores privados. A su vez, señalan que tanto la EPS como la IPS estaban bajo la inspección de la Superintendencia Nacional de Salud, la cual incumplió su deber de controlar el cumplimiento de los estándares técnicos y científicos requeridos para una atención digna y segura.</w:t>
            </w:r>
          </w:p>
          <w:p w14:paraId="511D953F" w14:textId="77777777" w:rsidR="00686467" w:rsidRPr="00686467" w:rsidRDefault="00686467" w:rsidP="009744C6">
            <w:pPr>
              <w:spacing w:line="276" w:lineRule="auto"/>
              <w:jc w:val="both"/>
              <w:rPr>
                <w:rFonts w:ascii="Century Gothic" w:hAnsi="Century Gothic"/>
                <w:sz w:val="22"/>
                <w:szCs w:val="22"/>
                <w:lang w:val="es-CO"/>
              </w:rPr>
            </w:pPr>
          </w:p>
          <w:p w14:paraId="0F177F82" w14:textId="77777777" w:rsidR="00686467" w:rsidRDefault="00686467" w:rsidP="009744C6">
            <w:pPr>
              <w:spacing w:line="276" w:lineRule="auto"/>
              <w:jc w:val="both"/>
              <w:rPr>
                <w:rFonts w:ascii="Century Gothic" w:hAnsi="Century Gothic"/>
                <w:sz w:val="22"/>
                <w:szCs w:val="22"/>
                <w:lang w:val="es-CO"/>
              </w:rPr>
            </w:pPr>
            <w:r w:rsidRPr="00686467">
              <w:rPr>
                <w:rFonts w:ascii="Century Gothic" w:hAnsi="Century Gothic"/>
                <w:sz w:val="22"/>
                <w:szCs w:val="22"/>
                <w:lang w:val="es-CO"/>
              </w:rPr>
              <w:t xml:space="preserve">Los demandantes expresan que existieron omisiones flagrantes por parte del personal médico y administrativo de las instituciones involucradas, así como un incumplimiento claro de las obligaciones que recaían sobre sus representantes legales, quienes, en calidad de garantes de la salud de la paciente, debieron evitar el desenlace fatal. Por lo anterior, consideran que </w:t>
            </w:r>
            <w:r w:rsidRPr="00686467">
              <w:rPr>
                <w:rFonts w:ascii="Century Gothic" w:hAnsi="Century Gothic"/>
                <w:sz w:val="22"/>
                <w:szCs w:val="22"/>
                <w:lang w:val="es-CO"/>
              </w:rPr>
              <w:lastRenderedPageBreak/>
              <w:t>dichas entidades son solidariamente responsables de los perjuicios ocasionados, conforme a lo previsto en los artículos 2344 y 2347 del Código Civil Colombiano.</w:t>
            </w:r>
          </w:p>
          <w:p w14:paraId="3B4A8F98" w14:textId="77777777" w:rsidR="004B3DDF" w:rsidRDefault="004B3DDF" w:rsidP="009744C6">
            <w:pPr>
              <w:spacing w:line="276" w:lineRule="auto"/>
              <w:jc w:val="both"/>
              <w:rPr>
                <w:rFonts w:ascii="Century Gothic" w:hAnsi="Century Gothic"/>
                <w:sz w:val="22"/>
                <w:szCs w:val="22"/>
                <w:lang w:val="es-CO"/>
              </w:rPr>
            </w:pPr>
          </w:p>
          <w:p w14:paraId="13834485" w14:textId="5A78EC2D" w:rsidR="00686467" w:rsidRDefault="004B3DDF" w:rsidP="009744C6">
            <w:pPr>
              <w:spacing w:line="276" w:lineRule="auto"/>
              <w:jc w:val="both"/>
              <w:rPr>
                <w:rFonts w:ascii="Century Gothic" w:hAnsi="Century Gothic"/>
                <w:sz w:val="22"/>
                <w:szCs w:val="22"/>
                <w:lang w:val="es-CO"/>
              </w:rPr>
            </w:pPr>
            <w:r>
              <w:rPr>
                <w:rFonts w:ascii="Century Gothic" w:hAnsi="Century Gothic"/>
                <w:sz w:val="22"/>
                <w:szCs w:val="22"/>
                <w:lang w:val="es-CO"/>
              </w:rPr>
              <w:t xml:space="preserve">Indican que la paciente </w:t>
            </w:r>
            <w:r w:rsidR="00686467" w:rsidRPr="00686467">
              <w:rPr>
                <w:rFonts w:ascii="Century Gothic" w:hAnsi="Century Gothic"/>
                <w:sz w:val="22"/>
                <w:szCs w:val="22"/>
                <w:lang w:val="es-CO"/>
              </w:rPr>
              <w:t>de 53 años, era el eje central de su núcleo familiar y mantenía una estrecha relación afectiva con los demandantes. Aunque era administradora hotelera, se dedicaba en ese momento al cuidado del hogar, actividad que representaba un aporte económico equivalente a un salario mínimo mensual. Por ello, su</w:t>
            </w:r>
            <w:r>
              <w:rPr>
                <w:rFonts w:ascii="Century Gothic" w:hAnsi="Century Gothic"/>
                <w:sz w:val="22"/>
                <w:szCs w:val="22"/>
                <w:lang w:val="es-CO"/>
              </w:rPr>
              <w:t xml:space="preserve">frieron </w:t>
            </w:r>
            <w:r w:rsidR="00686467" w:rsidRPr="00686467">
              <w:rPr>
                <w:rFonts w:ascii="Century Gothic" w:hAnsi="Century Gothic"/>
                <w:sz w:val="22"/>
                <w:szCs w:val="22"/>
                <w:lang w:val="es-CO"/>
              </w:rPr>
              <w:t>un daño patrimonial por lucro cesante, estimado en la suma de $170.161.738. A esto se suma el profundo dolor y daño moral que su muerte causó a sus familiares más cercanos, quienes vieron alterada su vida familiar, emocional y social de manera irreparable.</w:t>
            </w:r>
          </w:p>
          <w:p w14:paraId="1D2EB861" w14:textId="77777777" w:rsidR="009E5B36" w:rsidRDefault="009E5B36" w:rsidP="009744C6">
            <w:pPr>
              <w:spacing w:line="276" w:lineRule="auto"/>
              <w:jc w:val="both"/>
              <w:rPr>
                <w:rFonts w:ascii="Century Gothic" w:hAnsi="Century Gothic"/>
                <w:sz w:val="22"/>
                <w:szCs w:val="22"/>
                <w:lang w:val="es-CO"/>
              </w:rPr>
            </w:pPr>
          </w:p>
          <w:p w14:paraId="32B45187" w14:textId="6A217DF1" w:rsidR="009E5B36" w:rsidRPr="00686467" w:rsidRDefault="009E5B36" w:rsidP="009744C6">
            <w:pPr>
              <w:spacing w:line="276" w:lineRule="auto"/>
              <w:jc w:val="both"/>
              <w:rPr>
                <w:rFonts w:ascii="Century Gothic" w:hAnsi="Century Gothic"/>
                <w:sz w:val="22"/>
                <w:szCs w:val="22"/>
                <w:lang w:val="es-CO"/>
              </w:rPr>
            </w:pPr>
            <w:r>
              <w:rPr>
                <w:rFonts w:ascii="Century Gothic" w:hAnsi="Century Gothic"/>
                <w:sz w:val="22"/>
                <w:szCs w:val="22"/>
                <w:lang w:val="es-CO"/>
              </w:rPr>
              <w:t xml:space="preserve">Teniendo en cuenta los hechos relatados en la demanda, E.P.S. Sanitas  realizó el llamamiento en garantía a la entidad en virtud de la Póliza No. </w:t>
            </w:r>
            <w:r w:rsidRPr="009E5B36">
              <w:rPr>
                <w:rFonts w:ascii="Century Gothic" w:hAnsi="Century Gothic"/>
                <w:sz w:val="22"/>
                <w:szCs w:val="22"/>
              </w:rPr>
              <w:t>AA195705</w:t>
            </w:r>
            <w:r>
              <w:rPr>
                <w:rFonts w:ascii="Century Gothic" w:hAnsi="Century Gothic"/>
                <w:sz w:val="22"/>
                <w:szCs w:val="22"/>
              </w:rPr>
              <w:t xml:space="preserve"> y sus anexos. </w:t>
            </w:r>
          </w:p>
          <w:p w14:paraId="285181BA" w14:textId="5E5ACAAD" w:rsidR="00B2787D" w:rsidRPr="00686467" w:rsidRDefault="00B2787D" w:rsidP="009744C6">
            <w:pPr>
              <w:spacing w:line="276" w:lineRule="auto"/>
              <w:jc w:val="both"/>
              <w:rPr>
                <w:rFonts w:ascii="Century Gothic" w:hAnsi="Century Gothic"/>
                <w:sz w:val="22"/>
                <w:szCs w:val="22"/>
                <w:lang w:val="es-CO"/>
              </w:rPr>
            </w:pPr>
          </w:p>
        </w:tc>
      </w:tr>
    </w:tbl>
    <w:p w14:paraId="20C76EE3" w14:textId="77777777" w:rsidR="003827E1" w:rsidRPr="00866C32" w:rsidRDefault="003827E1" w:rsidP="009744C6">
      <w:pPr>
        <w:spacing w:line="276" w:lineRule="auto"/>
        <w:rPr>
          <w:rFonts w:ascii="Century Gothic" w:hAnsi="Century Gothic"/>
        </w:rPr>
      </w:pPr>
    </w:p>
    <w:tbl>
      <w:tblPr>
        <w:tblStyle w:val="Tablaconcuadrcula"/>
        <w:tblW w:w="10207" w:type="dxa"/>
        <w:tblInd w:w="-431" w:type="dxa"/>
        <w:tblLook w:val="04A0" w:firstRow="1" w:lastRow="0" w:firstColumn="1" w:lastColumn="0" w:noHBand="0" w:noVBand="1"/>
      </w:tblPr>
      <w:tblGrid>
        <w:gridCol w:w="4537"/>
        <w:gridCol w:w="5670"/>
      </w:tblGrid>
      <w:tr w:rsidR="007C37D7" w:rsidRPr="00866C32" w14:paraId="2BD14B8D" w14:textId="77777777" w:rsidTr="0095378E">
        <w:tc>
          <w:tcPr>
            <w:tcW w:w="10207" w:type="dxa"/>
            <w:gridSpan w:val="2"/>
            <w:shd w:val="clear" w:color="auto" w:fill="C5E0B3" w:themeFill="accent6" w:themeFillTint="66"/>
            <w:vAlign w:val="center"/>
          </w:tcPr>
          <w:p w14:paraId="00111EA5" w14:textId="08575358" w:rsidR="007C37D7" w:rsidRPr="00866C32" w:rsidRDefault="007C37D7" w:rsidP="009744C6">
            <w:pPr>
              <w:spacing w:line="276" w:lineRule="auto"/>
              <w:jc w:val="center"/>
              <w:rPr>
                <w:rFonts w:ascii="Century Gothic" w:hAnsi="Century Gothic"/>
                <w:sz w:val="22"/>
                <w:szCs w:val="22"/>
              </w:rPr>
            </w:pPr>
            <w:r w:rsidRPr="00866C32">
              <w:rPr>
                <w:rFonts w:ascii="Century Gothic" w:hAnsi="Century Gothic"/>
                <w:b/>
                <w:bCs/>
                <w:sz w:val="22"/>
                <w:szCs w:val="22"/>
              </w:rPr>
              <w:t xml:space="preserve">Pretensiones </w:t>
            </w:r>
            <w:r w:rsidRPr="00866C32">
              <w:rPr>
                <w:rFonts w:ascii="Century Gothic" w:hAnsi="Century Gothic"/>
                <w:sz w:val="22"/>
                <w:szCs w:val="22"/>
              </w:rPr>
              <w:t>(haga un relato o enliste las pretensiones de la demanda/llamamiento en garantía)</w:t>
            </w:r>
          </w:p>
        </w:tc>
      </w:tr>
      <w:tr w:rsidR="007C37D7" w:rsidRPr="00866C32" w14:paraId="2B7256CB" w14:textId="77777777" w:rsidTr="006056E7">
        <w:tc>
          <w:tcPr>
            <w:tcW w:w="10207" w:type="dxa"/>
            <w:gridSpan w:val="2"/>
            <w:vAlign w:val="center"/>
          </w:tcPr>
          <w:p w14:paraId="11B57CBF" w14:textId="77777777" w:rsidR="007C37D7" w:rsidRPr="00866C32" w:rsidRDefault="007C37D7" w:rsidP="009744C6">
            <w:pPr>
              <w:spacing w:line="276" w:lineRule="auto"/>
              <w:jc w:val="center"/>
              <w:rPr>
                <w:rFonts w:ascii="Century Gothic" w:hAnsi="Century Gothic"/>
                <w:sz w:val="22"/>
                <w:szCs w:val="22"/>
              </w:rPr>
            </w:pPr>
          </w:p>
          <w:p w14:paraId="74C47EC0" w14:textId="77777777" w:rsidR="009E5DAE" w:rsidRPr="00866C32" w:rsidRDefault="009E5DAE" w:rsidP="009744C6">
            <w:pPr>
              <w:spacing w:line="276" w:lineRule="auto"/>
              <w:jc w:val="both"/>
              <w:rPr>
                <w:rFonts w:ascii="Century Gothic" w:hAnsi="Century Gothic"/>
                <w:sz w:val="22"/>
                <w:szCs w:val="22"/>
                <w:lang w:val="es-CO"/>
              </w:rPr>
            </w:pPr>
            <w:r w:rsidRPr="00866C32">
              <w:rPr>
                <w:rFonts w:ascii="Century Gothic" w:hAnsi="Century Gothic"/>
                <w:sz w:val="22"/>
                <w:szCs w:val="22"/>
                <w:lang w:val="es-CO"/>
              </w:rPr>
              <w:t>DECLARATIVAS:</w:t>
            </w:r>
          </w:p>
          <w:p w14:paraId="313F8223" w14:textId="77777777" w:rsidR="009E5DAE" w:rsidRPr="00866C32" w:rsidRDefault="009E5DAE" w:rsidP="009744C6">
            <w:pPr>
              <w:pStyle w:val="Prrafodelista"/>
              <w:spacing w:line="276" w:lineRule="auto"/>
              <w:jc w:val="both"/>
              <w:rPr>
                <w:rFonts w:ascii="Century Gothic" w:hAnsi="Century Gothic"/>
                <w:sz w:val="22"/>
                <w:szCs w:val="22"/>
                <w:lang w:val="es-CO"/>
              </w:rPr>
            </w:pPr>
          </w:p>
          <w:p w14:paraId="24385F2C" w14:textId="681F3106" w:rsidR="00B04CAC" w:rsidRPr="009E5B36" w:rsidRDefault="009E5B36" w:rsidP="009744C6">
            <w:pPr>
              <w:pStyle w:val="Prrafodelista"/>
              <w:numPr>
                <w:ilvl w:val="0"/>
                <w:numId w:val="21"/>
              </w:numPr>
              <w:spacing w:line="276" w:lineRule="auto"/>
              <w:jc w:val="both"/>
              <w:rPr>
                <w:rFonts w:ascii="Century Gothic" w:hAnsi="Century Gothic"/>
                <w:sz w:val="22"/>
                <w:szCs w:val="22"/>
                <w:lang w:val="es-CO"/>
              </w:rPr>
            </w:pPr>
            <w:r w:rsidRPr="009E5B36">
              <w:rPr>
                <w:rFonts w:ascii="Century Gothic" w:hAnsi="Century Gothic"/>
                <w:sz w:val="22"/>
                <w:szCs w:val="22"/>
              </w:rPr>
              <w:t xml:space="preserve">Con fundamento en los hechos que más adelante se relatan solicitamos declarar a las demandadas responsables administrativa y solidariamente de los malos tratos y posterior muerte de la Giovanna Inés Motta Sánchez (e.s.m.) y los consecuentes daños causados a los demandantes. </w:t>
            </w:r>
          </w:p>
          <w:p w14:paraId="0B0931E7" w14:textId="77777777" w:rsidR="009E5B36" w:rsidRPr="009E5B36" w:rsidRDefault="009E5B36" w:rsidP="009744C6">
            <w:pPr>
              <w:pStyle w:val="Prrafodelista"/>
              <w:spacing w:line="276" w:lineRule="auto"/>
              <w:jc w:val="both"/>
              <w:rPr>
                <w:rFonts w:ascii="Century Gothic" w:hAnsi="Century Gothic"/>
                <w:sz w:val="22"/>
                <w:szCs w:val="22"/>
                <w:lang w:val="es-CO"/>
              </w:rPr>
            </w:pPr>
          </w:p>
          <w:p w14:paraId="2C1063C7" w14:textId="06F2021A" w:rsidR="009E5DAE" w:rsidRPr="00866C32" w:rsidRDefault="009E5DAE" w:rsidP="009744C6">
            <w:pPr>
              <w:spacing w:line="276" w:lineRule="auto"/>
              <w:jc w:val="both"/>
              <w:rPr>
                <w:rFonts w:ascii="Century Gothic" w:hAnsi="Century Gothic"/>
                <w:sz w:val="22"/>
                <w:szCs w:val="22"/>
                <w:lang w:val="es-CO"/>
              </w:rPr>
            </w:pPr>
            <w:r w:rsidRPr="00866C32">
              <w:rPr>
                <w:rFonts w:ascii="Century Gothic" w:hAnsi="Century Gothic"/>
                <w:sz w:val="22"/>
                <w:szCs w:val="22"/>
                <w:lang w:val="es-CO"/>
              </w:rPr>
              <w:t>CONDENATORIAS</w:t>
            </w:r>
          </w:p>
          <w:p w14:paraId="2E14BDBD" w14:textId="789DAEC1" w:rsidR="009E5B36" w:rsidRPr="009E5B36" w:rsidRDefault="009E5B36" w:rsidP="009744C6">
            <w:pPr>
              <w:spacing w:line="276" w:lineRule="auto"/>
              <w:jc w:val="both"/>
              <w:rPr>
                <w:rFonts w:ascii="Century Gothic" w:hAnsi="Century Gothic"/>
                <w:b/>
                <w:bCs/>
                <w:sz w:val="22"/>
                <w:szCs w:val="22"/>
                <w:lang w:val="es-CO"/>
              </w:rPr>
            </w:pPr>
          </w:p>
          <w:p w14:paraId="0BB41C05" w14:textId="0C6827D0" w:rsidR="0072252C" w:rsidRDefault="009E5B36" w:rsidP="009744C6">
            <w:pPr>
              <w:pStyle w:val="Prrafodelista"/>
              <w:numPr>
                <w:ilvl w:val="0"/>
                <w:numId w:val="18"/>
              </w:numPr>
              <w:spacing w:line="276" w:lineRule="auto"/>
              <w:jc w:val="both"/>
              <w:rPr>
                <w:rFonts w:ascii="Century Gothic" w:hAnsi="Century Gothic"/>
                <w:sz w:val="22"/>
                <w:szCs w:val="22"/>
                <w:lang w:val="es-CO"/>
              </w:rPr>
            </w:pPr>
            <w:r w:rsidRPr="009E5B36">
              <w:rPr>
                <w:rFonts w:ascii="Century Gothic" w:hAnsi="Century Gothic"/>
                <w:sz w:val="22"/>
                <w:szCs w:val="22"/>
                <w:lang w:val="es-CO"/>
              </w:rPr>
              <w:t>Como consecuencia de los hechos narrados, los demandantes solicitan que se declare la responsabilidad administrativa y solidaria de las entidades demandadas por la deficiente atención médica que provocó la muerte de la señora Giovanna Inés Motta Sánchez, y que, en consecuencia, se les condene a indemnizar integralmente los perjuicios causados. En particular, se reclama la reparación del daño moral por los malos tratos sufridos por la paciente antes de su fallecimiento, conforme a los siguientes montos: 100 salarios mínimos legales mensuales vigentes (SMLMV) para la sucesión de Giovanna Inés Motta Sánchez, y 50 SMLMV para cada uno de sus familiares directos, Jesús Orlando Velásquez Escobar (cónyuge) y Nicolás Velásquez Motta (hijo)</w:t>
            </w:r>
            <w:r w:rsidR="001F5B15">
              <w:rPr>
                <w:rFonts w:ascii="Century Gothic" w:hAnsi="Century Gothic"/>
                <w:sz w:val="22"/>
                <w:szCs w:val="22"/>
                <w:lang w:val="es-CO"/>
              </w:rPr>
              <w:t xml:space="preserve">. </w:t>
            </w:r>
          </w:p>
          <w:p w14:paraId="7E0E304A" w14:textId="77777777" w:rsidR="0072252C" w:rsidRDefault="0072252C" w:rsidP="009744C6">
            <w:pPr>
              <w:pStyle w:val="Prrafodelista"/>
              <w:spacing w:line="276" w:lineRule="auto"/>
              <w:jc w:val="both"/>
              <w:rPr>
                <w:rFonts w:ascii="Century Gothic" w:hAnsi="Century Gothic"/>
                <w:sz w:val="22"/>
                <w:szCs w:val="22"/>
                <w:lang w:val="es-CO"/>
              </w:rPr>
            </w:pPr>
          </w:p>
          <w:p w14:paraId="6CBFC2EA" w14:textId="00AEA26E" w:rsidR="009E5B36" w:rsidRDefault="0072252C" w:rsidP="009744C6">
            <w:pPr>
              <w:pStyle w:val="Prrafodelista"/>
              <w:numPr>
                <w:ilvl w:val="0"/>
                <w:numId w:val="18"/>
              </w:numPr>
              <w:spacing w:line="276" w:lineRule="auto"/>
              <w:jc w:val="both"/>
              <w:rPr>
                <w:rFonts w:ascii="Century Gothic" w:hAnsi="Century Gothic"/>
                <w:sz w:val="22"/>
                <w:szCs w:val="22"/>
                <w:lang w:val="es-CO"/>
              </w:rPr>
            </w:pPr>
            <w:r>
              <w:rPr>
                <w:rFonts w:ascii="Century Gothic" w:hAnsi="Century Gothic"/>
                <w:sz w:val="22"/>
                <w:szCs w:val="22"/>
                <w:lang w:val="es-CO"/>
              </w:rPr>
              <w:t>Del mismo modo, la suma de 500 SMLM</w:t>
            </w:r>
            <w:r w:rsidR="001F5B15">
              <w:rPr>
                <w:rFonts w:ascii="Century Gothic" w:hAnsi="Century Gothic"/>
                <w:sz w:val="22"/>
                <w:szCs w:val="22"/>
                <w:lang w:val="es-CO"/>
              </w:rPr>
              <w:t>V por daños morales, conforme a los siguientes montos: 100 SMLMV</w:t>
            </w:r>
            <w:r w:rsidR="001F5B15" w:rsidRPr="009E5B36">
              <w:rPr>
                <w:rFonts w:ascii="Century Gothic" w:hAnsi="Century Gothic"/>
                <w:sz w:val="22"/>
                <w:szCs w:val="22"/>
                <w:lang w:val="es-CO"/>
              </w:rPr>
              <w:t xml:space="preserve"> para la sucesión de Giovanna Inés Motta Sánchez</w:t>
            </w:r>
            <w:r w:rsidR="001F5B15">
              <w:rPr>
                <w:rFonts w:ascii="Century Gothic" w:hAnsi="Century Gothic"/>
                <w:sz w:val="22"/>
                <w:szCs w:val="22"/>
                <w:lang w:val="es-CO"/>
              </w:rPr>
              <w:t xml:space="preserve"> y 200 para </w:t>
            </w:r>
            <w:r w:rsidR="001F5B15" w:rsidRPr="009E5B36">
              <w:rPr>
                <w:rFonts w:ascii="Century Gothic" w:hAnsi="Century Gothic"/>
                <w:sz w:val="22"/>
                <w:szCs w:val="22"/>
                <w:lang w:val="es-CO"/>
              </w:rPr>
              <w:t>para cada uno de sus familiares directos, Jesús Orlando Velásquez Escobar (cónyuge) y Nicolás Velásquez Motta (hijo)</w:t>
            </w:r>
          </w:p>
          <w:p w14:paraId="1C27ADD2" w14:textId="77777777" w:rsidR="001F5B15" w:rsidRPr="001F5B15" w:rsidRDefault="001F5B15" w:rsidP="009744C6">
            <w:pPr>
              <w:pStyle w:val="Prrafodelista"/>
              <w:spacing w:line="276" w:lineRule="auto"/>
              <w:rPr>
                <w:rFonts w:ascii="Century Gothic" w:hAnsi="Century Gothic"/>
                <w:sz w:val="22"/>
                <w:szCs w:val="22"/>
                <w:lang w:val="es-CO"/>
              </w:rPr>
            </w:pPr>
          </w:p>
          <w:p w14:paraId="7D785B9E" w14:textId="77777777" w:rsidR="001F5B15" w:rsidRDefault="001F5B15" w:rsidP="009744C6">
            <w:pPr>
              <w:pStyle w:val="Prrafodelista"/>
              <w:numPr>
                <w:ilvl w:val="0"/>
                <w:numId w:val="18"/>
              </w:numPr>
              <w:spacing w:line="276" w:lineRule="auto"/>
              <w:jc w:val="both"/>
              <w:rPr>
                <w:rFonts w:ascii="Century Gothic" w:hAnsi="Century Gothic"/>
                <w:sz w:val="22"/>
                <w:szCs w:val="22"/>
                <w:lang w:val="es-CO"/>
              </w:rPr>
            </w:pPr>
            <w:r>
              <w:rPr>
                <w:rFonts w:ascii="Century Gothic" w:hAnsi="Century Gothic"/>
                <w:sz w:val="22"/>
                <w:szCs w:val="22"/>
                <w:lang w:val="es-CO"/>
              </w:rPr>
              <w:t xml:space="preserve">Se solicita el reconocimiento de 600 SMLMV por daño a la vida en relación, conforme a los siguientes montos: 200 SMLMV para la </w:t>
            </w:r>
            <w:r w:rsidRPr="009E5B36">
              <w:rPr>
                <w:rFonts w:ascii="Century Gothic" w:hAnsi="Century Gothic"/>
                <w:sz w:val="22"/>
                <w:szCs w:val="22"/>
                <w:lang w:val="es-CO"/>
              </w:rPr>
              <w:t>sucesión de Giovanna Inés Motta Sánchez</w:t>
            </w:r>
            <w:r>
              <w:rPr>
                <w:rFonts w:ascii="Century Gothic" w:hAnsi="Century Gothic"/>
                <w:sz w:val="22"/>
                <w:szCs w:val="22"/>
                <w:lang w:val="es-CO"/>
              </w:rPr>
              <w:t xml:space="preserve"> y 200 para </w:t>
            </w:r>
            <w:r w:rsidRPr="009E5B36">
              <w:rPr>
                <w:rFonts w:ascii="Century Gothic" w:hAnsi="Century Gothic"/>
                <w:sz w:val="22"/>
                <w:szCs w:val="22"/>
                <w:lang w:val="es-CO"/>
              </w:rPr>
              <w:t>para cada uno de sus familiares directos, Jesús Orlando Velásquez Escobar (cónyuge) y Nicolás Velásquez Motta (hijo)</w:t>
            </w:r>
          </w:p>
          <w:p w14:paraId="61F5B30F" w14:textId="77777777" w:rsidR="001F5B15" w:rsidRPr="001F5B15" w:rsidRDefault="001F5B15" w:rsidP="009744C6">
            <w:pPr>
              <w:pStyle w:val="Prrafodelista"/>
              <w:spacing w:line="276" w:lineRule="auto"/>
              <w:rPr>
                <w:rFonts w:ascii="Century Gothic" w:hAnsi="Century Gothic"/>
                <w:sz w:val="22"/>
                <w:szCs w:val="22"/>
                <w:lang w:val="es-CO"/>
              </w:rPr>
            </w:pPr>
          </w:p>
          <w:p w14:paraId="317EA110" w14:textId="34556FAE" w:rsidR="001F5B15" w:rsidRDefault="001F5B15" w:rsidP="009744C6">
            <w:pPr>
              <w:pStyle w:val="Prrafodelista"/>
              <w:numPr>
                <w:ilvl w:val="0"/>
                <w:numId w:val="18"/>
              </w:numPr>
              <w:spacing w:line="276" w:lineRule="auto"/>
              <w:jc w:val="both"/>
              <w:rPr>
                <w:rFonts w:ascii="Century Gothic" w:hAnsi="Century Gothic"/>
                <w:sz w:val="22"/>
                <w:szCs w:val="22"/>
                <w:lang w:val="es-CO"/>
              </w:rPr>
            </w:pPr>
            <w:r>
              <w:rPr>
                <w:rFonts w:ascii="Century Gothic" w:hAnsi="Century Gothic"/>
                <w:sz w:val="22"/>
                <w:szCs w:val="22"/>
                <w:lang w:val="es-CO"/>
              </w:rPr>
              <w:t xml:space="preserve">Finalmente se pretende el reconocimiento de </w:t>
            </w:r>
            <w:r w:rsidRPr="00866C32">
              <w:rPr>
                <w:rFonts w:ascii="Century Gothic" w:hAnsi="Century Gothic"/>
                <w:sz w:val="22"/>
                <w:szCs w:val="22"/>
                <w:lang w:val="es-CO"/>
              </w:rPr>
              <w:t>$</w:t>
            </w:r>
            <w:r w:rsidRPr="008736B0">
              <w:rPr>
                <w:rFonts w:ascii="Century Gothic" w:hAnsi="Century Gothic"/>
                <w:sz w:val="22"/>
                <w:szCs w:val="22"/>
              </w:rPr>
              <w:t>170.161.738,00</w:t>
            </w:r>
            <w:r>
              <w:rPr>
                <w:rFonts w:ascii="Century Gothic" w:hAnsi="Century Gothic"/>
                <w:sz w:val="22"/>
                <w:szCs w:val="22"/>
              </w:rPr>
              <w:t xml:space="preserve"> a titulo de lucro cesante a favor del cónyuge. </w:t>
            </w:r>
          </w:p>
          <w:p w14:paraId="77C06868" w14:textId="77777777" w:rsidR="00FD53B3" w:rsidRPr="00866C32" w:rsidRDefault="00FD53B3" w:rsidP="009744C6">
            <w:pPr>
              <w:spacing w:line="276" w:lineRule="auto"/>
              <w:rPr>
                <w:rFonts w:ascii="Century Gothic" w:hAnsi="Century Gothic"/>
                <w:sz w:val="22"/>
                <w:szCs w:val="22"/>
              </w:rPr>
            </w:pPr>
          </w:p>
        </w:tc>
      </w:tr>
      <w:tr w:rsidR="00992368" w:rsidRPr="00866C32" w14:paraId="50D1C7A7" w14:textId="77777777" w:rsidTr="003827E1">
        <w:trPr>
          <w:trHeight w:val="510"/>
        </w:trPr>
        <w:tc>
          <w:tcPr>
            <w:tcW w:w="4537" w:type="dxa"/>
            <w:vAlign w:val="center"/>
          </w:tcPr>
          <w:p w14:paraId="013247F4" w14:textId="68D4118C" w:rsidR="00992368" w:rsidRPr="00866C32" w:rsidRDefault="001E1616" w:rsidP="009744C6">
            <w:pPr>
              <w:spacing w:line="276" w:lineRule="auto"/>
              <w:rPr>
                <w:rFonts w:ascii="Century Gothic" w:hAnsi="Century Gothic"/>
                <w:b/>
                <w:bCs/>
                <w:sz w:val="22"/>
                <w:szCs w:val="22"/>
              </w:rPr>
            </w:pPr>
            <w:r w:rsidRPr="00866C32">
              <w:rPr>
                <w:rFonts w:ascii="Century Gothic" w:hAnsi="Century Gothic"/>
                <w:b/>
                <w:bCs/>
                <w:sz w:val="22"/>
                <w:szCs w:val="22"/>
              </w:rPr>
              <w:t xml:space="preserve">Valor total de las pretensiones </w:t>
            </w:r>
          </w:p>
        </w:tc>
        <w:tc>
          <w:tcPr>
            <w:tcW w:w="5670" w:type="dxa"/>
            <w:vAlign w:val="center"/>
          </w:tcPr>
          <w:p w14:paraId="00FEFA37" w14:textId="70D38E4B" w:rsidR="00992368" w:rsidRPr="00866C32" w:rsidRDefault="00D6248E" w:rsidP="009744C6">
            <w:pPr>
              <w:spacing w:line="276" w:lineRule="auto"/>
              <w:rPr>
                <w:rFonts w:ascii="Century Gothic" w:hAnsi="Century Gothic"/>
                <w:sz w:val="22"/>
                <w:szCs w:val="22"/>
              </w:rPr>
            </w:pPr>
            <w:r>
              <w:rPr>
                <w:rFonts w:ascii="Century Gothic" w:hAnsi="Century Gothic"/>
                <w:sz w:val="22"/>
                <w:szCs w:val="22"/>
              </w:rPr>
              <w:t xml:space="preserve">$ </w:t>
            </w:r>
            <w:r w:rsidRPr="00D6248E">
              <w:rPr>
                <w:rFonts w:ascii="Century Gothic" w:hAnsi="Century Gothic"/>
                <w:sz w:val="22"/>
                <w:szCs w:val="22"/>
              </w:rPr>
              <w:t>454.861.738</w:t>
            </w:r>
            <w:r>
              <w:rPr>
                <w:rFonts w:ascii="Century Gothic" w:hAnsi="Century Gothic"/>
                <w:sz w:val="22"/>
                <w:szCs w:val="22"/>
              </w:rPr>
              <w:t xml:space="preserve"> </w:t>
            </w:r>
          </w:p>
        </w:tc>
      </w:tr>
      <w:tr w:rsidR="00992368" w:rsidRPr="00866C32" w14:paraId="668F9413" w14:textId="77777777" w:rsidTr="003827E1">
        <w:trPr>
          <w:trHeight w:val="510"/>
        </w:trPr>
        <w:tc>
          <w:tcPr>
            <w:tcW w:w="4537" w:type="dxa"/>
            <w:vAlign w:val="center"/>
          </w:tcPr>
          <w:p w14:paraId="34E17619" w14:textId="7EF66606" w:rsidR="00992368" w:rsidRPr="00866C32" w:rsidRDefault="00FD53B3" w:rsidP="009744C6">
            <w:pPr>
              <w:spacing w:line="276" w:lineRule="auto"/>
              <w:rPr>
                <w:rFonts w:ascii="Century Gothic" w:hAnsi="Century Gothic"/>
                <w:b/>
                <w:bCs/>
                <w:sz w:val="22"/>
                <w:szCs w:val="22"/>
              </w:rPr>
            </w:pPr>
            <w:r w:rsidRPr="00866C32">
              <w:rPr>
                <w:rFonts w:ascii="Century Gothic" w:hAnsi="Century Gothic"/>
                <w:b/>
                <w:bCs/>
                <w:sz w:val="22"/>
                <w:szCs w:val="22"/>
              </w:rPr>
              <w:t>Valor total de las pretensiones objetivadas</w:t>
            </w:r>
          </w:p>
        </w:tc>
        <w:tc>
          <w:tcPr>
            <w:tcW w:w="5670" w:type="dxa"/>
            <w:vAlign w:val="center"/>
          </w:tcPr>
          <w:p w14:paraId="487C6084" w14:textId="1B77796B" w:rsidR="00992368" w:rsidRPr="00866C32" w:rsidRDefault="00D6248E" w:rsidP="009744C6">
            <w:pPr>
              <w:spacing w:line="276" w:lineRule="auto"/>
              <w:rPr>
                <w:rFonts w:ascii="Century Gothic" w:hAnsi="Century Gothic"/>
                <w:sz w:val="22"/>
                <w:szCs w:val="22"/>
              </w:rPr>
            </w:pPr>
            <w:r w:rsidRPr="00D6248E">
              <w:rPr>
                <w:rFonts w:ascii="Century Gothic" w:hAnsi="Century Gothic"/>
                <w:sz w:val="22"/>
                <w:szCs w:val="22"/>
              </w:rPr>
              <w:t>$</w:t>
            </w:r>
            <w:r w:rsidR="00F643DC" w:rsidRPr="00F643DC">
              <w:rPr>
                <w:rFonts w:ascii="Century Gothic" w:hAnsi="Century Gothic"/>
                <w:sz w:val="22"/>
                <w:szCs w:val="22"/>
              </w:rPr>
              <w:t>363.889.390,4</w:t>
            </w:r>
            <w:r w:rsidR="00F643DC">
              <w:rPr>
                <w:rFonts w:ascii="Century Gothic" w:hAnsi="Century Gothic"/>
                <w:sz w:val="22"/>
                <w:szCs w:val="22"/>
              </w:rPr>
              <w:t xml:space="preserve"> </w:t>
            </w:r>
            <w:r w:rsidR="00794C28" w:rsidRPr="00866C32">
              <w:rPr>
                <w:rFonts w:ascii="Century Gothic" w:hAnsi="Century Gothic"/>
                <w:sz w:val="22"/>
                <w:szCs w:val="22"/>
                <w:lang w:val="es-CO"/>
              </w:rPr>
              <w:t xml:space="preserve">corresponde a la resta del </w:t>
            </w:r>
            <w:r w:rsidR="00F643DC">
              <w:rPr>
                <w:rFonts w:ascii="Century Gothic" w:hAnsi="Century Gothic"/>
                <w:sz w:val="22"/>
                <w:szCs w:val="22"/>
                <w:lang w:val="es-CO"/>
              </w:rPr>
              <w:t>2</w:t>
            </w:r>
            <w:r w:rsidR="00794C28" w:rsidRPr="00866C32">
              <w:rPr>
                <w:rFonts w:ascii="Century Gothic" w:hAnsi="Century Gothic"/>
                <w:sz w:val="22"/>
                <w:szCs w:val="22"/>
                <w:lang w:val="es-CO"/>
              </w:rPr>
              <w:t xml:space="preserve">0% del valor de las pretensiones. </w:t>
            </w:r>
          </w:p>
        </w:tc>
      </w:tr>
    </w:tbl>
    <w:p w14:paraId="146E9C6D" w14:textId="77777777" w:rsidR="0095378E" w:rsidRPr="00866C32" w:rsidRDefault="0095378E" w:rsidP="009744C6">
      <w:pPr>
        <w:spacing w:line="276" w:lineRule="auto"/>
        <w:rPr>
          <w:rFonts w:ascii="Century Gothic" w:hAnsi="Century Gothic"/>
        </w:rPr>
      </w:pPr>
    </w:p>
    <w:tbl>
      <w:tblPr>
        <w:tblStyle w:val="Tablaconcuadrcula"/>
        <w:tblW w:w="10191" w:type="dxa"/>
        <w:tblInd w:w="-431" w:type="dxa"/>
        <w:tblLook w:val="04A0" w:firstRow="1" w:lastRow="0" w:firstColumn="1" w:lastColumn="0" w:noHBand="0" w:noVBand="1"/>
      </w:tblPr>
      <w:tblGrid>
        <w:gridCol w:w="10191"/>
      </w:tblGrid>
      <w:tr w:rsidR="00E802BC" w:rsidRPr="00866C32" w14:paraId="77F9F71B" w14:textId="77777777" w:rsidTr="0095378E">
        <w:trPr>
          <w:trHeight w:val="285"/>
        </w:trPr>
        <w:tc>
          <w:tcPr>
            <w:tcW w:w="10191" w:type="dxa"/>
            <w:shd w:val="clear" w:color="auto" w:fill="C5E0B3" w:themeFill="accent6" w:themeFillTint="66"/>
            <w:vAlign w:val="center"/>
          </w:tcPr>
          <w:p w14:paraId="10E33877" w14:textId="0E982702" w:rsidR="00E802BC" w:rsidRPr="00866C32" w:rsidRDefault="00E802BC" w:rsidP="009744C6">
            <w:pPr>
              <w:spacing w:line="276" w:lineRule="auto"/>
              <w:jc w:val="center"/>
              <w:rPr>
                <w:rFonts w:ascii="Century Gothic" w:hAnsi="Century Gothic"/>
                <w:sz w:val="22"/>
                <w:szCs w:val="22"/>
              </w:rPr>
            </w:pPr>
            <w:r w:rsidRPr="00866C32">
              <w:rPr>
                <w:rFonts w:ascii="Century Gothic" w:hAnsi="Century Gothic"/>
                <w:b/>
                <w:bCs/>
                <w:sz w:val="22"/>
                <w:szCs w:val="22"/>
              </w:rPr>
              <w:t>Liquidación de las pretensiones objetivadas</w:t>
            </w:r>
          </w:p>
        </w:tc>
      </w:tr>
      <w:tr w:rsidR="003436B9" w:rsidRPr="00866C32" w14:paraId="33786C43" w14:textId="77777777" w:rsidTr="0095378E">
        <w:trPr>
          <w:trHeight w:val="6406"/>
        </w:trPr>
        <w:tc>
          <w:tcPr>
            <w:tcW w:w="10191" w:type="dxa"/>
            <w:vAlign w:val="center"/>
          </w:tcPr>
          <w:p w14:paraId="2435F473" w14:textId="77777777" w:rsidR="00B9755C" w:rsidRPr="00866C32" w:rsidRDefault="00B9755C" w:rsidP="009744C6">
            <w:pPr>
              <w:pStyle w:val="Prrafodelista"/>
              <w:spacing w:line="276" w:lineRule="auto"/>
              <w:jc w:val="both"/>
              <w:rPr>
                <w:rFonts w:ascii="Century Gothic" w:hAnsi="Century Gothic"/>
                <w:sz w:val="22"/>
                <w:szCs w:val="22"/>
                <w:lang w:val="es-CO"/>
              </w:rPr>
            </w:pPr>
          </w:p>
          <w:p w14:paraId="57298E64" w14:textId="4D42464C" w:rsidR="00B04CAC" w:rsidRPr="00866C32" w:rsidRDefault="00B04CAC" w:rsidP="009744C6">
            <w:pPr>
              <w:spacing w:line="276" w:lineRule="auto"/>
              <w:jc w:val="both"/>
              <w:rPr>
                <w:rFonts w:ascii="Century Gothic" w:hAnsi="Century Gothic" w:cs="Arial"/>
                <w:color w:val="000000" w:themeColor="text1"/>
              </w:rPr>
            </w:pPr>
            <w:r w:rsidRPr="00866C32">
              <w:rPr>
                <w:rFonts w:ascii="Century Gothic" w:hAnsi="Century Gothic" w:cs="Arial"/>
                <w:color w:val="000000" w:themeColor="text1"/>
              </w:rPr>
              <w:t xml:space="preserve">Como liquidación objetiva de perjuicios se llegó al total </w:t>
            </w:r>
            <w:r w:rsidR="00D6248E" w:rsidRPr="00C96FD0">
              <w:rPr>
                <w:rFonts w:ascii="Century Gothic" w:hAnsi="Century Gothic" w:cs="Arial"/>
                <w:color w:val="000000" w:themeColor="text1"/>
              </w:rPr>
              <w:t>$</w:t>
            </w:r>
            <w:r w:rsidR="00C96FD0" w:rsidRPr="00C96FD0">
              <w:rPr>
                <w:rFonts w:ascii="Century Gothic" w:hAnsi="Century Gothic" w:cs="Arial"/>
                <w:color w:val="000000" w:themeColor="text1"/>
              </w:rPr>
              <w:t>213.889.390,40</w:t>
            </w:r>
            <w:r w:rsidR="00C96FD0">
              <w:rPr>
                <w:rFonts w:ascii="Century Gothic" w:hAnsi="Century Gothic" w:cs="Arial"/>
                <w:b/>
                <w:bCs/>
                <w:color w:val="000000" w:themeColor="text1"/>
              </w:rPr>
              <w:t xml:space="preserve">. </w:t>
            </w:r>
            <w:r w:rsidRPr="00866C32">
              <w:rPr>
                <w:rFonts w:ascii="Century Gothic" w:hAnsi="Century Gothic" w:cs="Arial"/>
                <w:color w:val="000000" w:themeColor="text1"/>
              </w:rPr>
              <w:t>A este valor se llegó de la siguiente manera:</w:t>
            </w:r>
          </w:p>
          <w:p w14:paraId="32E87552" w14:textId="2533F2FA" w:rsidR="000B36D8" w:rsidRPr="00D6248E" w:rsidRDefault="000B36D8" w:rsidP="009744C6">
            <w:pPr>
              <w:spacing w:line="276" w:lineRule="auto"/>
              <w:jc w:val="both"/>
              <w:rPr>
                <w:rFonts w:ascii="Century Gothic" w:hAnsi="Century Gothic" w:cs="Arial"/>
                <w:color w:val="000000" w:themeColor="text1"/>
                <w:lang w:val="es-CO"/>
              </w:rPr>
            </w:pPr>
          </w:p>
          <w:p w14:paraId="7449A5CA" w14:textId="5069BAAA" w:rsidR="00D6248E" w:rsidRPr="00D6248E" w:rsidRDefault="000B36D8" w:rsidP="009744C6">
            <w:pPr>
              <w:pStyle w:val="Prrafodelista"/>
              <w:numPr>
                <w:ilvl w:val="0"/>
                <w:numId w:val="22"/>
              </w:numPr>
              <w:spacing w:line="276" w:lineRule="auto"/>
              <w:jc w:val="both"/>
              <w:rPr>
                <w:rFonts w:ascii="Century Gothic" w:hAnsi="Century Gothic" w:cs="Arial"/>
                <w:color w:val="000000" w:themeColor="text1"/>
                <w:lang w:val="es-CO"/>
              </w:rPr>
            </w:pPr>
            <w:r w:rsidRPr="000B36D8">
              <w:rPr>
                <w:rFonts w:ascii="Century Gothic" w:hAnsi="Century Gothic" w:cs="Arial"/>
                <w:b/>
                <w:bCs/>
                <w:color w:val="000000" w:themeColor="text1"/>
              </w:rPr>
              <w:t>Daño moral:</w:t>
            </w:r>
            <w:r w:rsidRPr="000B36D8">
              <w:rPr>
                <w:rFonts w:ascii="Century Gothic" w:hAnsi="Century Gothic" w:cs="Arial"/>
                <w:color w:val="000000" w:themeColor="text1"/>
              </w:rPr>
              <w:t xml:space="preserve"> </w:t>
            </w:r>
            <w:r w:rsidR="00D6248E" w:rsidRPr="00007049">
              <w:rPr>
                <w:rFonts w:ascii="Century Gothic" w:hAnsi="Century Gothic" w:cs="Arial"/>
                <w:color w:val="000000" w:themeColor="text1"/>
              </w:rPr>
              <w:t>La suma de $284.700.000, equivalente a 200 salarios mínimos legales mensuales vigentes (SMLMV), por concepto de perjuicios morales derivados del fallecimiento de la señora Giovanna Inés Motta Sánchez. Este valor se distribuye en 100 SMLMV para cada uno de sus familiares directos: Jesús Orlando Velásquez Escobar (cónyuge) y Nicolás Velásquez Motta (hijo). Lo anterior, teniendo en cuenta que la jurisprudencia del Consejo de Estado reconoce hasta el mondo de 100 SMLMV para cubrir los perjuicios morales que se le ocasionen a las victimas según su grado de consanguinidad</w:t>
            </w:r>
            <w:r w:rsidR="00D6248E">
              <w:rPr>
                <w:rFonts w:ascii="Century Gothic" w:hAnsi="Century Gothic" w:cs="Arial"/>
                <w:color w:val="000000" w:themeColor="text1"/>
              </w:rPr>
              <w:t xml:space="preserve">. </w:t>
            </w:r>
          </w:p>
          <w:p w14:paraId="2E8BE0EE" w14:textId="77777777" w:rsidR="00D6248E" w:rsidRPr="00D6248E" w:rsidRDefault="00D6248E" w:rsidP="009744C6">
            <w:pPr>
              <w:pStyle w:val="Prrafodelista"/>
              <w:spacing w:line="276" w:lineRule="auto"/>
              <w:jc w:val="both"/>
              <w:rPr>
                <w:rFonts w:ascii="Century Gothic" w:hAnsi="Century Gothic" w:cs="Arial"/>
                <w:color w:val="000000" w:themeColor="text1"/>
                <w:lang w:val="es-CO"/>
              </w:rPr>
            </w:pPr>
          </w:p>
          <w:p w14:paraId="75B5BF07" w14:textId="3B94E200" w:rsidR="00C96FD0" w:rsidRPr="00C96FD0" w:rsidRDefault="000B36D8" w:rsidP="00C96FD0">
            <w:pPr>
              <w:pStyle w:val="Prrafodelista"/>
              <w:spacing w:line="276" w:lineRule="auto"/>
              <w:ind w:left="360"/>
              <w:jc w:val="both"/>
              <w:rPr>
                <w:rFonts w:ascii="Century Gothic" w:hAnsi="Century Gothic"/>
                <w:sz w:val="22"/>
                <w:szCs w:val="22"/>
              </w:rPr>
            </w:pPr>
            <w:r w:rsidRPr="00C96FD0">
              <w:rPr>
                <w:rFonts w:ascii="Century Gothic" w:hAnsi="Century Gothic" w:cs="Arial"/>
                <w:b/>
                <w:bCs/>
                <w:color w:val="000000" w:themeColor="text1"/>
                <w:lang w:val="es-CO"/>
              </w:rPr>
              <w:t>Lucro Cesante:</w:t>
            </w:r>
            <w:r w:rsidRPr="00C96FD0">
              <w:rPr>
                <w:rFonts w:ascii="Century Gothic" w:hAnsi="Century Gothic" w:cs="Arial"/>
                <w:color w:val="000000" w:themeColor="text1"/>
                <w:lang w:val="es-CO"/>
              </w:rPr>
              <w:t xml:space="preserve"> La suma de </w:t>
            </w:r>
            <w:r w:rsidRPr="00C96FD0">
              <w:rPr>
                <w:rFonts w:ascii="Century Gothic" w:hAnsi="Century Gothic"/>
                <w:sz w:val="22"/>
                <w:szCs w:val="22"/>
                <w:lang w:val="es-CO"/>
              </w:rPr>
              <w:t>$</w:t>
            </w:r>
            <w:r w:rsidRPr="00C96FD0">
              <w:rPr>
                <w:rFonts w:ascii="Century Gothic" w:hAnsi="Century Gothic"/>
                <w:sz w:val="22"/>
                <w:szCs w:val="22"/>
              </w:rPr>
              <w:t>170.161.738,00 a título de lucro cesante a favor del cónyuge</w:t>
            </w:r>
            <w:r w:rsidR="00D6248E" w:rsidRPr="00C96FD0">
              <w:rPr>
                <w:rFonts w:ascii="Century Gothic" w:hAnsi="Century Gothic"/>
                <w:sz w:val="22"/>
                <w:szCs w:val="22"/>
              </w:rPr>
              <w:t xml:space="preserve">. Este solo en caso de acreditarse dentro del proceso. </w:t>
            </w:r>
            <w:r w:rsidR="00C96FD0" w:rsidRPr="00C96FD0">
              <w:rPr>
                <w:rFonts w:ascii="Century Gothic" w:hAnsi="Century Gothic"/>
                <w:sz w:val="22"/>
                <w:szCs w:val="22"/>
              </w:rPr>
              <w:t xml:space="preserve"> Se debe tener presente que, en sentencia del 27 de junio de 20</w:t>
            </w:r>
            <w:r w:rsidR="00AB553F">
              <w:rPr>
                <w:rFonts w:ascii="Century Gothic" w:hAnsi="Century Gothic"/>
                <w:sz w:val="22"/>
                <w:szCs w:val="22"/>
              </w:rPr>
              <w:t>1</w:t>
            </w:r>
            <w:r w:rsidR="00C96FD0" w:rsidRPr="00C96FD0">
              <w:rPr>
                <w:rFonts w:ascii="Century Gothic" w:hAnsi="Century Gothic"/>
                <w:sz w:val="22"/>
                <w:szCs w:val="22"/>
              </w:rPr>
              <w:t>7, con ponencia del Dr. Hernán Andrade, el Consejo de Estado ha señalado que la Sala unifica su posición en el sentido de que los perjuicios materiales derivados de la ausencia de la persona que actúa como “encargada de la economía y del cuidado del hogar”, y que se relacionen tanto con las actividades domésticas como con las labores de cuidado a su cargo, deben considerarse como lucro cesante en favor de quienes, de manera comprobada, se beneficien directamente de dichas actividades. Para tal efecto, se aplicará la presunción o inferencia de un (1) salario mínimo mensual legal vigente.</w:t>
            </w:r>
          </w:p>
          <w:p w14:paraId="3C5E7C8A" w14:textId="77777777" w:rsidR="00C96FD0" w:rsidRPr="00C96FD0" w:rsidRDefault="00C96FD0" w:rsidP="00C96FD0">
            <w:pPr>
              <w:pStyle w:val="Prrafodelista"/>
              <w:spacing w:line="276" w:lineRule="auto"/>
              <w:ind w:left="360"/>
              <w:jc w:val="both"/>
              <w:rPr>
                <w:rFonts w:ascii="Century Gothic" w:hAnsi="Century Gothic" w:cs="Arial"/>
                <w:color w:val="000000" w:themeColor="text1"/>
                <w:lang w:val="es-CO"/>
              </w:rPr>
            </w:pPr>
          </w:p>
          <w:p w14:paraId="763280B8" w14:textId="77777777" w:rsidR="00AD2BA6" w:rsidRPr="00AD2BA6" w:rsidRDefault="00AD2BA6" w:rsidP="00AD2BA6">
            <w:pPr>
              <w:spacing w:line="276" w:lineRule="auto"/>
              <w:jc w:val="both"/>
              <w:rPr>
                <w:rFonts w:ascii="Century Gothic" w:hAnsi="Century Gothic" w:cs="Arial"/>
                <w:color w:val="000000" w:themeColor="text1"/>
                <w:lang w:val="es-CO"/>
              </w:rPr>
            </w:pPr>
            <w:r w:rsidRPr="00AD2BA6">
              <w:rPr>
                <w:rFonts w:ascii="Century Gothic" w:hAnsi="Century Gothic" w:cs="Arial"/>
                <w:color w:val="000000" w:themeColor="text1"/>
                <w:lang w:val="es-CO"/>
              </w:rPr>
              <w:t>Actualmente, el proceso se califica como probable. Para determinar el valor objetivado de las pretensiones, se partió del monto total de $454.861.738. A este valor se le restó el 20%, resultando en $363.889.390,40.</w:t>
            </w:r>
          </w:p>
          <w:p w14:paraId="2317DA7D" w14:textId="77777777" w:rsidR="00AD2BA6" w:rsidRPr="00AD2BA6" w:rsidRDefault="00AD2BA6" w:rsidP="00AD2BA6">
            <w:pPr>
              <w:spacing w:line="276" w:lineRule="auto"/>
              <w:jc w:val="both"/>
              <w:rPr>
                <w:rFonts w:ascii="Century Gothic" w:hAnsi="Century Gothic" w:cs="Arial"/>
                <w:color w:val="000000" w:themeColor="text1"/>
                <w:lang w:val="es-CO"/>
              </w:rPr>
            </w:pPr>
          </w:p>
          <w:p w14:paraId="0A80FBD2" w14:textId="599ACF84" w:rsidR="00AD2BA6" w:rsidRPr="00AD2BA6" w:rsidRDefault="00AD2BA6" w:rsidP="00AD2BA6">
            <w:pPr>
              <w:spacing w:line="276" w:lineRule="auto"/>
              <w:jc w:val="both"/>
              <w:rPr>
                <w:rFonts w:ascii="Century Gothic" w:hAnsi="Century Gothic" w:cs="Arial"/>
                <w:color w:val="000000" w:themeColor="text1"/>
                <w:lang w:val="es-CO"/>
              </w:rPr>
            </w:pPr>
            <w:r w:rsidRPr="00AD2BA6">
              <w:rPr>
                <w:rFonts w:ascii="Century Gothic" w:hAnsi="Century Gothic" w:cs="Arial"/>
                <w:color w:val="000000" w:themeColor="text1"/>
                <w:lang w:val="es-CO"/>
              </w:rPr>
              <w:t>De acuerdo con las condiciones del seguro, se pactó un deducible del 10% sobre el valor de la pérdida o un mínimo de $150.000.000, aplicable al valor de $363.889.390,40. Al restar el mínimo de $150.000.000, se obtiene un valor final de $213.889.390,40, que constituye el valor objetivado de las pretensiones.</w:t>
            </w:r>
          </w:p>
          <w:p w14:paraId="31FF8AB1" w14:textId="12CDA4A8" w:rsidR="003436B9" w:rsidRPr="00AD2BA6" w:rsidRDefault="003436B9" w:rsidP="009744C6">
            <w:pPr>
              <w:spacing w:line="276" w:lineRule="auto"/>
              <w:jc w:val="both"/>
              <w:rPr>
                <w:rFonts w:ascii="Century Gothic" w:hAnsi="Century Gothic" w:cs="Arial"/>
                <w:color w:val="000000" w:themeColor="text1"/>
                <w:lang w:val="es-CO"/>
              </w:rPr>
            </w:pPr>
          </w:p>
        </w:tc>
      </w:tr>
    </w:tbl>
    <w:p w14:paraId="7273C5A1" w14:textId="77777777" w:rsidR="0095378E" w:rsidRPr="00866C32" w:rsidRDefault="0095378E" w:rsidP="009744C6">
      <w:pPr>
        <w:spacing w:line="276" w:lineRule="auto"/>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3B7F1A" w:rsidRPr="00866C32" w14:paraId="05674BEA" w14:textId="77777777" w:rsidTr="3D1942E6">
        <w:trPr>
          <w:trHeight w:val="321"/>
        </w:trPr>
        <w:tc>
          <w:tcPr>
            <w:tcW w:w="10207" w:type="dxa"/>
            <w:shd w:val="clear" w:color="auto" w:fill="C5E0B3" w:themeFill="accent6" w:themeFillTint="66"/>
            <w:vAlign w:val="center"/>
          </w:tcPr>
          <w:p w14:paraId="2BB97918" w14:textId="52E94393" w:rsidR="003B7F1A" w:rsidRPr="00866C32" w:rsidRDefault="003B7F1A" w:rsidP="009744C6">
            <w:pPr>
              <w:spacing w:line="276" w:lineRule="auto"/>
              <w:jc w:val="center"/>
              <w:rPr>
                <w:rFonts w:ascii="Century Gothic" w:hAnsi="Century Gothic"/>
                <w:sz w:val="22"/>
                <w:szCs w:val="22"/>
              </w:rPr>
            </w:pPr>
            <w:r w:rsidRPr="00866C32">
              <w:rPr>
                <w:rFonts w:ascii="Century Gothic" w:hAnsi="Century Gothic"/>
                <w:b/>
                <w:bCs/>
                <w:sz w:val="22"/>
                <w:szCs w:val="22"/>
              </w:rPr>
              <w:t>Excepciones</w:t>
            </w:r>
          </w:p>
        </w:tc>
      </w:tr>
      <w:tr w:rsidR="003B7F1A" w:rsidRPr="00866C32" w14:paraId="4AAD7549" w14:textId="77777777" w:rsidTr="008E0073">
        <w:trPr>
          <w:trHeight w:val="2126"/>
        </w:trPr>
        <w:tc>
          <w:tcPr>
            <w:tcW w:w="10207" w:type="dxa"/>
            <w:vAlign w:val="center"/>
          </w:tcPr>
          <w:p w14:paraId="4F58D893" w14:textId="77777777" w:rsidR="008113DF" w:rsidRPr="00866C32" w:rsidRDefault="008113DF" w:rsidP="009744C6">
            <w:pPr>
              <w:pStyle w:val="Prrafodelista"/>
              <w:spacing w:after="160" w:line="276" w:lineRule="auto"/>
              <w:rPr>
                <w:rFonts w:ascii="Century Gothic" w:hAnsi="Century Gothic" w:cs="Arial"/>
              </w:rPr>
            </w:pPr>
          </w:p>
          <w:p w14:paraId="20511345" w14:textId="1E795CD7" w:rsidR="00B04CAC" w:rsidRPr="00007049" w:rsidRDefault="00B04CAC" w:rsidP="009744C6">
            <w:pPr>
              <w:pStyle w:val="Prrafodelista"/>
              <w:spacing w:after="160" w:line="276" w:lineRule="auto"/>
              <w:rPr>
                <w:rFonts w:ascii="Century Gothic" w:hAnsi="Century Gothic" w:cs="Arial"/>
                <w:b/>
                <w:bCs/>
              </w:rPr>
            </w:pPr>
            <w:r w:rsidRPr="00007049">
              <w:rPr>
                <w:rFonts w:ascii="Century Gothic" w:hAnsi="Century Gothic" w:cs="Arial"/>
                <w:b/>
                <w:bCs/>
              </w:rPr>
              <w:t>EXCEPCIONES DE LA DEMANDA</w:t>
            </w:r>
          </w:p>
          <w:p w14:paraId="52743F4E" w14:textId="77777777" w:rsidR="008113DF" w:rsidRPr="00866C32" w:rsidRDefault="008113DF" w:rsidP="009744C6">
            <w:pPr>
              <w:pStyle w:val="Prrafodelista"/>
              <w:spacing w:after="160" w:line="276" w:lineRule="auto"/>
              <w:rPr>
                <w:rFonts w:ascii="Century Gothic" w:hAnsi="Century Gothic" w:cs="Arial"/>
              </w:rPr>
            </w:pPr>
          </w:p>
          <w:p w14:paraId="0C4AD271" w14:textId="77777777" w:rsidR="00007049" w:rsidRDefault="00007049" w:rsidP="009744C6">
            <w:pPr>
              <w:pStyle w:val="Prrafodelista"/>
              <w:numPr>
                <w:ilvl w:val="0"/>
                <w:numId w:val="14"/>
              </w:numPr>
              <w:spacing w:after="160" w:line="276" w:lineRule="auto"/>
              <w:rPr>
                <w:rFonts w:ascii="Century Gothic" w:hAnsi="Century Gothic" w:cs="Arial"/>
              </w:rPr>
            </w:pPr>
            <w:r w:rsidRPr="00007049">
              <w:rPr>
                <w:rFonts w:ascii="Century Gothic" w:hAnsi="Century Gothic" w:cs="Arial"/>
              </w:rPr>
              <w:t>INEXISTENCIA DE LA FALLA EN EL SERVICIO ALEGADA EN LA DEMANDA.</w:t>
            </w:r>
          </w:p>
          <w:p w14:paraId="56AEFAF9" w14:textId="7E36044D" w:rsidR="008113DF" w:rsidRPr="00866C32" w:rsidRDefault="00007049" w:rsidP="009744C6">
            <w:pPr>
              <w:pStyle w:val="Prrafodelista"/>
              <w:numPr>
                <w:ilvl w:val="0"/>
                <w:numId w:val="14"/>
              </w:numPr>
              <w:spacing w:after="160" w:line="276" w:lineRule="auto"/>
              <w:rPr>
                <w:rFonts w:ascii="Century Gothic" w:hAnsi="Century Gothic" w:cs="Arial"/>
              </w:rPr>
            </w:pPr>
            <w:r w:rsidRPr="00007049">
              <w:rPr>
                <w:rFonts w:ascii="Century Gothic" w:hAnsi="Century Gothic" w:cs="Arial"/>
              </w:rPr>
              <w:t xml:space="preserve">INEXISTENCIA DE RESPONSABILIDAD ADMINISTRATIVA DE LA E.P.S. SANITAS S.A. AL NO INCURRIR EN UN INCUMPLIMIENTO DE SUS OBLIGACIONES FRENTE A LA SEÑORA GIOVANNA INÉS MOTTA SÁNCHEZ. </w:t>
            </w:r>
            <w:r w:rsidR="008113DF" w:rsidRPr="00866C32">
              <w:rPr>
                <w:rFonts w:ascii="Century Gothic" w:hAnsi="Century Gothic" w:cs="Arial"/>
              </w:rPr>
              <w:t>INEXISTENCIA DE LA PERDIDA DE OPORTUNIDAD ALEGADA POR LA ACCIONANTE</w:t>
            </w:r>
          </w:p>
          <w:p w14:paraId="69F8E989" w14:textId="77777777" w:rsidR="00007049" w:rsidRDefault="00007049" w:rsidP="009744C6">
            <w:pPr>
              <w:pStyle w:val="Prrafodelista"/>
              <w:numPr>
                <w:ilvl w:val="0"/>
                <w:numId w:val="14"/>
              </w:numPr>
              <w:spacing w:after="160" w:line="276" w:lineRule="auto"/>
              <w:rPr>
                <w:rFonts w:ascii="Century Gothic" w:hAnsi="Century Gothic" w:cs="Arial"/>
              </w:rPr>
            </w:pPr>
            <w:r w:rsidRPr="00007049">
              <w:rPr>
                <w:rFonts w:ascii="Century Gothic" w:hAnsi="Century Gothic" w:cs="Arial"/>
              </w:rPr>
              <w:t xml:space="preserve">INEXISTENTE RELACIÓN DE CAUSALIDAD ENTRE EL DAÑO O PERJUICIO ALEGADO POR LA PARTE ACTORA Y LA E.P.S. SANITAS S.A., ENTIDAD QUE LLAMÓ EN GARANTÍA A MI REPRESENTADA. </w:t>
            </w:r>
          </w:p>
          <w:p w14:paraId="6FE8BE53" w14:textId="77777777" w:rsidR="00007049" w:rsidRDefault="00007049" w:rsidP="009744C6">
            <w:pPr>
              <w:pStyle w:val="Prrafodelista"/>
              <w:numPr>
                <w:ilvl w:val="0"/>
                <w:numId w:val="14"/>
              </w:numPr>
              <w:spacing w:after="160" w:line="276" w:lineRule="auto"/>
              <w:rPr>
                <w:rFonts w:ascii="Century Gothic" w:hAnsi="Century Gothic" w:cs="Arial"/>
              </w:rPr>
            </w:pPr>
            <w:r w:rsidRPr="00007049">
              <w:rPr>
                <w:rFonts w:ascii="Century Gothic" w:hAnsi="Century Gothic" w:cs="Arial"/>
              </w:rPr>
              <w:t xml:space="preserve">DESATENCIÓN DEL RÉGIMEN PROBATORIO Y JURÍDICO IMPERANTE EN ASUNTOS DE RESPONSABILIDAD MÉDICA – INCUMPLIMIENTO DEL DEBER DE PROBAR EL ERROR QUE SE LE ATRIBUYE A E.P.S. SANITAS S.A. </w:t>
            </w:r>
          </w:p>
          <w:p w14:paraId="2DEFD353" w14:textId="1B34308E" w:rsidR="00007049" w:rsidRDefault="00007049" w:rsidP="009744C6">
            <w:pPr>
              <w:pStyle w:val="Prrafodelista"/>
              <w:numPr>
                <w:ilvl w:val="0"/>
                <w:numId w:val="14"/>
              </w:numPr>
              <w:spacing w:after="160" w:line="276" w:lineRule="auto"/>
              <w:rPr>
                <w:rFonts w:ascii="Century Gothic" w:hAnsi="Century Gothic" w:cs="Arial"/>
              </w:rPr>
            </w:pPr>
            <w:r w:rsidRPr="00007049">
              <w:rPr>
                <w:rFonts w:ascii="Century Gothic" w:hAnsi="Century Gothic" w:cs="Arial"/>
              </w:rPr>
              <w:t>AUSENCIA DE CULPA POR PARTE DE E.P.S. SANITAS S.A.S.</w:t>
            </w:r>
          </w:p>
          <w:p w14:paraId="50C24F45" w14:textId="327D692C" w:rsidR="00007049" w:rsidRDefault="00007049" w:rsidP="009744C6">
            <w:pPr>
              <w:pStyle w:val="Prrafodelista"/>
              <w:numPr>
                <w:ilvl w:val="0"/>
                <w:numId w:val="14"/>
              </w:numPr>
              <w:spacing w:after="160" w:line="276" w:lineRule="auto"/>
              <w:rPr>
                <w:rFonts w:ascii="Century Gothic" w:hAnsi="Century Gothic" w:cs="Arial"/>
              </w:rPr>
            </w:pPr>
            <w:r w:rsidRPr="00007049">
              <w:rPr>
                <w:rFonts w:ascii="Century Gothic" w:hAnsi="Century Gothic" w:cs="Arial"/>
              </w:rPr>
              <w:t>AUSENCIA DE RESPONSABILIDAD DERIVADA DE PACTO CONTRACTUAL.</w:t>
            </w:r>
          </w:p>
          <w:p w14:paraId="554D3768" w14:textId="2EF5A223" w:rsidR="00007049" w:rsidRDefault="00007049" w:rsidP="009744C6">
            <w:pPr>
              <w:pStyle w:val="Prrafodelista"/>
              <w:numPr>
                <w:ilvl w:val="0"/>
                <w:numId w:val="14"/>
              </w:numPr>
              <w:spacing w:after="160" w:line="276" w:lineRule="auto"/>
              <w:rPr>
                <w:rFonts w:ascii="Century Gothic" w:hAnsi="Century Gothic" w:cs="Arial"/>
              </w:rPr>
            </w:pPr>
            <w:r w:rsidRPr="00007049">
              <w:rPr>
                <w:rFonts w:ascii="Century Gothic" w:hAnsi="Century Gothic" w:cs="Arial"/>
              </w:rPr>
              <w:t>IMPROCEDENCIA DEL RECONOCIMIENTO DE PERJUICIOS MORALES TODA VEZ QUE NO EXISTIÓ NI SE PROBÓ LA FALLA DEL SERVICIO ALEGADA</w:t>
            </w:r>
          </w:p>
          <w:p w14:paraId="0CD27D5A" w14:textId="1F823230" w:rsidR="00BB2608" w:rsidRPr="00866C32" w:rsidRDefault="008113DF" w:rsidP="009744C6">
            <w:pPr>
              <w:pStyle w:val="Prrafodelista"/>
              <w:numPr>
                <w:ilvl w:val="0"/>
                <w:numId w:val="14"/>
              </w:numPr>
              <w:spacing w:after="160" w:line="276" w:lineRule="auto"/>
              <w:rPr>
                <w:rFonts w:ascii="Century Gothic" w:hAnsi="Century Gothic" w:cs="Arial"/>
              </w:rPr>
            </w:pPr>
            <w:r w:rsidRPr="00866C32">
              <w:rPr>
                <w:rFonts w:ascii="Century Gothic" w:hAnsi="Century Gothic" w:cs="Arial"/>
              </w:rPr>
              <w:t>GENÉRICA O INNOMINADA</w:t>
            </w:r>
          </w:p>
          <w:p w14:paraId="11DD5C3B" w14:textId="77777777" w:rsidR="00BB2608" w:rsidRPr="00866C32" w:rsidRDefault="00BB2608" w:rsidP="009744C6">
            <w:pPr>
              <w:pStyle w:val="Prrafodelista"/>
              <w:spacing w:after="160" w:line="276" w:lineRule="auto"/>
              <w:rPr>
                <w:rFonts w:ascii="Century Gothic" w:hAnsi="Century Gothic" w:cs="Arial"/>
              </w:rPr>
            </w:pPr>
          </w:p>
          <w:p w14:paraId="6D6A7CE0" w14:textId="5744C5F1" w:rsidR="008113DF" w:rsidRPr="0072227A" w:rsidRDefault="00BB2608" w:rsidP="009744C6">
            <w:pPr>
              <w:spacing w:after="160" w:line="276" w:lineRule="auto"/>
              <w:rPr>
                <w:rFonts w:ascii="Century Gothic" w:hAnsi="Century Gothic" w:cs="Arial"/>
                <w:b/>
                <w:bCs/>
              </w:rPr>
            </w:pPr>
            <w:r w:rsidRPr="0072227A">
              <w:rPr>
                <w:rFonts w:ascii="Century Gothic" w:hAnsi="Century Gothic" w:cs="Arial"/>
                <w:b/>
                <w:bCs/>
              </w:rPr>
              <w:t xml:space="preserve">EXCEPCIONES DEL FRENTE AL LLAMAMIENTO EN GARANTÍA. </w:t>
            </w:r>
          </w:p>
          <w:p w14:paraId="18C21370" w14:textId="77777777" w:rsidR="0072227A" w:rsidRPr="00866C32" w:rsidRDefault="0072227A" w:rsidP="009744C6">
            <w:pPr>
              <w:spacing w:after="160" w:line="276" w:lineRule="auto"/>
              <w:rPr>
                <w:rFonts w:ascii="Century Gothic" w:hAnsi="Century Gothic" w:cs="Arial"/>
              </w:rPr>
            </w:pPr>
          </w:p>
          <w:p w14:paraId="7F2A3026" w14:textId="0BFB098C" w:rsidR="00BB2608" w:rsidRPr="00866C32" w:rsidRDefault="00007049" w:rsidP="009744C6">
            <w:pPr>
              <w:pStyle w:val="Prrafodelista"/>
              <w:numPr>
                <w:ilvl w:val="0"/>
                <w:numId w:val="20"/>
              </w:numPr>
              <w:spacing w:after="160" w:line="276" w:lineRule="auto"/>
              <w:ind w:left="741" w:hanging="426"/>
              <w:rPr>
                <w:rFonts w:ascii="Century Gothic" w:hAnsi="Century Gothic" w:cs="Arial"/>
              </w:rPr>
            </w:pPr>
            <w:r w:rsidRPr="00007049">
              <w:rPr>
                <w:rFonts w:ascii="Century Gothic" w:hAnsi="Century Gothic" w:cs="Arial"/>
              </w:rPr>
              <w:t>FALTA DE COBERTURA TEMPORAL DE LA POLIZA AA195705 Y SUS ANEXOS - AA612539, AA735177, AA757661, AA757678, AA782381, AA810302, AA810910 Y AA810910</w:t>
            </w:r>
            <w:r>
              <w:rPr>
                <w:rFonts w:ascii="Century Gothic" w:hAnsi="Century Gothic" w:cs="Arial"/>
              </w:rPr>
              <w:t>.</w:t>
            </w:r>
          </w:p>
          <w:p w14:paraId="7F49FDDA" w14:textId="77777777" w:rsidR="00007049" w:rsidRDefault="00007049" w:rsidP="009744C6">
            <w:pPr>
              <w:pStyle w:val="Prrafodelista"/>
              <w:numPr>
                <w:ilvl w:val="0"/>
                <w:numId w:val="20"/>
              </w:numPr>
              <w:spacing w:after="160" w:line="276" w:lineRule="auto"/>
              <w:ind w:left="741" w:hanging="426"/>
              <w:rPr>
                <w:rFonts w:ascii="Century Gothic" w:hAnsi="Century Gothic" w:cs="Arial"/>
              </w:rPr>
            </w:pPr>
            <w:r w:rsidRPr="00007049">
              <w:rPr>
                <w:rFonts w:ascii="Century Gothic" w:hAnsi="Century Gothic" w:cs="Arial"/>
              </w:rPr>
              <w:t xml:space="preserve">FALTA DE COBERTURA MATERIAL Y, POR CONSIGUIENTE, DE OBLIGACIÓN INDEMNIZATORIA LA PÓLIZA N° AA195705, FACTURA No. AA811422, POR CUANTO SE MATERIALIZARON LAS EXCLUSIONES CONTENIDAS EN EL CONTRATO DE SEGURO. </w:t>
            </w:r>
          </w:p>
          <w:p w14:paraId="24C7E8DE" w14:textId="232937AF" w:rsidR="00BB2608" w:rsidRPr="00866C32" w:rsidRDefault="008113DF" w:rsidP="009744C6">
            <w:pPr>
              <w:pStyle w:val="Prrafodelista"/>
              <w:numPr>
                <w:ilvl w:val="0"/>
                <w:numId w:val="20"/>
              </w:numPr>
              <w:spacing w:after="160" w:line="276" w:lineRule="auto"/>
              <w:ind w:left="741" w:hanging="426"/>
              <w:rPr>
                <w:rFonts w:ascii="Century Gothic" w:hAnsi="Century Gothic" w:cs="Arial"/>
              </w:rPr>
            </w:pPr>
            <w:r w:rsidRPr="00866C32">
              <w:rPr>
                <w:rFonts w:ascii="Century Gothic" w:hAnsi="Century Gothic" w:cs="Arial"/>
              </w:rPr>
              <w:t>NO EXISTE OBLIGACIÓN INDEMNIZATORIA A CARGO DE LA EQUIDAD SEGUROS GENERALES O.C., TODA VEZ QUE NO SE HA REALIZADO EL RIESGO ASEGURADO LA PÓLIZA N° AA195705 Y SUS ANEXOS.</w:t>
            </w:r>
          </w:p>
          <w:p w14:paraId="28BC37EA" w14:textId="77777777" w:rsidR="00007049" w:rsidRDefault="00007049" w:rsidP="009744C6">
            <w:pPr>
              <w:pStyle w:val="Prrafodelista"/>
              <w:numPr>
                <w:ilvl w:val="0"/>
                <w:numId w:val="20"/>
              </w:numPr>
              <w:spacing w:after="160" w:line="276" w:lineRule="auto"/>
              <w:ind w:left="741" w:hanging="426"/>
              <w:rPr>
                <w:rFonts w:ascii="Century Gothic" w:hAnsi="Century Gothic" w:cs="Arial"/>
              </w:rPr>
            </w:pPr>
            <w:r w:rsidRPr="00007049">
              <w:rPr>
                <w:rFonts w:ascii="Century Gothic" w:hAnsi="Century Gothic" w:cs="Arial"/>
              </w:rPr>
              <w:t>LÍMITE DE COBERTURA: IMPOSIBILIDAD DE EXCEDER EL VALOR ASEGURADO EN LA POLIZA No. AA195705 Y SUS ANEXOS.</w:t>
            </w:r>
          </w:p>
          <w:p w14:paraId="0121316E" w14:textId="4531F621" w:rsidR="00BB2608" w:rsidRPr="00866C32" w:rsidRDefault="008113DF" w:rsidP="009744C6">
            <w:pPr>
              <w:pStyle w:val="Prrafodelista"/>
              <w:numPr>
                <w:ilvl w:val="0"/>
                <w:numId w:val="20"/>
              </w:numPr>
              <w:spacing w:after="160" w:line="276" w:lineRule="auto"/>
              <w:ind w:left="741" w:hanging="426"/>
              <w:rPr>
                <w:rFonts w:ascii="Century Gothic" w:hAnsi="Century Gothic" w:cs="Arial"/>
              </w:rPr>
            </w:pPr>
            <w:r w:rsidRPr="00866C32">
              <w:rPr>
                <w:rFonts w:ascii="Century Gothic" w:hAnsi="Century Gothic" w:cs="Arial"/>
              </w:rPr>
              <w:t xml:space="preserve">EN LA POLIZA No. AA195705 Y SUS ANEXOS SE PACTÓ UN DEDUCIBLE PACTADO. </w:t>
            </w:r>
          </w:p>
          <w:p w14:paraId="013FE91D" w14:textId="77777777" w:rsidR="00BB2608" w:rsidRPr="00866C32" w:rsidRDefault="008113DF" w:rsidP="009744C6">
            <w:pPr>
              <w:pStyle w:val="Prrafodelista"/>
              <w:numPr>
                <w:ilvl w:val="0"/>
                <w:numId w:val="20"/>
              </w:numPr>
              <w:spacing w:after="160" w:line="276" w:lineRule="auto"/>
              <w:ind w:left="741" w:hanging="426"/>
              <w:rPr>
                <w:rFonts w:ascii="Century Gothic" w:hAnsi="Century Gothic" w:cs="Arial"/>
              </w:rPr>
            </w:pPr>
            <w:r w:rsidRPr="00866C32">
              <w:rPr>
                <w:rFonts w:ascii="Century Gothic" w:hAnsi="Century Gothic" w:cs="Arial"/>
              </w:rPr>
              <w:t>CARÁCTER MERAMENTE INDEMNIZATORIO QUE REVISTEN LOS CONTRATOS DE SEGUROS.</w:t>
            </w:r>
          </w:p>
          <w:p w14:paraId="61BD6F6A" w14:textId="77777777" w:rsidR="00BB2608" w:rsidRPr="00866C32" w:rsidRDefault="008113DF" w:rsidP="009744C6">
            <w:pPr>
              <w:pStyle w:val="Prrafodelista"/>
              <w:numPr>
                <w:ilvl w:val="0"/>
                <w:numId w:val="20"/>
              </w:numPr>
              <w:spacing w:after="160" w:line="276" w:lineRule="auto"/>
              <w:ind w:left="741" w:hanging="426"/>
              <w:rPr>
                <w:rFonts w:ascii="Century Gothic" w:hAnsi="Century Gothic" w:cs="Arial"/>
              </w:rPr>
            </w:pPr>
            <w:r w:rsidRPr="00866C32">
              <w:rPr>
                <w:rFonts w:ascii="Century Gothic" w:hAnsi="Century Gothic" w:cs="Arial"/>
              </w:rPr>
              <w:t>INEXISTENCIA DE SOLIDARIDAD ENTRE MI MANDANTE Y LOS DEMÁS DEMANDADOS INEXISTENCIA DE SOLIDARIDAD EN EL MARCO DEL CONTRATO DE SEGURO.</w:t>
            </w:r>
          </w:p>
          <w:p w14:paraId="63B519F3" w14:textId="77777777" w:rsidR="00BB2608" w:rsidRPr="00866C32" w:rsidRDefault="008113DF" w:rsidP="009744C6">
            <w:pPr>
              <w:pStyle w:val="Prrafodelista"/>
              <w:numPr>
                <w:ilvl w:val="0"/>
                <w:numId w:val="20"/>
              </w:numPr>
              <w:spacing w:after="160" w:line="276" w:lineRule="auto"/>
              <w:ind w:left="741" w:hanging="426"/>
              <w:rPr>
                <w:rFonts w:ascii="Century Gothic" w:hAnsi="Century Gothic" w:cs="Arial"/>
              </w:rPr>
            </w:pPr>
            <w:r w:rsidRPr="00866C32">
              <w:rPr>
                <w:rFonts w:ascii="Century Gothic" w:hAnsi="Century Gothic" w:cs="Arial"/>
              </w:rPr>
              <w:t>DISPONIBILIDAD DEL VALOR ASEGURADO</w:t>
            </w:r>
          </w:p>
          <w:p w14:paraId="7D3BFB9D" w14:textId="77777777" w:rsidR="00BB2608" w:rsidRPr="00866C32" w:rsidRDefault="008113DF" w:rsidP="009744C6">
            <w:pPr>
              <w:pStyle w:val="Prrafodelista"/>
              <w:numPr>
                <w:ilvl w:val="0"/>
                <w:numId w:val="20"/>
              </w:numPr>
              <w:spacing w:after="160" w:line="276" w:lineRule="auto"/>
              <w:ind w:left="741" w:hanging="426"/>
              <w:rPr>
                <w:rFonts w:ascii="Century Gothic" w:hAnsi="Century Gothic" w:cs="Arial"/>
              </w:rPr>
            </w:pPr>
            <w:r w:rsidRPr="00866C32">
              <w:rPr>
                <w:rFonts w:ascii="Century Gothic" w:hAnsi="Century Gothic" w:cs="Arial"/>
              </w:rPr>
              <w:t>PAGO POR REEMBOLSO</w:t>
            </w:r>
          </w:p>
          <w:p w14:paraId="52CE2D52" w14:textId="6FE3099F" w:rsidR="003631BB" w:rsidRPr="008E0073" w:rsidRDefault="008113DF" w:rsidP="009744C6">
            <w:pPr>
              <w:pStyle w:val="Prrafodelista"/>
              <w:numPr>
                <w:ilvl w:val="0"/>
                <w:numId w:val="20"/>
              </w:numPr>
              <w:spacing w:after="160" w:line="276" w:lineRule="auto"/>
              <w:ind w:left="741" w:hanging="426"/>
              <w:rPr>
                <w:rFonts w:ascii="Century Gothic" w:hAnsi="Century Gothic" w:cs="Arial"/>
              </w:rPr>
            </w:pPr>
            <w:r w:rsidRPr="00866C32">
              <w:rPr>
                <w:rFonts w:ascii="Century Gothic" w:hAnsi="Century Gothic" w:cs="Arial"/>
              </w:rPr>
              <w:t>GENÉRICA O INNOMINAD</w:t>
            </w:r>
            <w:r w:rsidR="008E0073">
              <w:rPr>
                <w:rFonts w:ascii="Century Gothic" w:hAnsi="Century Gothic" w:cs="Arial"/>
              </w:rPr>
              <w:t>A</w:t>
            </w:r>
          </w:p>
        </w:tc>
      </w:tr>
    </w:tbl>
    <w:p w14:paraId="0AA122B4" w14:textId="77777777" w:rsidR="00F67EF8" w:rsidRPr="00866C32" w:rsidRDefault="00F67EF8" w:rsidP="009744C6">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866C32" w14:paraId="4B531C7D" w14:textId="77777777" w:rsidTr="3D1942E6">
        <w:trPr>
          <w:trHeight w:val="454"/>
        </w:trPr>
        <w:tc>
          <w:tcPr>
            <w:tcW w:w="3266" w:type="dxa"/>
            <w:vAlign w:val="center"/>
            <w:hideMark/>
          </w:tcPr>
          <w:p w14:paraId="3F99B56F" w14:textId="1315CCDB" w:rsidR="00EE687D" w:rsidRPr="00866C32" w:rsidRDefault="006F0CAA"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15B171D" w:rsidR="00EE687D" w:rsidRPr="00866C32" w:rsidRDefault="00EE687D" w:rsidP="009744C6">
            <w:pPr>
              <w:spacing w:line="276" w:lineRule="auto"/>
              <w:jc w:val="both"/>
              <w:rPr>
                <w:rFonts w:ascii="Century Gothic" w:hAnsi="Century Gothic" w:cs="Segoe UI"/>
                <w:sz w:val="22"/>
                <w:szCs w:val="22"/>
                <w:lang w:eastAsia="es-CO"/>
              </w:rPr>
            </w:pPr>
          </w:p>
        </w:tc>
      </w:tr>
      <w:tr w:rsidR="006F0CAA" w:rsidRPr="00866C32" w14:paraId="7A21B905" w14:textId="77777777" w:rsidTr="3D1942E6">
        <w:trPr>
          <w:trHeight w:val="454"/>
        </w:trPr>
        <w:tc>
          <w:tcPr>
            <w:tcW w:w="3266" w:type="dxa"/>
            <w:vAlign w:val="center"/>
          </w:tcPr>
          <w:p w14:paraId="533380A9" w14:textId="7103E52D" w:rsidR="006F0CAA" w:rsidRPr="00866C32" w:rsidRDefault="006F0CAA" w:rsidP="009744C6">
            <w:pPr>
              <w:spacing w:line="276" w:lineRule="auto"/>
              <w:jc w:val="both"/>
              <w:textAlignment w:val="baseline"/>
              <w:rPr>
                <w:rFonts w:ascii="Century Gothic" w:hAnsi="Century Gothic"/>
                <w:b/>
                <w:bCs/>
                <w:color w:val="000000"/>
                <w:sz w:val="22"/>
                <w:szCs w:val="22"/>
                <w:shd w:val="clear" w:color="auto" w:fill="FFFFFF"/>
                <w:lang w:val="es-ES" w:eastAsia="es-CO"/>
              </w:rPr>
            </w:pPr>
            <w:r w:rsidRPr="00866C32">
              <w:rPr>
                <w:rFonts w:ascii="Century Gothic" w:hAnsi="Century Gothic"/>
                <w:b/>
                <w:bCs/>
                <w:color w:val="000000"/>
                <w:sz w:val="22"/>
                <w:szCs w:val="22"/>
                <w:shd w:val="clear" w:color="auto" w:fill="FFFFFF"/>
                <w:lang w:val="es-ES" w:eastAsia="es-CO"/>
              </w:rPr>
              <w:t xml:space="preserve">Caso </w:t>
            </w:r>
            <w:proofErr w:type="spellStart"/>
            <w:r w:rsidRPr="00866C32">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0FB5F971" w:rsidR="006F0CAA" w:rsidRPr="00866C32" w:rsidRDefault="006F0CAA" w:rsidP="009744C6">
            <w:pPr>
              <w:spacing w:line="276" w:lineRule="auto"/>
              <w:jc w:val="both"/>
              <w:rPr>
                <w:rFonts w:ascii="Century Gothic" w:hAnsi="Century Gothic" w:cs="Segoe UI"/>
                <w:sz w:val="22"/>
                <w:szCs w:val="22"/>
                <w:lang w:eastAsia="es-CO"/>
              </w:rPr>
            </w:pPr>
          </w:p>
        </w:tc>
      </w:tr>
      <w:tr w:rsidR="00EE687D" w:rsidRPr="00866C32" w14:paraId="00877764" w14:textId="77777777" w:rsidTr="3D1942E6">
        <w:trPr>
          <w:trHeight w:val="454"/>
        </w:trPr>
        <w:tc>
          <w:tcPr>
            <w:tcW w:w="3266" w:type="dxa"/>
            <w:vAlign w:val="center"/>
            <w:hideMark/>
          </w:tcPr>
          <w:p w14:paraId="749E810E" w14:textId="77777777" w:rsidR="00EE687D" w:rsidRPr="00866C32" w:rsidRDefault="00EE687D"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Póliza</w:t>
            </w:r>
          </w:p>
        </w:tc>
        <w:tc>
          <w:tcPr>
            <w:tcW w:w="6941" w:type="dxa"/>
            <w:vAlign w:val="center"/>
          </w:tcPr>
          <w:p w14:paraId="7FC9EC9E" w14:textId="69C3EC80" w:rsidR="00EE687D" w:rsidRPr="00866C32" w:rsidRDefault="00BB2608" w:rsidP="009744C6">
            <w:pPr>
              <w:spacing w:line="276" w:lineRule="auto"/>
              <w:rPr>
                <w:rFonts w:ascii="Century Gothic" w:hAnsi="Century Gothic"/>
                <w:sz w:val="22"/>
                <w:szCs w:val="22"/>
                <w:lang w:val="es-CO"/>
              </w:rPr>
            </w:pPr>
            <w:r w:rsidRPr="00866C32">
              <w:rPr>
                <w:rFonts w:ascii="Century Gothic" w:hAnsi="Century Gothic"/>
                <w:sz w:val="22"/>
                <w:szCs w:val="22"/>
                <w:lang w:val="es-CO"/>
              </w:rPr>
              <w:t>AA195705</w:t>
            </w:r>
          </w:p>
        </w:tc>
      </w:tr>
      <w:tr w:rsidR="00EE687D" w:rsidRPr="00866C32" w14:paraId="3260B646" w14:textId="77777777" w:rsidTr="3D1942E6">
        <w:trPr>
          <w:trHeight w:val="454"/>
        </w:trPr>
        <w:tc>
          <w:tcPr>
            <w:tcW w:w="3266" w:type="dxa"/>
            <w:vAlign w:val="center"/>
            <w:hideMark/>
          </w:tcPr>
          <w:p w14:paraId="67FBF2E5" w14:textId="77777777" w:rsidR="00EE687D" w:rsidRPr="00866C32" w:rsidRDefault="00EE687D"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038FD02" w:rsidR="00EE687D" w:rsidRPr="00866C32" w:rsidRDefault="00B04CAC" w:rsidP="009744C6">
            <w:pPr>
              <w:pStyle w:val="NormalWeb"/>
              <w:spacing w:line="276" w:lineRule="auto"/>
              <w:rPr>
                <w:rFonts w:ascii="Century Gothic" w:hAnsi="Century Gothic" w:cs="Segoe UI"/>
                <w:color w:val="242424"/>
              </w:rPr>
            </w:pPr>
            <w:r w:rsidRPr="00866C32">
              <w:rPr>
                <w:rFonts w:ascii="Century Gothic" w:hAnsi="Century Gothic" w:cs="Segoe UI"/>
                <w:sz w:val="21"/>
                <w:szCs w:val="21"/>
                <w:bdr w:val="none" w:sz="0" w:space="0" w:color="auto" w:frame="1"/>
              </w:rPr>
              <w:br/>
            </w:r>
            <w:r w:rsidR="008E0073" w:rsidRPr="008E0073">
              <w:rPr>
                <w:rFonts w:ascii="Century Gothic" w:hAnsi="Century Gothic" w:cs="Segoe UI"/>
                <w:color w:val="242424"/>
                <w:lang w:val="es-ES_tradnl"/>
              </w:rPr>
              <w:t>AA939629</w:t>
            </w:r>
          </w:p>
        </w:tc>
      </w:tr>
      <w:tr w:rsidR="00EE687D" w:rsidRPr="00866C32" w14:paraId="0BC7C6A3" w14:textId="77777777" w:rsidTr="3D1942E6">
        <w:trPr>
          <w:trHeight w:val="454"/>
        </w:trPr>
        <w:tc>
          <w:tcPr>
            <w:tcW w:w="3266" w:type="dxa"/>
            <w:vAlign w:val="center"/>
            <w:hideMark/>
          </w:tcPr>
          <w:p w14:paraId="433D63BC" w14:textId="77777777" w:rsidR="00EE687D" w:rsidRPr="00866C32" w:rsidRDefault="00EE687D"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866C32" w:rsidRDefault="003631BB" w:rsidP="009744C6">
            <w:pPr>
              <w:spacing w:line="276" w:lineRule="auto"/>
              <w:jc w:val="both"/>
              <w:rPr>
                <w:rFonts w:ascii="Century Gothic" w:hAnsi="Century Gothic" w:cs="Segoe UI"/>
                <w:sz w:val="22"/>
                <w:szCs w:val="22"/>
                <w:lang w:eastAsia="es-CO"/>
              </w:rPr>
            </w:pPr>
            <w:r w:rsidRPr="00866C32">
              <w:rPr>
                <w:rFonts w:ascii="Century Gothic" w:hAnsi="Century Gothic" w:cs="Segoe UI"/>
                <w:sz w:val="22"/>
                <w:szCs w:val="22"/>
                <w:lang w:eastAsia="es-CO"/>
              </w:rPr>
              <w:t>1</w:t>
            </w:r>
          </w:p>
        </w:tc>
      </w:tr>
      <w:tr w:rsidR="00B90E05" w:rsidRPr="00866C32" w14:paraId="3ACEF28A" w14:textId="77777777" w:rsidTr="3D1942E6">
        <w:trPr>
          <w:trHeight w:val="454"/>
        </w:trPr>
        <w:tc>
          <w:tcPr>
            <w:tcW w:w="3266" w:type="dxa"/>
            <w:vAlign w:val="center"/>
          </w:tcPr>
          <w:p w14:paraId="0881BFDC" w14:textId="40C44F4A" w:rsidR="00B90E05" w:rsidRPr="00866C32" w:rsidRDefault="00B90E05" w:rsidP="009744C6">
            <w:pPr>
              <w:spacing w:line="276" w:lineRule="auto"/>
              <w:jc w:val="both"/>
              <w:textAlignment w:val="baseline"/>
              <w:rPr>
                <w:rFonts w:ascii="Century Gothic" w:hAnsi="Century Gothic"/>
                <w:b/>
                <w:bCs/>
                <w:color w:val="000000"/>
                <w:sz w:val="22"/>
                <w:szCs w:val="22"/>
                <w:shd w:val="clear" w:color="auto" w:fill="FFFFFF"/>
                <w:lang w:eastAsia="es-CO"/>
              </w:rPr>
            </w:pPr>
            <w:r w:rsidRPr="00866C32">
              <w:rPr>
                <w:rFonts w:ascii="Century Gothic" w:hAnsi="Century Gothic"/>
                <w:b/>
                <w:bCs/>
                <w:color w:val="000000"/>
                <w:sz w:val="22"/>
                <w:szCs w:val="22"/>
                <w:shd w:val="clear" w:color="auto" w:fill="FFFFFF"/>
                <w:lang w:eastAsia="es-CO"/>
              </w:rPr>
              <w:t>Sucursal</w:t>
            </w:r>
          </w:p>
        </w:tc>
        <w:tc>
          <w:tcPr>
            <w:tcW w:w="6941" w:type="dxa"/>
            <w:vAlign w:val="center"/>
          </w:tcPr>
          <w:p w14:paraId="74AA0D59" w14:textId="087A3043" w:rsidR="00B90E05" w:rsidRPr="00866C32" w:rsidRDefault="00866C32" w:rsidP="009744C6">
            <w:pPr>
              <w:spacing w:line="276" w:lineRule="auto"/>
              <w:jc w:val="both"/>
              <w:rPr>
                <w:rFonts w:ascii="Century Gothic" w:hAnsi="Century Gothic" w:cs="Segoe UI"/>
                <w:sz w:val="22"/>
                <w:szCs w:val="22"/>
                <w:lang w:val="es-CO" w:eastAsia="es-CO"/>
              </w:rPr>
            </w:pPr>
            <w:r w:rsidRPr="00866C32">
              <w:rPr>
                <w:rFonts w:ascii="Century Gothic" w:hAnsi="Century Gothic" w:cs="Segoe UI"/>
                <w:sz w:val="22"/>
                <w:szCs w:val="22"/>
                <w:lang w:val="es-CO" w:eastAsia="es-CO"/>
              </w:rPr>
              <w:t>Bogotá Calle 100</w:t>
            </w:r>
          </w:p>
        </w:tc>
      </w:tr>
      <w:tr w:rsidR="00EE687D" w:rsidRPr="00866C32" w14:paraId="4BCD09C7" w14:textId="77777777" w:rsidTr="3D1942E6">
        <w:trPr>
          <w:trHeight w:val="454"/>
        </w:trPr>
        <w:tc>
          <w:tcPr>
            <w:tcW w:w="3266" w:type="dxa"/>
            <w:vAlign w:val="center"/>
            <w:hideMark/>
          </w:tcPr>
          <w:p w14:paraId="0A1C1E81" w14:textId="17519C67" w:rsidR="00EE687D" w:rsidRPr="00866C32" w:rsidRDefault="001C44B4"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866C32" w:rsidRDefault="002E1D2C" w:rsidP="009744C6">
            <w:pPr>
              <w:spacing w:line="276" w:lineRule="auto"/>
              <w:jc w:val="both"/>
              <w:rPr>
                <w:rFonts w:ascii="Century Gothic" w:hAnsi="Century Gothic" w:cs="Segoe UI"/>
                <w:sz w:val="22"/>
                <w:szCs w:val="22"/>
                <w:lang w:eastAsia="es-CO"/>
              </w:rPr>
            </w:pPr>
            <w:r w:rsidRPr="00866C32">
              <w:rPr>
                <w:rFonts w:ascii="Century Gothic" w:hAnsi="Century Gothic" w:cs="Segoe UI"/>
                <w:sz w:val="22"/>
                <w:szCs w:val="22"/>
                <w:lang w:eastAsia="es-CO"/>
              </w:rPr>
              <w:t>N/A</w:t>
            </w:r>
          </w:p>
        </w:tc>
      </w:tr>
      <w:tr w:rsidR="001C44B4" w:rsidRPr="00866C32" w14:paraId="0BA9ECEE" w14:textId="77777777" w:rsidTr="3D1942E6">
        <w:trPr>
          <w:trHeight w:val="454"/>
        </w:trPr>
        <w:tc>
          <w:tcPr>
            <w:tcW w:w="3266" w:type="dxa"/>
            <w:vAlign w:val="center"/>
          </w:tcPr>
          <w:p w14:paraId="7B70AF59" w14:textId="749D67BE" w:rsidR="001C44B4" w:rsidRPr="00866C32" w:rsidRDefault="001C44B4" w:rsidP="009744C6">
            <w:pPr>
              <w:spacing w:line="276" w:lineRule="auto"/>
              <w:jc w:val="both"/>
              <w:textAlignment w:val="baseline"/>
              <w:rPr>
                <w:rFonts w:ascii="Century Gothic" w:hAnsi="Century Gothic"/>
                <w:b/>
                <w:bCs/>
                <w:color w:val="000000"/>
                <w:sz w:val="22"/>
                <w:szCs w:val="22"/>
                <w:shd w:val="clear" w:color="auto" w:fill="FFFFFF"/>
                <w:lang w:eastAsia="es-CO"/>
              </w:rPr>
            </w:pPr>
            <w:r w:rsidRPr="00866C32">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81B1232" w:rsidR="001C44B4" w:rsidRPr="00866C32" w:rsidRDefault="008E0073" w:rsidP="009744C6">
            <w:pPr>
              <w:spacing w:line="276" w:lineRule="auto"/>
              <w:rPr>
                <w:rFonts w:ascii="Century Gothic" w:hAnsi="Century Gothic" w:cs="Segoe UI"/>
                <w:sz w:val="22"/>
                <w:szCs w:val="22"/>
                <w:lang w:val="es-CO" w:eastAsia="es-CO"/>
              </w:rPr>
            </w:pPr>
            <w:r>
              <w:rPr>
                <w:rFonts w:ascii="Century Gothic" w:hAnsi="Century Gothic" w:cs="Segoe UI"/>
                <w:sz w:val="22"/>
                <w:szCs w:val="22"/>
                <w:lang w:val="es-CO" w:eastAsia="es-CO"/>
              </w:rPr>
              <w:t>6/10/2020</w:t>
            </w:r>
          </w:p>
        </w:tc>
      </w:tr>
      <w:tr w:rsidR="001C44B4" w:rsidRPr="00866C32" w14:paraId="05412033" w14:textId="77777777" w:rsidTr="3D1942E6">
        <w:trPr>
          <w:trHeight w:val="454"/>
        </w:trPr>
        <w:tc>
          <w:tcPr>
            <w:tcW w:w="3266" w:type="dxa"/>
            <w:vAlign w:val="center"/>
          </w:tcPr>
          <w:p w14:paraId="43E688BB" w14:textId="54B02C3E" w:rsidR="001C44B4" w:rsidRPr="00866C32" w:rsidRDefault="001C44B4" w:rsidP="009744C6">
            <w:pPr>
              <w:spacing w:line="276" w:lineRule="auto"/>
              <w:jc w:val="both"/>
              <w:textAlignment w:val="baseline"/>
              <w:rPr>
                <w:rFonts w:ascii="Century Gothic" w:hAnsi="Century Gothic"/>
                <w:b/>
                <w:bCs/>
                <w:color w:val="000000"/>
                <w:sz w:val="22"/>
                <w:szCs w:val="22"/>
                <w:shd w:val="clear" w:color="auto" w:fill="FFFFFF"/>
                <w:lang w:eastAsia="es-CO"/>
              </w:rPr>
            </w:pPr>
            <w:r w:rsidRPr="00866C32">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7026C62" w:rsidR="001C44B4" w:rsidRPr="00866C32" w:rsidRDefault="00B04CAC" w:rsidP="009744C6">
            <w:pPr>
              <w:pStyle w:val="NormalWeb"/>
              <w:spacing w:line="276" w:lineRule="auto"/>
              <w:rPr>
                <w:rFonts w:ascii="Century Gothic" w:hAnsi="Century Gothic" w:cs="Segoe UI"/>
                <w:color w:val="242424"/>
              </w:rPr>
            </w:pPr>
            <w:r w:rsidRPr="00866C32">
              <w:rPr>
                <w:rFonts w:ascii="Century Gothic" w:hAnsi="Century Gothic" w:cs="Segoe UI"/>
                <w:color w:val="242424"/>
                <w:sz w:val="21"/>
                <w:szCs w:val="21"/>
                <w:bdr w:val="none" w:sz="0" w:space="0" w:color="auto" w:frame="1"/>
              </w:rPr>
              <w:br/>
            </w:r>
          </w:p>
        </w:tc>
      </w:tr>
      <w:tr w:rsidR="001C44B4" w:rsidRPr="00866C32" w14:paraId="6DB6B020" w14:textId="77777777" w:rsidTr="3D1942E6">
        <w:trPr>
          <w:trHeight w:val="454"/>
        </w:trPr>
        <w:tc>
          <w:tcPr>
            <w:tcW w:w="3266" w:type="dxa"/>
            <w:vAlign w:val="center"/>
          </w:tcPr>
          <w:p w14:paraId="13FCE7D8" w14:textId="6EA7D194" w:rsidR="001C44B4" w:rsidRPr="00866C32" w:rsidRDefault="001C44B4" w:rsidP="009744C6">
            <w:pPr>
              <w:spacing w:line="276" w:lineRule="auto"/>
              <w:jc w:val="both"/>
              <w:textAlignment w:val="baseline"/>
              <w:rPr>
                <w:rFonts w:ascii="Century Gothic" w:hAnsi="Century Gothic"/>
                <w:b/>
                <w:bCs/>
                <w:color w:val="000000"/>
                <w:sz w:val="22"/>
                <w:szCs w:val="22"/>
                <w:shd w:val="clear" w:color="auto" w:fill="FFFFFF"/>
                <w:lang w:eastAsia="es-CO"/>
              </w:rPr>
            </w:pPr>
            <w:r w:rsidRPr="00866C32">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866C32" w:rsidRDefault="003631BB" w:rsidP="009744C6">
            <w:pPr>
              <w:spacing w:line="276" w:lineRule="auto"/>
              <w:rPr>
                <w:rFonts w:ascii="Century Gothic" w:hAnsi="Century Gothic" w:cs="Segoe UI"/>
                <w:sz w:val="22"/>
                <w:szCs w:val="22"/>
                <w:lang w:eastAsia="es-CO"/>
              </w:rPr>
            </w:pPr>
            <w:r w:rsidRPr="00866C32">
              <w:rPr>
                <w:rFonts w:ascii="Century Gothic" w:hAnsi="Century Gothic" w:cs="Segoe UI"/>
                <w:sz w:val="22"/>
                <w:szCs w:val="22"/>
                <w:lang w:eastAsia="es-CO"/>
              </w:rPr>
              <w:t>FACULTATIVO</w:t>
            </w:r>
          </w:p>
        </w:tc>
      </w:tr>
      <w:tr w:rsidR="001C44B4" w:rsidRPr="00866C32" w14:paraId="2F1DA9E6" w14:textId="77777777" w:rsidTr="3D1942E6">
        <w:trPr>
          <w:trHeight w:val="454"/>
        </w:trPr>
        <w:tc>
          <w:tcPr>
            <w:tcW w:w="3266" w:type="dxa"/>
            <w:vAlign w:val="center"/>
          </w:tcPr>
          <w:p w14:paraId="3ECF2237" w14:textId="5FB6285C" w:rsidR="001C44B4" w:rsidRPr="00866C32" w:rsidRDefault="008B685D" w:rsidP="009744C6">
            <w:pPr>
              <w:spacing w:line="276" w:lineRule="auto"/>
              <w:jc w:val="both"/>
              <w:textAlignment w:val="baseline"/>
              <w:rPr>
                <w:rFonts w:ascii="Century Gothic" w:hAnsi="Century Gothic"/>
                <w:b/>
                <w:bCs/>
                <w:color w:val="000000"/>
                <w:sz w:val="22"/>
                <w:szCs w:val="22"/>
                <w:shd w:val="clear" w:color="auto" w:fill="FFFFFF"/>
                <w:lang w:eastAsia="es-CO"/>
              </w:rPr>
            </w:pPr>
            <w:r w:rsidRPr="00866C32">
              <w:rPr>
                <w:rFonts w:ascii="Century Gothic" w:hAnsi="Century Gothic"/>
                <w:b/>
                <w:bCs/>
                <w:color w:val="000000"/>
                <w:sz w:val="22"/>
                <w:szCs w:val="22"/>
                <w:shd w:val="clear" w:color="auto" w:fill="FFFFFF"/>
                <w:lang w:eastAsia="es-CO"/>
              </w:rPr>
              <w:t>Tomador</w:t>
            </w:r>
          </w:p>
        </w:tc>
        <w:tc>
          <w:tcPr>
            <w:tcW w:w="6941" w:type="dxa"/>
            <w:vAlign w:val="center"/>
          </w:tcPr>
          <w:p w14:paraId="2B607964" w14:textId="3EEE7668" w:rsidR="001C44B4" w:rsidRPr="00866C32" w:rsidRDefault="00866C32" w:rsidP="009744C6">
            <w:pPr>
              <w:spacing w:line="276" w:lineRule="auto"/>
              <w:rPr>
                <w:rFonts w:ascii="Century Gothic" w:hAnsi="Century Gothic" w:cs="Segoe UI"/>
                <w:sz w:val="22"/>
                <w:szCs w:val="22"/>
                <w:lang w:val="es-CO" w:eastAsia="es-CO"/>
              </w:rPr>
            </w:pPr>
            <w:r w:rsidRPr="00866C32">
              <w:rPr>
                <w:rFonts w:ascii="Century Gothic" w:hAnsi="Century Gothic" w:cs="Segoe UI"/>
                <w:sz w:val="22"/>
                <w:szCs w:val="22"/>
                <w:lang w:val="es-CO" w:eastAsia="es-CO"/>
              </w:rPr>
              <w:t>COMPAÑIA DE MEDICINA PREPAGADA COLSANITAS S.A.</w:t>
            </w:r>
          </w:p>
        </w:tc>
      </w:tr>
      <w:tr w:rsidR="001C44B4" w:rsidRPr="00866C32" w14:paraId="1165CBE1" w14:textId="77777777" w:rsidTr="3D1942E6">
        <w:trPr>
          <w:trHeight w:val="454"/>
        </w:trPr>
        <w:tc>
          <w:tcPr>
            <w:tcW w:w="3266" w:type="dxa"/>
            <w:vAlign w:val="center"/>
          </w:tcPr>
          <w:p w14:paraId="640F2169" w14:textId="4903327C" w:rsidR="001C44B4" w:rsidRPr="00866C32" w:rsidRDefault="008B685D"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C9E9EFF" w:rsidR="001C44B4" w:rsidRPr="00866C32" w:rsidRDefault="00866C32" w:rsidP="009744C6">
            <w:pPr>
              <w:spacing w:line="276" w:lineRule="auto"/>
              <w:rPr>
                <w:rFonts w:ascii="Century Gothic" w:hAnsi="Century Gothic"/>
                <w:sz w:val="22"/>
                <w:szCs w:val="22"/>
                <w:lang w:val="es-CO"/>
              </w:rPr>
            </w:pPr>
            <w:r w:rsidRPr="00866C32">
              <w:rPr>
                <w:rFonts w:ascii="Century Gothic" w:hAnsi="Century Gothic"/>
                <w:sz w:val="22"/>
                <w:szCs w:val="22"/>
                <w:lang w:val="es-CO"/>
              </w:rPr>
              <w:t>COMPAÑIA DE MEDICINA PREPAGADA COLSANITAS S.A.</w:t>
            </w:r>
          </w:p>
        </w:tc>
      </w:tr>
      <w:tr w:rsidR="001C44B4" w:rsidRPr="00866C32" w14:paraId="513C2A8D" w14:textId="77777777" w:rsidTr="3D1942E6">
        <w:trPr>
          <w:trHeight w:val="454"/>
        </w:trPr>
        <w:tc>
          <w:tcPr>
            <w:tcW w:w="3266" w:type="dxa"/>
            <w:vAlign w:val="center"/>
            <w:hideMark/>
          </w:tcPr>
          <w:p w14:paraId="5E1FDA28" w14:textId="16DB1B8E" w:rsidR="001C44B4" w:rsidRPr="00866C32" w:rsidRDefault="008B685D"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Ramo</w:t>
            </w:r>
          </w:p>
        </w:tc>
        <w:tc>
          <w:tcPr>
            <w:tcW w:w="6941" w:type="dxa"/>
            <w:vAlign w:val="center"/>
          </w:tcPr>
          <w:p w14:paraId="0701202E" w14:textId="4DDBD3CE" w:rsidR="001C44B4" w:rsidRPr="00866C32" w:rsidRDefault="00B04CAC" w:rsidP="009744C6">
            <w:pPr>
              <w:spacing w:line="276" w:lineRule="auto"/>
              <w:rPr>
                <w:rFonts w:ascii="Century Gothic" w:hAnsi="Century Gothic" w:cs="Segoe UI"/>
                <w:sz w:val="22"/>
                <w:szCs w:val="22"/>
                <w:lang w:val="es-CO" w:eastAsia="es-CO"/>
              </w:rPr>
            </w:pPr>
            <w:r w:rsidRPr="00866C32">
              <w:rPr>
                <w:rFonts w:ascii="Century Gothic" w:hAnsi="Century Gothic" w:cs="Segoe UI"/>
                <w:sz w:val="22"/>
                <w:szCs w:val="22"/>
                <w:lang w:val="es-CO" w:eastAsia="es-CO"/>
              </w:rPr>
              <w:t>RCP Clínicas, Hospitales e Instituciones Privadas de Sanidad</w:t>
            </w:r>
          </w:p>
        </w:tc>
      </w:tr>
      <w:tr w:rsidR="001C44B4" w:rsidRPr="00866C32" w14:paraId="2F8ECFA3" w14:textId="77777777" w:rsidTr="3D1942E6">
        <w:trPr>
          <w:trHeight w:val="454"/>
        </w:trPr>
        <w:tc>
          <w:tcPr>
            <w:tcW w:w="3266" w:type="dxa"/>
            <w:vAlign w:val="center"/>
            <w:hideMark/>
          </w:tcPr>
          <w:p w14:paraId="0C3932A6" w14:textId="2792643B" w:rsidR="001C44B4" w:rsidRPr="00866C32" w:rsidRDefault="008B685D"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3D96F0B" w:rsidR="00F24A2E" w:rsidRPr="00866C32" w:rsidRDefault="00F24A2E" w:rsidP="009744C6">
            <w:pPr>
              <w:spacing w:line="276" w:lineRule="auto"/>
              <w:rPr>
                <w:rFonts w:ascii="Century Gothic" w:hAnsi="Century Gothic" w:cs="Segoe UI"/>
                <w:sz w:val="22"/>
                <w:szCs w:val="22"/>
                <w:lang w:val="es-CO" w:eastAsia="es-CO"/>
              </w:rPr>
            </w:pPr>
            <w:r w:rsidRPr="00866C32">
              <w:rPr>
                <w:rFonts w:ascii="Century Gothic" w:hAnsi="Century Gothic" w:cs="Segoe UI"/>
                <w:sz w:val="22"/>
                <w:szCs w:val="22"/>
                <w:lang w:eastAsia="es-CO"/>
              </w:rPr>
              <w:t xml:space="preserve"> </w:t>
            </w:r>
            <w:r w:rsidR="00B04CAC" w:rsidRPr="00866C32">
              <w:rPr>
                <w:rFonts w:ascii="Century Gothic" w:hAnsi="Century Gothic" w:cs="Segoe UI"/>
                <w:sz w:val="22"/>
                <w:szCs w:val="22"/>
                <w:lang w:val="es-CO" w:eastAsia="es-CO"/>
              </w:rPr>
              <w:t>Responsabilidad Civil Profesional Médica</w:t>
            </w:r>
          </w:p>
        </w:tc>
      </w:tr>
      <w:tr w:rsidR="001C44B4" w:rsidRPr="00866C32" w14:paraId="59B4A554" w14:textId="77777777" w:rsidTr="3D1942E6">
        <w:trPr>
          <w:trHeight w:val="454"/>
        </w:trPr>
        <w:tc>
          <w:tcPr>
            <w:tcW w:w="3266" w:type="dxa"/>
            <w:vAlign w:val="center"/>
            <w:hideMark/>
          </w:tcPr>
          <w:p w14:paraId="0412A958" w14:textId="77777777" w:rsidR="001C44B4" w:rsidRPr="00866C32" w:rsidRDefault="001C44B4"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A69642D" w:rsidR="001C44B4" w:rsidRPr="00866C32" w:rsidRDefault="00866C32" w:rsidP="009744C6">
            <w:pPr>
              <w:spacing w:line="276" w:lineRule="auto"/>
              <w:rPr>
                <w:rFonts w:ascii="Century Gothic" w:hAnsi="Century Gothic" w:cs="Segoe UI"/>
                <w:sz w:val="22"/>
                <w:szCs w:val="22"/>
                <w:lang w:eastAsia="es-CO"/>
              </w:rPr>
            </w:pPr>
            <w:r w:rsidRPr="00866C32">
              <w:rPr>
                <w:rFonts w:ascii="Century Gothic" w:hAnsi="Century Gothic" w:cs="Segoe UI"/>
                <w:sz w:val="22"/>
                <w:szCs w:val="22"/>
                <w:lang w:eastAsia="es-CO"/>
              </w:rPr>
              <w:t>$4,530,000,000.00</w:t>
            </w:r>
          </w:p>
        </w:tc>
      </w:tr>
      <w:tr w:rsidR="001129B6" w:rsidRPr="00866C32" w14:paraId="2F24D88E" w14:textId="77777777" w:rsidTr="3D1942E6">
        <w:trPr>
          <w:trHeight w:val="454"/>
        </w:trPr>
        <w:tc>
          <w:tcPr>
            <w:tcW w:w="3266" w:type="dxa"/>
            <w:vAlign w:val="center"/>
          </w:tcPr>
          <w:p w14:paraId="0E72F2CD" w14:textId="1A6BE851" w:rsidR="001129B6" w:rsidRPr="00866C32" w:rsidRDefault="001129B6" w:rsidP="009744C6">
            <w:pPr>
              <w:spacing w:line="276" w:lineRule="auto"/>
              <w:jc w:val="both"/>
              <w:textAlignment w:val="baseline"/>
              <w:rPr>
                <w:rFonts w:ascii="Century Gothic" w:hAnsi="Century Gothic"/>
                <w:b/>
                <w:bCs/>
                <w:color w:val="000000"/>
                <w:sz w:val="22"/>
                <w:szCs w:val="22"/>
                <w:shd w:val="clear" w:color="auto" w:fill="FFFFFF"/>
                <w:lang w:eastAsia="es-CO"/>
              </w:rPr>
            </w:pPr>
            <w:r w:rsidRPr="00866C32">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DC9672B" w:rsidR="001129B6" w:rsidRPr="00866C32" w:rsidRDefault="008E0073" w:rsidP="009744C6">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06/06/2022 (SOLICITUD DE CONCILIACIÓN) </w:t>
            </w:r>
          </w:p>
        </w:tc>
      </w:tr>
      <w:tr w:rsidR="001C44B4" w:rsidRPr="00866C32" w14:paraId="658B9E4D" w14:textId="77777777" w:rsidTr="3D1942E6">
        <w:trPr>
          <w:trHeight w:val="454"/>
        </w:trPr>
        <w:tc>
          <w:tcPr>
            <w:tcW w:w="3266" w:type="dxa"/>
            <w:vAlign w:val="center"/>
            <w:hideMark/>
          </w:tcPr>
          <w:p w14:paraId="02377331" w14:textId="79A3F98F" w:rsidR="001C44B4" w:rsidRPr="00866C32" w:rsidRDefault="002633C0" w:rsidP="009744C6">
            <w:pPr>
              <w:spacing w:line="276" w:lineRule="auto"/>
              <w:jc w:val="both"/>
              <w:textAlignment w:val="baseline"/>
              <w:rPr>
                <w:rFonts w:ascii="Century Gothic" w:hAnsi="Century Gothic" w:cs="Segoe UI"/>
                <w:sz w:val="22"/>
                <w:szCs w:val="22"/>
                <w:lang w:eastAsia="es-CO"/>
              </w:rPr>
            </w:pPr>
            <w:r w:rsidRPr="00866C32">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866C32" w:rsidRDefault="002633C0" w:rsidP="009744C6">
            <w:pPr>
              <w:spacing w:line="276" w:lineRule="auto"/>
              <w:jc w:val="both"/>
              <w:rPr>
                <w:rFonts w:ascii="Century Gothic" w:hAnsi="Century Gothic" w:cs="Segoe UI"/>
                <w:sz w:val="22"/>
                <w:szCs w:val="22"/>
                <w:lang w:eastAsia="es-CO"/>
              </w:rPr>
            </w:pPr>
            <w:r w:rsidRPr="00866C32">
              <w:rPr>
                <w:rFonts w:ascii="Century Gothic" w:hAnsi="Century Gothic" w:cs="Segoe UI"/>
                <w:sz w:val="22"/>
                <w:szCs w:val="22"/>
                <w:lang w:eastAsia="es-CO"/>
              </w:rPr>
              <w:t xml:space="preserve"> </w:t>
            </w:r>
            <w:r w:rsidR="002E1D2C" w:rsidRPr="00866C32">
              <w:rPr>
                <w:rFonts w:ascii="Century Gothic" w:hAnsi="Century Gothic" w:cs="Segoe UI"/>
                <w:sz w:val="22"/>
                <w:szCs w:val="22"/>
                <w:lang w:eastAsia="es-CO"/>
              </w:rPr>
              <w:t>0</w:t>
            </w:r>
          </w:p>
        </w:tc>
      </w:tr>
    </w:tbl>
    <w:p w14:paraId="397A1D68" w14:textId="77777777" w:rsidR="003B44CB" w:rsidRPr="00866C32" w:rsidRDefault="003B44CB" w:rsidP="009744C6">
      <w:pPr>
        <w:spacing w:line="276" w:lineRule="auto"/>
        <w:rPr>
          <w:rFonts w:ascii="Century Gothic" w:hAnsi="Century Gothic"/>
          <w:sz w:val="22"/>
          <w:szCs w:val="22"/>
        </w:rPr>
      </w:pPr>
    </w:p>
    <w:p w14:paraId="61F56879" w14:textId="77777777" w:rsidR="0095378E" w:rsidRPr="00866C32" w:rsidRDefault="0095378E" w:rsidP="009744C6">
      <w:pPr>
        <w:spacing w:line="276" w:lineRule="auto"/>
        <w:rPr>
          <w:rFonts w:ascii="Century Gothic" w:hAnsi="Century Gothic"/>
        </w:rPr>
      </w:pPr>
    </w:p>
    <w:tbl>
      <w:tblPr>
        <w:tblStyle w:val="Tablaconcuadrcula"/>
        <w:tblW w:w="10207" w:type="dxa"/>
        <w:tblInd w:w="-431" w:type="dxa"/>
        <w:tblLook w:val="04A0" w:firstRow="1" w:lastRow="0" w:firstColumn="1" w:lastColumn="0" w:noHBand="0" w:noVBand="1"/>
      </w:tblPr>
      <w:tblGrid>
        <w:gridCol w:w="3687"/>
        <w:gridCol w:w="6520"/>
      </w:tblGrid>
      <w:tr w:rsidR="002633C0" w:rsidRPr="00866C32" w14:paraId="49B1F103" w14:textId="77777777" w:rsidTr="00BA1E5F">
        <w:tc>
          <w:tcPr>
            <w:tcW w:w="3687" w:type="dxa"/>
          </w:tcPr>
          <w:p w14:paraId="673B76C6" w14:textId="23992614" w:rsidR="002633C0" w:rsidRPr="00866C32" w:rsidRDefault="00BA1E5F" w:rsidP="009744C6">
            <w:pPr>
              <w:spacing w:line="276" w:lineRule="auto"/>
              <w:rPr>
                <w:rFonts w:ascii="Century Gothic" w:hAnsi="Century Gothic"/>
                <w:sz w:val="22"/>
                <w:szCs w:val="22"/>
              </w:rPr>
            </w:pPr>
            <w:r w:rsidRPr="00866C32">
              <w:rPr>
                <w:rFonts w:ascii="Century Gothic" w:hAnsi="Century Gothic"/>
                <w:b/>
                <w:bCs/>
                <w:sz w:val="22"/>
                <w:szCs w:val="22"/>
              </w:rPr>
              <w:t>Calificación de la contingencia</w:t>
            </w:r>
          </w:p>
        </w:tc>
        <w:tc>
          <w:tcPr>
            <w:tcW w:w="6520" w:type="dxa"/>
          </w:tcPr>
          <w:p w14:paraId="6F4874B3" w14:textId="5592A473" w:rsidR="002633C0" w:rsidRPr="00866C32" w:rsidRDefault="00AB553F" w:rsidP="009744C6">
            <w:pPr>
              <w:spacing w:line="276" w:lineRule="auto"/>
              <w:rPr>
                <w:rFonts w:ascii="Century Gothic" w:hAnsi="Century Gothic"/>
                <w:sz w:val="22"/>
                <w:szCs w:val="22"/>
              </w:rPr>
            </w:pPr>
            <w:r>
              <w:rPr>
                <w:rFonts w:ascii="Century Gothic" w:hAnsi="Century Gothic"/>
                <w:sz w:val="22"/>
                <w:szCs w:val="22"/>
              </w:rPr>
              <w:t>PROBABLE</w:t>
            </w:r>
          </w:p>
        </w:tc>
      </w:tr>
      <w:tr w:rsidR="002633C0" w:rsidRPr="00866C32" w14:paraId="47B026EC" w14:textId="77777777" w:rsidTr="00BA1E5F">
        <w:tc>
          <w:tcPr>
            <w:tcW w:w="3687" w:type="dxa"/>
          </w:tcPr>
          <w:p w14:paraId="4A77CED7" w14:textId="00C97735" w:rsidR="002633C0" w:rsidRPr="00866C32" w:rsidRDefault="00BA1E5F" w:rsidP="009744C6">
            <w:pPr>
              <w:spacing w:line="276" w:lineRule="auto"/>
              <w:rPr>
                <w:rFonts w:ascii="Century Gothic" w:hAnsi="Century Gothic"/>
                <w:b/>
                <w:bCs/>
                <w:sz w:val="22"/>
                <w:szCs w:val="22"/>
              </w:rPr>
            </w:pPr>
            <w:r w:rsidRPr="00866C32">
              <w:rPr>
                <w:rFonts w:ascii="Century Gothic" w:hAnsi="Century Gothic"/>
                <w:b/>
                <w:bCs/>
                <w:sz w:val="22"/>
                <w:szCs w:val="22"/>
              </w:rPr>
              <w:t xml:space="preserve">Reserva sugerida: </w:t>
            </w:r>
          </w:p>
        </w:tc>
        <w:tc>
          <w:tcPr>
            <w:tcW w:w="6520" w:type="dxa"/>
          </w:tcPr>
          <w:p w14:paraId="7146E445" w14:textId="50D42054" w:rsidR="002633C0" w:rsidRPr="00866C32" w:rsidRDefault="008E0073" w:rsidP="00AB553F">
            <w:pPr>
              <w:spacing w:line="276" w:lineRule="auto"/>
              <w:jc w:val="both"/>
              <w:rPr>
                <w:rFonts w:ascii="Century Gothic" w:hAnsi="Century Gothic"/>
                <w:sz w:val="22"/>
                <w:szCs w:val="22"/>
              </w:rPr>
            </w:pPr>
            <w:r w:rsidRPr="00007049">
              <w:rPr>
                <w:rFonts w:ascii="Century Gothic" w:hAnsi="Century Gothic"/>
                <w:sz w:val="22"/>
                <w:szCs w:val="22"/>
              </w:rPr>
              <w:t>$</w:t>
            </w:r>
            <w:r w:rsidR="00AB553F" w:rsidRPr="00C96FD0">
              <w:rPr>
                <w:rFonts w:ascii="Century Gothic" w:hAnsi="Century Gothic" w:cs="Arial"/>
                <w:color w:val="000000" w:themeColor="text1"/>
              </w:rPr>
              <w:t>213.889.390,40</w:t>
            </w:r>
            <w:r w:rsidR="00AB553F">
              <w:rPr>
                <w:rFonts w:ascii="Century Gothic" w:hAnsi="Century Gothic" w:cs="Arial"/>
                <w:color w:val="000000" w:themeColor="text1"/>
              </w:rPr>
              <w:t xml:space="preserve"> </w:t>
            </w:r>
            <w:r w:rsidR="00866C32" w:rsidRPr="00866C32">
              <w:rPr>
                <w:rFonts w:ascii="Century Gothic" w:hAnsi="Century Gothic"/>
                <w:sz w:val="22"/>
                <w:szCs w:val="22"/>
                <w:lang w:val="es-CO"/>
              </w:rPr>
              <w:t xml:space="preserve">corresponde a la resta del </w:t>
            </w:r>
            <w:r w:rsidR="00AB553F">
              <w:rPr>
                <w:rFonts w:ascii="Century Gothic" w:hAnsi="Century Gothic"/>
                <w:sz w:val="22"/>
                <w:szCs w:val="22"/>
                <w:lang w:val="es-CO"/>
              </w:rPr>
              <w:t>2</w:t>
            </w:r>
            <w:r w:rsidR="00866C32" w:rsidRPr="00866C32">
              <w:rPr>
                <w:rFonts w:ascii="Century Gothic" w:hAnsi="Century Gothic"/>
                <w:sz w:val="22"/>
                <w:szCs w:val="22"/>
                <w:lang w:val="es-CO"/>
              </w:rPr>
              <w:t>0% del valor de las pretensiones</w:t>
            </w:r>
            <w:r w:rsidR="00AB553F">
              <w:rPr>
                <w:rFonts w:ascii="Century Gothic" w:hAnsi="Century Gothic"/>
                <w:sz w:val="22"/>
                <w:szCs w:val="22"/>
                <w:lang w:val="es-CO"/>
              </w:rPr>
              <w:t xml:space="preserve"> y la aplicación del deducible pactado por valor de $150.000.000  </w:t>
            </w:r>
          </w:p>
        </w:tc>
      </w:tr>
      <w:tr w:rsidR="00BA1E5F" w:rsidRPr="00866C32" w14:paraId="22F780E0" w14:textId="77777777" w:rsidTr="008B59F4">
        <w:tc>
          <w:tcPr>
            <w:tcW w:w="10207" w:type="dxa"/>
            <w:gridSpan w:val="2"/>
            <w:shd w:val="clear" w:color="auto" w:fill="C5E0B3" w:themeFill="accent6" w:themeFillTint="66"/>
            <w:vAlign w:val="center"/>
          </w:tcPr>
          <w:p w14:paraId="2E984764" w14:textId="51214522" w:rsidR="00BA1E5F" w:rsidRPr="00866C32" w:rsidRDefault="00BA1E5F" w:rsidP="009744C6">
            <w:pPr>
              <w:spacing w:line="276" w:lineRule="auto"/>
              <w:jc w:val="center"/>
              <w:rPr>
                <w:rFonts w:ascii="Century Gothic" w:hAnsi="Century Gothic"/>
                <w:sz w:val="22"/>
                <w:szCs w:val="22"/>
              </w:rPr>
            </w:pPr>
            <w:r w:rsidRPr="00866C32">
              <w:rPr>
                <w:rFonts w:ascii="Century Gothic" w:hAnsi="Century Gothic"/>
                <w:b/>
                <w:bCs/>
                <w:sz w:val="22"/>
                <w:szCs w:val="22"/>
              </w:rPr>
              <w:t>Concepto del apoderado</w:t>
            </w:r>
          </w:p>
        </w:tc>
      </w:tr>
      <w:tr w:rsidR="00BA1E5F" w:rsidRPr="00866C32" w14:paraId="6A3F4D91" w14:textId="77777777" w:rsidTr="008B59F4">
        <w:trPr>
          <w:trHeight w:val="1361"/>
        </w:trPr>
        <w:tc>
          <w:tcPr>
            <w:tcW w:w="10207" w:type="dxa"/>
            <w:gridSpan w:val="2"/>
            <w:vAlign w:val="center"/>
          </w:tcPr>
          <w:p w14:paraId="589D2D0F" w14:textId="77777777" w:rsidR="003631BB" w:rsidRPr="00866C32" w:rsidRDefault="003631BB" w:rsidP="009744C6">
            <w:pPr>
              <w:spacing w:line="276" w:lineRule="auto"/>
              <w:jc w:val="both"/>
              <w:rPr>
                <w:rFonts w:ascii="Century Gothic" w:hAnsi="Century Gothic"/>
                <w:sz w:val="22"/>
                <w:szCs w:val="22"/>
                <w:lang w:val="es-CO"/>
              </w:rPr>
            </w:pPr>
          </w:p>
          <w:p w14:paraId="5177EF73" w14:textId="6D88DF18" w:rsidR="002830E9" w:rsidRDefault="002830E9" w:rsidP="009744C6">
            <w:pPr>
              <w:pBdr>
                <w:top w:val="nil"/>
                <w:left w:val="nil"/>
                <w:bottom w:val="nil"/>
                <w:right w:val="nil"/>
                <w:between w:val="nil"/>
              </w:pBdr>
              <w:spacing w:before="280" w:after="240" w:line="276" w:lineRule="auto"/>
              <w:jc w:val="both"/>
              <w:rPr>
                <w:rFonts w:ascii="Century Gothic" w:eastAsia="Arial" w:hAnsi="Century Gothic" w:cs="Arial"/>
                <w:color w:val="000000"/>
                <w:sz w:val="22"/>
                <w:szCs w:val="22"/>
              </w:rPr>
            </w:pPr>
            <w:r w:rsidRPr="002830E9">
              <w:rPr>
                <w:rFonts w:ascii="Century Gothic" w:eastAsia="Arial" w:hAnsi="Century Gothic" w:cs="Arial"/>
                <w:color w:val="000000"/>
                <w:sz w:val="22"/>
                <w:szCs w:val="22"/>
              </w:rPr>
              <w:t>La contingencia se califica</w:t>
            </w:r>
            <w:r w:rsidR="002546E3">
              <w:rPr>
                <w:rFonts w:ascii="Century Gothic" w:eastAsia="Arial" w:hAnsi="Century Gothic" w:cs="Arial"/>
                <w:color w:val="000000"/>
                <w:sz w:val="22"/>
                <w:szCs w:val="22"/>
              </w:rPr>
              <w:t xml:space="preserve"> como</w:t>
            </w:r>
            <w:r w:rsidRPr="002830E9">
              <w:rPr>
                <w:rFonts w:ascii="Century Gothic" w:eastAsia="Arial" w:hAnsi="Century Gothic" w:cs="Arial"/>
                <w:color w:val="000000"/>
                <w:sz w:val="22"/>
                <w:szCs w:val="22"/>
              </w:rPr>
              <w:t xml:space="preserve"> </w:t>
            </w:r>
            <w:r w:rsidR="002546E3" w:rsidRPr="002546E3">
              <w:rPr>
                <w:rFonts w:ascii="Century Gothic" w:eastAsia="Arial" w:hAnsi="Century Gothic" w:cs="Arial"/>
                <w:b/>
                <w:bCs/>
                <w:color w:val="000000"/>
                <w:sz w:val="22"/>
                <w:szCs w:val="22"/>
              </w:rPr>
              <w:t xml:space="preserve">Probable </w:t>
            </w:r>
            <w:r w:rsidRPr="002830E9">
              <w:rPr>
                <w:rFonts w:ascii="Century Gothic" w:eastAsia="Arial" w:hAnsi="Century Gothic" w:cs="Arial"/>
                <w:color w:val="000000"/>
                <w:sz w:val="22"/>
                <w:szCs w:val="22"/>
              </w:rPr>
              <w:t>que, si bien la Póliza No. AA195705 contempla cobertura material y temporal aplicable al caso concreto, hasta la etapa procesal actual se ha configurado una de las exclusiones previstas en la misma. En consecuencia, no se ha acreditado la responsabilidad del asegurado en el presente asunto.</w:t>
            </w:r>
          </w:p>
          <w:p w14:paraId="3B56E3BC" w14:textId="523F827A" w:rsidR="00B645BB" w:rsidRPr="00B645BB" w:rsidRDefault="002830E9" w:rsidP="009744C6">
            <w:pPr>
              <w:pBdr>
                <w:top w:val="nil"/>
                <w:left w:val="nil"/>
                <w:bottom w:val="nil"/>
                <w:right w:val="nil"/>
                <w:between w:val="nil"/>
              </w:pBdr>
              <w:spacing w:before="280" w:after="240" w:line="276" w:lineRule="auto"/>
              <w:jc w:val="both"/>
              <w:rPr>
                <w:rFonts w:ascii="Century Gothic" w:eastAsia="Arial" w:hAnsi="Century Gothic" w:cs="Arial"/>
                <w:color w:val="000000"/>
                <w:sz w:val="22"/>
                <w:szCs w:val="22"/>
                <w:lang w:val="es-CO"/>
              </w:rPr>
            </w:pPr>
            <w:r w:rsidRPr="002830E9">
              <w:rPr>
                <w:rFonts w:ascii="Century Gothic" w:eastAsia="Arial" w:hAnsi="Century Gothic" w:cs="Arial"/>
                <w:color w:val="000000"/>
                <w:sz w:val="22"/>
                <w:szCs w:val="22"/>
              </w:rPr>
              <w:t xml:space="preserve">La Póliza No. AA195705, junto con sus anexos, cuenta con cobertura temporal. Esta póliza de Responsabilidad Civil para Clínicas fue expedida bajo la modalidad </w:t>
            </w:r>
            <w:proofErr w:type="spellStart"/>
            <w:r w:rsidRPr="002830E9">
              <w:rPr>
                <w:rFonts w:ascii="Century Gothic" w:eastAsia="Arial" w:hAnsi="Century Gothic" w:cs="Arial"/>
                <w:i/>
                <w:iCs/>
                <w:color w:val="000000"/>
                <w:sz w:val="22"/>
                <w:szCs w:val="22"/>
              </w:rPr>
              <w:t>claims</w:t>
            </w:r>
            <w:proofErr w:type="spellEnd"/>
            <w:r w:rsidRPr="002830E9">
              <w:rPr>
                <w:rFonts w:ascii="Century Gothic" w:eastAsia="Arial" w:hAnsi="Century Gothic" w:cs="Arial"/>
                <w:i/>
                <w:iCs/>
                <w:color w:val="000000"/>
                <w:sz w:val="22"/>
                <w:szCs w:val="22"/>
              </w:rPr>
              <w:t xml:space="preserve"> </w:t>
            </w:r>
            <w:proofErr w:type="spellStart"/>
            <w:r w:rsidRPr="002830E9">
              <w:rPr>
                <w:rFonts w:ascii="Century Gothic" w:eastAsia="Arial" w:hAnsi="Century Gothic" w:cs="Arial"/>
                <w:i/>
                <w:iCs/>
                <w:color w:val="000000"/>
                <w:sz w:val="22"/>
                <w:szCs w:val="22"/>
              </w:rPr>
              <w:t>made</w:t>
            </w:r>
            <w:proofErr w:type="spellEnd"/>
            <w:r w:rsidRPr="002830E9">
              <w:rPr>
                <w:rFonts w:ascii="Century Gothic" w:eastAsia="Arial" w:hAnsi="Century Gothic" w:cs="Arial"/>
                <w:color w:val="000000"/>
                <w:sz w:val="22"/>
                <w:szCs w:val="22"/>
              </w:rPr>
              <w:t>, la cual establece que los hechos objeto de reclamación deben haber ocurrido durante la vigencia de la póliza o dentro del período de retroactividad, y su reclamación al asegurado debe efectuarse igualmente dentro de la vigencia de la misma.</w:t>
            </w:r>
            <w:r>
              <w:rPr>
                <w:rFonts w:ascii="Century Gothic" w:eastAsia="Arial" w:hAnsi="Century Gothic" w:cs="Arial"/>
                <w:color w:val="000000"/>
                <w:sz w:val="22"/>
                <w:szCs w:val="22"/>
              </w:rPr>
              <w:t xml:space="preserve"> En este sentido, la póliza estuvo vigente </w:t>
            </w:r>
            <w:r w:rsidR="00866C32" w:rsidRPr="00866C32">
              <w:rPr>
                <w:rFonts w:ascii="Century Gothic" w:eastAsia="Arial" w:hAnsi="Century Gothic" w:cs="Arial"/>
                <w:color w:val="000000"/>
                <w:sz w:val="22"/>
                <w:szCs w:val="22"/>
              </w:rPr>
              <w:t>del 30 de agosto de 2019 al 13</w:t>
            </w:r>
            <w:r w:rsidR="004845C1">
              <w:rPr>
                <w:rFonts w:ascii="Century Gothic" w:eastAsia="Arial" w:hAnsi="Century Gothic" w:cs="Arial"/>
                <w:color w:val="000000"/>
                <w:sz w:val="22"/>
                <w:szCs w:val="22"/>
              </w:rPr>
              <w:t xml:space="preserve"> </w:t>
            </w:r>
            <w:r w:rsidR="00866C32" w:rsidRPr="00866C32">
              <w:rPr>
                <w:rFonts w:ascii="Century Gothic" w:eastAsia="Arial" w:hAnsi="Century Gothic" w:cs="Arial"/>
                <w:color w:val="000000"/>
                <w:sz w:val="22"/>
                <w:szCs w:val="22"/>
              </w:rPr>
              <w:t xml:space="preserve">de octubre de 2022 y un período de retroactividad desde el 1 de julio de 2006. En este caso, los hechos objeto de la demanda ocurrieron el </w:t>
            </w:r>
            <w:r>
              <w:rPr>
                <w:rFonts w:ascii="Century Gothic" w:eastAsia="Arial" w:hAnsi="Century Gothic" w:cs="Arial"/>
                <w:color w:val="000000"/>
                <w:sz w:val="22"/>
                <w:szCs w:val="22"/>
              </w:rPr>
              <w:t>6</w:t>
            </w:r>
            <w:r w:rsidR="00866C32" w:rsidRPr="00866C32">
              <w:rPr>
                <w:rFonts w:ascii="Century Gothic" w:eastAsia="Arial" w:hAnsi="Century Gothic" w:cs="Arial"/>
                <w:color w:val="000000"/>
                <w:sz w:val="22"/>
                <w:szCs w:val="22"/>
              </w:rPr>
              <w:t xml:space="preserve"> de </w:t>
            </w:r>
            <w:r>
              <w:rPr>
                <w:rFonts w:ascii="Century Gothic" w:eastAsia="Arial" w:hAnsi="Century Gothic" w:cs="Arial"/>
                <w:color w:val="000000"/>
                <w:sz w:val="22"/>
                <w:szCs w:val="22"/>
              </w:rPr>
              <w:t xml:space="preserve">octubre </w:t>
            </w:r>
            <w:r w:rsidR="00866C32" w:rsidRPr="00866C32">
              <w:rPr>
                <w:rFonts w:ascii="Century Gothic" w:eastAsia="Arial" w:hAnsi="Century Gothic" w:cs="Arial"/>
                <w:color w:val="000000"/>
                <w:sz w:val="22"/>
                <w:szCs w:val="22"/>
              </w:rPr>
              <w:t xml:space="preserve">de 2020, dentro del período de retroactividad. Igualmente, la reclamación contra el asegurado se presentó mediante solicitud de conciliación el </w:t>
            </w:r>
            <w:r>
              <w:rPr>
                <w:rFonts w:ascii="Century Gothic" w:eastAsia="Arial" w:hAnsi="Century Gothic" w:cs="Arial"/>
                <w:color w:val="000000"/>
                <w:sz w:val="22"/>
                <w:szCs w:val="22"/>
              </w:rPr>
              <w:t>06</w:t>
            </w:r>
            <w:r w:rsidR="00866C32" w:rsidRPr="00866C32">
              <w:rPr>
                <w:rFonts w:ascii="Century Gothic" w:eastAsia="Arial" w:hAnsi="Century Gothic" w:cs="Arial"/>
                <w:color w:val="000000"/>
                <w:sz w:val="22"/>
                <w:szCs w:val="22"/>
              </w:rPr>
              <w:t xml:space="preserve"> de junio de 2022, cumpliéndose así las condiciones de esta modalidad para hacer efectivo el amparo. </w:t>
            </w:r>
            <w:r w:rsidR="00B645BB" w:rsidRPr="00B645BB">
              <w:rPr>
                <w:rFonts w:ascii="Century Gothic" w:eastAsia="Arial" w:hAnsi="Century Gothic" w:cs="Arial"/>
                <w:color w:val="000000"/>
                <w:sz w:val="22"/>
                <w:szCs w:val="22"/>
                <w:lang w:val="es-CO"/>
              </w:rPr>
              <w:t>Por otra parte, la póliza de responsabilidad civil cuenta con cobertura material, dado que uno de sus amparos está destinado a garantizar la indemnización por daños y perjuicios derivados de lesiones personales, fallecimiento y/o enfermedades que afecten a usuarios y clientes del asegurado, siempre que dichos eventos sean consecuencia directa del ejercicio de su actividad profesional como entidad prestadora de servicios de salud</w:t>
            </w:r>
            <w:r w:rsidR="00B645BB">
              <w:rPr>
                <w:rFonts w:ascii="Century Gothic" w:eastAsia="Arial" w:hAnsi="Century Gothic" w:cs="Arial"/>
                <w:color w:val="000000"/>
                <w:sz w:val="22"/>
                <w:szCs w:val="22"/>
                <w:lang w:val="es-CO"/>
              </w:rPr>
              <w:t xml:space="preserve">. </w:t>
            </w:r>
            <w:r w:rsidR="00B645BB" w:rsidRPr="00B645BB">
              <w:rPr>
                <w:rFonts w:ascii="Century Gothic" w:eastAsia="Arial" w:hAnsi="Century Gothic" w:cs="Arial"/>
                <w:color w:val="000000"/>
                <w:sz w:val="22"/>
                <w:szCs w:val="22"/>
                <w:lang w:val="es-CO"/>
              </w:rPr>
              <w:t>No obstante, en la contestación de la demanda y en el llamamiento en garantía, se argumentó la aplicación de la exclusión prevista en el acápite correspondiente a enfermedades contagiosas, específicamente en su literal b), el cual establece lo siguiente:</w:t>
            </w:r>
            <w:r w:rsidR="00B645BB">
              <w:rPr>
                <w:rFonts w:ascii="Century Gothic" w:eastAsia="Arial" w:hAnsi="Century Gothic" w:cs="Arial"/>
                <w:color w:val="000000"/>
                <w:sz w:val="22"/>
                <w:szCs w:val="22"/>
                <w:lang w:val="es-CO"/>
              </w:rPr>
              <w:t xml:space="preserve"> </w:t>
            </w:r>
            <w:r w:rsidR="00B645BB" w:rsidRPr="00B645BB">
              <w:rPr>
                <w:rFonts w:ascii="Century Gothic" w:eastAsia="Arial" w:hAnsi="Century Gothic" w:cs="Arial"/>
                <w:i/>
                <w:iCs/>
                <w:color w:val="000000"/>
                <w:sz w:val="22"/>
                <w:szCs w:val="22"/>
                <w:lang w:val="es-CO"/>
              </w:rPr>
              <w:t>“(B) Limitar o denegar la atención médica debido a la falta, escasez, disponibilidad limitada, o por seguir las directrices impuestas por el Gobierno; o la imposibilidad de conseguir, obtener o conservar cualquier medicamento, personal, equipo o suministros que real o supuestamente ocurran en relación con, o como resultado de, cualquier enfermedad contagiosa enumerada o pandemia. Sin embargo, con respecto a cualquier reclamación que surja de o concierna al tratamiento médico prestado o no prestado a un paciente bajo el cuidado de un asegurado, esta subsección (B) se aplicará únicamente con respecto a cualquier paciente que se sospeche que tiene o haya sido diagnosticado con cualquier enfermedad contagiosa enumerada o cualquier enfermedad.”</w:t>
            </w:r>
            <w:r w:rsidR="00B645BB">
              <w:rPr>
                <w:rFonts w:ascii="Century Gothic" w:eastAsia="Arial" w:hAnsi="Century Gothic" w:cs="Arial"/>
                <w:color w:val="000000"/>
                <w:sz w:val="22"/>
                <w:szCs w:val="22"/>
                <w:lang w:val="es-CO"/>
              </w:rPr>
              <w:t xml:space="preserve"> Del tal modo, </w:t>
            </w:r>
            <w:r w:rsidR="00B645BB">
              <w:rPr>
                <w:rFonts w:ascii="Century Gothic" w:eastAsia="Arial" w:hAnsi="Century Gothic" w:cs="Arial"/>
                <w:color w:val="000000"/>
                <w:sz w:val="22"/>
                <w:szCs w:val="22"/>
              </w:rPr>
              <w:t>se tiene que, p</w:t>
            </w:r>
            <w:r w:rsidR="00B645BB" w:rsidRPr="00B645BB">
              <w:rPr>
                <w:rFonts w:ascii="Century Gothic" w:eastAsia="Arial" w:hAnsi="Century Gothic" w:cs="Arial"/>
                <w:color w:val="000000"/>
                <w:sz w:val="22"/>
                <w:szCs w:val="22"/>
              </w:rPr>
              <w:t xml:space="preserve">ara la fecha de los hechos, el 6 de octubre de 2020, el país se encontraba en medio de una crisis sanitaria derivada de la pandemia por COVID-19, lo cual generó una grave sobrecarga en el sistema de salud. Esta situación ocasionó limitaciones en la disponibilidad de personal, insumos y capacidad hospitalaria. Incluso </w:t>
            </w:r>
            <w:r w:rsidR="00B645BB">
              <w:rPr>
                <w:rFonts w:ascii="Century Gothic" w:eastAsia="Arial" w:hAnsi="Century Gothic" w:cs="Arial"/>
                <w:color w:val="000000"/>
                <w:sz w:val="22"/>
                <w:szCs w:val="22"/>
              </w:rPr>
              <w:t xml:space="preserve">dentro del proceso tal como se indica en la demanda </w:t>
            </w:r>
            <w:r w:rsidR="00B645BB" w:rsidRPr="00B645BB">
              <w:rPr>
                <w:rFonts w:ascii="Century Gothic" w:eastAsia="Arial" w:hAnsi="Century Gothic" w:cs="Arial"/>
                <w:color w:val="000000"/>
                <w:sz w:val="22"/>
                <w:szCs w:val="22"/>
              </w:rPr>
              <w:t>se reportó que una enfermera se negó a atender a la paciente por temor al contagio, actuación que</w:t>
            </w:r>
            <w:r w:rsidR="00B645BB">
              <w:rPr>
                <w:rFonts w:ascii="Century Gothic" w:eastAsia="Arial" w:hAnsi="Century Gothic" w:cs="Arial"/>
                <w:color w:val="000000"/>
                <w:sz w:val="22"/>
                <w:szCs w:val="22"/>
              </w:rPr>
              <w:t xml:space="preserve"> </w:t>
            </w:r>
            <w:r w:rsidR="00B645BB" w:rsidRPr="00B645BB">
              <w:rPr>
                <w:rFonts w:ascii="Century Gothic" w:eastAsia="Arial" w:hAnsi="Century Gothic" w:cs="Arial"/>
                <w:color w:val="000000"/>
                <w:sz w:val="22"/>
                <w:szCs w:val="22"/>
              </w:rPr>
              <w:t>se enmarca en la exclusión pactada en la póliza, al no obedecer a una omisión arbitraria, sino a condiciones excepcionales derivadas de la emergencia sanitaria. Por lo tanto, se configura la causal de exclusión, lo que impide hacer efectiva la cobertura.</w:t>
            </w:r>
          </w:p>
          <w:p w14:paraId="4AD032EF" w14:textId="2E33EBCF" w:rsidR="002546E3" w:rsidRPr="002546E3" w:rsidRDefault="002546E3" w:rsidP="002546E3">
            <w:pPr>
              <w:spacing w:after="240" w:line="276" w:lineRule="auto"/>
              <w:jc w:val="both"/>
              <w:rPr>
                <w:rFonts w:ascii="Century Gothic" w:eastAsia="Arial" w:hAnsi="Century Gothic" w:cs="Arial"/>
                <w:color w:val="000000"/>
                <w:sz w:val="22"/>
                <w:szCs w:val="22"/>
                <w:lang w:val="es-CO"/>
              </w:rPr>
            </w:pPr>
            <w:r w:rsidRPr="002546E3">
              <w:rPr>
                <w:rFonts w:ascii="Century Gothic" w:eastAsia="Arial" w:hAnsi="Century Gothic" w:cs="Arial"/>
                <w:color w:val="000000"/>
                <w:sz w:val="22"/>
                <w:szCs w:val="22"/>
                <w:lang w:val="es-CO"/>
              </w:rPr>
              <w:t>En relación con la responsabilidad de la E.P.S. Sanitas S.A., se observa que en el expediente no obra prueba médico-científica que permita acreditar un error atribuible al personal de salud, como podría ser un dictamen pericial o un informe técnico especializado. Ahora bien, si bien es cierto que la paciente no fue remitida oportunamente a una IPS de mayor complejidad, tal circunstancia se enmarcó en el contexto del colapso generalizado del sistema de salud derivado de la pandemia de COVID-19, lo que condicionó el cumplimiento de las obligaciones de la EPS a la disponibilidad real de recursos en ese momento. En consecuencia, corresponderá al juez determinar la eventual responsabilidad de la entidad, con fundamento en las pruebas que obren en el proceso.</w:t>
            </w:r>
            <w:r>
              <w:rPr>
                <w:rFonts w:ascii="Century Gothic" w:eastAsia="Arial" w:hAnsi="Century Gothic" w:cs="Arial"/>
                <w:color w:val="000000"/>
                <w:sz w:val="22"/>
                <w:szCs w:val="22"/>
                <w:lang w:val="es-CO"/>
              </w:rPr>
              <w:t xml:space="preserve"> </w:t>
            </w:r>
            <w:r w:rsidRPr="002546E3">
              <w:rPr>
                <w:rFonts w:ascii="Century Gothic" w:eastAsia="Arial" w:hAnsi="Century Gothic" w:cs="Arial"/>
                <w:color w:val="000000"/>
                <w:sz w:val="22"/>
                <w:szCs w:val="22"/>
                <w:lang w:val="es-CO"/>
              </w:rPr>
              <w:t>Frente a lo anterior, debe dejarse en claro a la compañía que contamos con argumentos de defensa, en particular, las exclusiones pactadas en la póliza y la ausencia de una demostración efectiva de la responsabilidad del asegurado. Sin embargo, conforme al artículo 1077 del Código de Comercio, “el asegurador deberá demostrar los hechos o circunstancias excluyentes de su responsabilidad”. En este sentido, aun existiendo exclusiones expresamente convenidas, recae sobre nosotros la carga probatoria de acreditarlas en juicio. Por lo tanto, desde una perspectiva conservadora, es necesario reconocer la existencia de una contingencia probable en la cual la póliza pueda llegar a prestar cobertura.</w:t>
            </w:r>
          </w:p>
          <w:p w14:paraId="7419D57C" w14:textId="770D1906" w:rsidR="002546E3" w:rsidRPr="00B645BB" w:rsidRDefault="002546E3" w:rsidP="009744C6">
            <w:pPr>
              <w:spacing w:after="240" w:line="276" w:lineRule="auto"/>
              <w:jc w:val="both"/>
              <w:rPr>
                <w:rFonts w:ascii="Century Gothic" w:eastAsia="Arial" w:hAnsi="Century Gothic" w:cs="Arial"/>
                <w:color w:val="000000"/>
                <w:sz w:val="22"/>
                <w:szCs w:val="22"/>
              </w:rPr>
            </w:pPr>
            <w:r w:rsidRPr="002546E3">
              <w:rPr>
                <w:rFonts w:ascii="Century Gothic" w:eastAsia="Arial" w:hAnsi="Century Gothic" w:cs="Arial"/>
                <w:color w:val="000000"/>
                <w:sz w:val="22"/>
                <w:szCs w:val="22"/>
              </w:rPr>
              <w:t>temporal y material, pero tenemos una exclusión que debemos demostrar en juicio.</w:t>
            </w:r>
          </w:p>
          <w:p w14:paraId="5E918AA0" w14:textId="7F289B8C" w:rsidR="00866C32" w:rsidRPr="00866C32" w:rsidRDefault="00866C32" w:rsidP="009744C6">
            <w:pPr>
              <w:spacing w:after="240" w:line="276" w:lineRule="auto"/>
              <w:jc w:val="both"/>
              <w:rPr>
                <w:rFonts w:ascii="Century Gothic" w:eastAsia="Arial" w:hAnsi="Century Gothic" w:cs="Arial"/>
                <w:sz w:val="22"/>
                <w:szCs w:val="22"/>
              </w:rPr>
            </w:pPr>
            <w:r w:rsidRPr="00866C32">
              <w:rPr>
                <w:rFonts w:ascii="Century Gothic" w:eastAsia="Arial" w:hAnsi="Century Gothic" w:cs="Arial"/>
                <w:sz w:val="22"/>
                <w:szCs w:val="22"/>
              </w:rPr>
              <w:t>Lo esgrimido sin perjuicio del carácter contingente del proceso.</w:t>
            </w:r>
          </w:p>
          <w:p w14:paraId="1C38EFE7" w14:textId="6EB9F0E7" w:rsidR="00844594" w:rsidRPr="00866C32" w:rsidRDefault="00844594" w:rsidP="009744C6">
            <w:pPr>
              <w:spacing w:line="276" w:lineRule="auto"/>
              <w:jc w:val="center"/>
              <w:rPr>
                <w:rFonts w:ascii="Century Gothic" w:hAnsi="Century Gothic"/>
                <w:b/>
                <w:bCs/>
                <w:sz w:val="22"/>
                <w:szCs w:val="22"/>
                <w:lang w:val="es-CO"/>
              </w:rPr>
            </w:pPr>
            <w:r w:rsidRPr="00866C32">
              <w:rPr>
                <w:rFonts w:ascii="Century Gothic" w:hAnsi="Century Gothic"/>
                <w:b/>
                <w:bCs/>
                <w:sz w:val="22"/>
                <w:szCs w:val="22"/>
                <w:lang w:val="es-CO"/>
              </w:rPr>
              <w:t> </w:t>
            </w:r>
          </w:p>
          <w:p w14:paraId="4F582CEF" w14:textId="77777777" w:rsidR="00844594" w:rsidRPr="00866C32" w:rsidRDefault="00844594" w:rsidP="009744C6">
            <w:pPr>
              <w:spacing w:line="276" w:lineRule="auto"/>
              <w:jc w:val="center"/>
              <w:rPr>
                <w:rFonts w:ascii="Century Gothic" w:hAnsi="Century Gothic"/>
                <w:b/>
                <w:bCs/>
                <w:sz w:val="22"/>
                <w:szCs w:val="22"/>
                <w:lang w:val="es-CO"/>
              </w:rPr>
            </w:pPr>
            <w:r w:rsidRPr="00866C32">
              <w:rPr>
                <w:rFonts w:ascii="Century Gothic" w:hAnsi="Century Gothic"/>
                <w:b/>
                <w:bCs/>
                <w:sz w:val="22"/>
                <w:szCs w:val="22"/>
                <w:lang w:val="es-ES"/>
              </w:rPr>
              <w:t>GUSTAVO ALBERTO HERRERA ÁVILA    </w:t>
            </w:r>
            <w:r w:rsidRPr="00866C32">
              <w:rPr>
                <w:rFonts w:ascii="Century Gothic" w:hAnsi="Century Gothic"/>
                <w:b/>
                <w:bCs/>
                <w:sz w:val="22"/>
                <w:szCs w:val="22"/>
                <w:lang w:val="es-CO"/>
              </w:rPr>
              <w:t> </w:t>
            </w:r>
          </w:p>
          <w:p w14:paraId="04C0B9A0" w14:textId="77777777" w:rsidR="00844594" w:rsidRPr="00866C32" w:rsidRDefault="00844594" w:rsidP="009744C6">
            <w:pPr>
              <w:spacing w:line="276" w:lineRule="auto"/>
              <w:jc w:val="center"/>
              <w:rPr>
                <w:rFonts w:ascii="Century Gothic" w:hAnsi="Century Gothic"/>
                <w:b/>
                <w:bCs/>
                <w:sz w:val="22"/>
                <w:szCs w:val="22"/>
                <w:lang w:val="es-CO"/>
              </w:rPr>
            </w:pPr>
            <w:r w:rsidRPr="00866C32">
              <w:rPr>
                <w:rFonts w:ascii="Century Gothic" w:hAnsi="Century Gothic"/>
                <w:b/>
                <w:bCs/>
                <w:sz w:val="22"/>
                <w:szCs w:val="22"/>
                <w:lang w:val="es-ES"/>
              </w:rPr>
              <w:t>C.C. No 19.395.114</w:t>
            </w:r>
            <w:r w:rsidRPr="00866C32">
              <w:rPr>
                <w:rFonts w:ascii="Century Gothic" w:hAnsi="Century Gothic"/>
                <w:b/>
                <w:bCs/>
                <w:sz w:val="22"/>
                <w:szCs w:val="22"/>
                <w:lang w:val="es-CO"/>
              </w:rPr>
              <w:t> </w:t>
            </w:r>
          </w:p>
          <w:p w14:paraId="709DD8B5" w14:textId="77777777" w:rsidR="00844594" w:rsidRPr="00866C32" w:rsidRDefault="00844594" w:rsidP="009744C6">
            <w:pPr>
              <w:spacing w:line="276" w:lineRule="auto"/>
              <w:jc w:val="center"/>
              <w:rPr>
                <w:rFonts w:ascii="Century Gothic" w:hAnsi="Century Gothic"/>
                <w:b/>
                <w:bCs/>
                <w:sz w:val="22"/>
                <w:szCs w:val="22"/>
                <w:lang w:val="es-CO"/>
              </w:rPr>
            </w:pPr>
            <w:r w:rsidRPr="00866C32">
              <w:rPr>
                <w:rFonts w:ascii="Century Gothic" w:hAnsi="Century Gothic"/>
                <w:b/>
                <w:bCs/>
                <w:sz w:val="22"/>
                <w:szCs w:val="22"/>
                <w:lang w:val="es-ES"/>
              </w:rPr>
              <w:t>T.P. No. 39.116 del C.S. de la J.</w:t>
            </w:r>
            <w:r w:rsidRPr="00866C32">
              <w:rPr>
                <w:rFonts w:ascii="Century Gothic" w:hAnsi="Century Gothic"/>
                <w:b/>
                <w:bCs/>
                <w:sz w:val="22"/>
                <w:szCs w:val="22"/>
                <w:lang w:val="es-CO"/>
              </w:rPr>
              <w:t> </w:t>
            </w:r>
          </w:p>
          <w:p w14:paraId="3A806213" w14:textId="4938E213" w:rsidR="00BA1E5F" w:rsidRPr="00866C32" w:rsidRDefault="002546E3" w:rsidP="002546E3">
            <w:pPr>
              <w:spacing w:line="276" w:lineRule="auto"/>
              <w:jc w:val="center"/>
              <w:rPr>
                <w:rFonts w:ascii="Century Gothic" w:hAnsi="Century Gothic"/>
                <w:b/>
                <w:bCs/>
                <w:sz w:val="22"/>
                <w:szCs w:val="22"/>
              </w:rPr>
            </w:pPr>
            <w:r>
              <w:rPr>
                <w:rFonts w:ascii="Century Gothic" w:hAnsi="Century Gothic"/>
                <w:b/>
                <w:bCs/>
                <w:sz w:val="22"/>
                <w:szCs w:val="22"/>
                <w:lang w:val="es-CO"/>
              </w:rPr>
              <w:t>LNM</w:t>
            </w:r>
          </w:p>
        </w:tc>
      </w:tr>
    </w:tbl>
    <w:p w14:paraId="66CA6B89" w14:textId="77777777" w:rsidR="002633C0" w:rsidRPr="00866C32" w:rsidRDefault="002633C0" w:rsidP="009744C6">
      <w:pPr>
        <w:spacing w:line="276" w:lineRule="auto"/>
        <w:rPr>
          <w:rFonts w:ascii="Century Gothic" w:hAnsi="Century Gothic"/>
          <w:sz w:val="22"/>
          <w:szCs w:val="22"/>
        </w:rPr>
      </w:pPr>
    </w:p>
    <w:sectPr w:rsidR="002633C0" w:rsidRPr="00866C32"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5BD15" w14:textId="77777777" w:rsidR="00C87E91" w:rsidRDefault="00C87E91" w:rsidP="00E7033F">
      <w:r>
        <w:separator/>
      </w:r>
    </w:p>
  </w:endnote>
  <w:endnote w:type="continuationSeparator" w:id="0">
    <w:p w14:paraId="1A550900" w14:textId="77777777" w:rsidR="00C87E91" w:rsidRDefault="00C87E9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C3E2A" w14:textId="77777777" w:rsidR="00C87E91" w:rsidRDefault="00C87E91" w:rsidP="00E7033F">
      <w:r>
        <w:separator/>
      </w:r>
    </w:p>
  </w:footnote>
  <w:footnote w:type="continuationSeparator" w:id="0">
    <w:p w14:paraId="25CC42E5" w14:textId="77777777" w:rsidR="00C87E91" w:rsidRDefault="00C87E9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D21CE"/>
    <w:multiLevelType w:val="hybridMultilevel"/>
    <w:tmpl w:val="02C20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226CE2"/>
    <w:multiLevelType w:val="hybridMultilevel"/>
    <w:tmpl w:val="3544F8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FD4089"/>
    <w:multiLevelType w:val="hybridMultilevel"/>
    <w:tmpl w:val="EEDC3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DF67EF"/>
    <w:multiLevelType w:val="hybridMultilevel"/>
    <w:tmpl w:val="3F6ED4DC"/>
    <w:lvl w:ilvl="0" w:tplc="2E82AF4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041CA8"/>
    <w:multiLevelType w:val="hybridMultilevel"/>
    <w:tmpl w:val="545E3606"/>
    <w:lvl w:ilvl="0" w:tplc="E01C2F86">
      <w:start w:val="1"/>
      <w:numFmt w:val="decimal"/>
      <w:lvlText w:val="%1."/>
      <w:lvlJc w:val="left"/>
      <w:pPr>
        <w:ind w:left="1080" w:hanging="360"/>
      </w:pPr>
      <w:rPr>
        <w:rFonts w:ascii="Century Gothic" w:eastAsiaTheme="minorHAnsi" w:hAnsi="Century Gothic"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2226592"/>
    <w:multiLevelType w:val="hybridMultilevel"/>
    <w:tmpl w:val="02C20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7"/>
  </w:num>
  <w:num w:numId="2" w16cid:durableId="1536385128">
    <w:abstractNumId w:val="8"/>
  </w:num>
  <w:num w:numId="3" w16cid:durableId="1804889415">
    <w:abstractNumId w:val="9"/>
  </w:num>
  <w:num w:numId="4" w16cid:durableId="1818954244">
    <w:abstractNumId w:val="15"/>
  </w:num>
  <w:num w:numId="5" w16cid:durableId="2096005050">
    <w:abstractNumId w:val="4"/>
  </w:num>
  <w:num w:numId="6" w16cid:durableId="920456693">
    <w:abstractNumId w:val="11"/>
  </w:num>
  <w:num w:numId="7" w16cid:durableId="200555471">
    <w:abstractNumId w:val="21"/>
  </w:num>
  <w:num w:numId="8" w16cid:durableId="1690984335">
    <w:abstractNumId w:val="14"/>
  </w:num>
  <w:num w:numId="9" w16cid:durableId="1635796242">
    <w:abstractNumId w:val="2"/>
  </w:num>
  <w:num w:numId="10" w16cid:durableId="957444552">
    <w:abstractNumId w:val="3"/>
  </w:num>
  <w:num w:numId="11" w16cid:durableId="1114792931">
    <w:abstractNumId w:val="17"/>
  </w:num>
  <w:num w:numId="12" w16cid:durableId="246814580">
    <w:abstractNumId w:val="10"/>
  </w:num>
  <w:num w:numId="13" w16cid:durableId="401104914">
    <w:abstractNumId w:val="20"/>
  </w:num>
  <w:num w:numId="14" w16cid:durableId="305279553">
    <w:abstractNumId w:val="12"/>
  </w:num>
  <w:num w:numId="15" w16cid:durableId="1536036677">
    <w:abstractNumId w:val="1"/>
  </w:num>
  <w:num w:numId="16" w16cid:durableId="1285891254">
    <w:abstractNumId w:val="0"/>
  </w:num>
  <w:num w:numId="17" w16cid:durableId="1150712293">
    <w:abstractNumId w:val="16"/>
  </w:num>
  <w:num w:numId="18" w16cid:durableId="1693799515">
    <w:abstractNumId w:val="5"/>
  </w:num>
  <w:num w:numId="19" w16cid:durableId="191190322">
    <w:abstractNumId w:val="6"/>
  </w:num>
  <w:num w:numId="20" w16cid:durableId="1631280466">
    <w:abstractNumId w:val="18"/>
  </w:num>
  <w:num w:numId="21" w16cid:durableId="1542595605">
    <w:abstractNumId w:val="13"/>
  </w:num>
  <w:num w:numId="22" w16cid:durableId="17454863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049"/>
    <w:rsid w:val="00015115"/>
    <w:rsid w:val="000554F9"/>
    <w:rsid w:val="00060489"/>
    <w:rsid w:val="00072BFC"/>
    <w:rsid w:val="00074C47"/>
    <w:rsid w:val="00080AA0"/>
    <w:rsid w:val="000904CD"/>
    <w:rsid w:val="000949A4"/>
    <w:rsid w:val="000B36D8"/>
    <w:rsid w:val="000D23FC"/>
    <w:rsid w:val="000E5AE6"/>
    <w:rsid w:val="000F5CF0"/>
    <w:rsid w:val="001129B6"/>
    <w:rsid w:val="00181E11"/>
    <w:rsid w:val="001C44B4"/>
    <w:rsid w:val="001D1D70"/>
    <w:rsid w:val="001D506B"/>
    <w:rsid w:val="001E096B"/>
    <w:rsid w:val="001E1616"/>
    <w:rsid w:val="001E5C79"/>
    <w:rsid w:val="001F19F9"/>
    <w:rsid w:val="001F5B15"/>
    <w:rsid w:val="00206D20"/>
    <w:rsid w:val="002326C2"/>
    <w:rsid w:val="00235ECA"/>
    <w:rsid w:val="002546E3"/>
    <w:rsid w:val="00263011"/>
    <w:rsid w:val="002633C0"/>
    <w:rsid w:val="002830E9"/>
    <w:rsid w:val="002A0E98"/>
    <w:rsid w:val="002D02D3"/>
    <w:rsid w:val="002E1D2C"/>
    <w:rsid w:val="00311097"/>
    <w:rsid w:val="00314CAF"/>
    <w:rsid w:val="00324E27"/>
    <w:rsid w:val="003314A2"/>
    <w:rsid w:val="003436B9"/>
    <w:rsid w:val="00350346"/>
    <w:rsid w:val="003631BB"/>
    <w:rsid w:val="0036516B"/>
    <w:rsid w:val="00377C70"/>
    <w:rsid w:val="003827E1"/>
    <w:rsid w:val="003B44CB"/>
    <w:rsid w:val="003B7F1A"/>
    <w:rsid w:val="003E2F86"/>
    <w:rsid w:val="00403BFC"/>
    <w:rsid w:val="00437455"/>
    <w:rsid w:val="00443935"/>
    <w:rsid w:val="00445ED0"/>
    <w:rsid w:val="00457561"/>
    <w:rsid w:val="004845C1"/>
    <w:rsid w:val="00493936"/>
    <w:rsid w:val="004B1072"/>
    <w:rsid w:val="004B3DDF"/>
    <w:rsid w:val="004C7D4E"/>
    <w:rsid w:val="004F0549"/>
    <w:rsid w:val="00504FFB"/>
    <w:rsid w:val="00517CE1"/>
    <w:rsid w:val="005C1AAA"/>
    <w:rsid w:val="005F5B9B"/>
    <w:rsid w:val="005F61D3"/>
    <w:rsid w:val="006056E7"/>
    <w:rsid w:val="00656A54"/>
    <w:rsid w:val="00686467"/>
    <w:rsid w:val="00694306"/>
    <w:rsid w:val="006A1563"/>
    <w:rsid w:val="006B1302"/>
    <w:rsid w:val="006B6B50"/>
    <w:rsid w:val="006F0CAA"/>
    <w:rsid w:val="0072227A"/>
    <w:rsid w:val="0072252C"/>
    <w:rsid w:val="00750B5E"/>
    <w:rsid w:val="007617DF"/>
    <w:rsid w:val="00761B63"/>
    <w:rsid w:val="00765B0F"/>
    <w:rsid w:val="00794C28"/>
    <w:rsid w:val="007C37D7"/>
    <w:rsid w:val="008113DF"/>
    <w:rsid w:val="00844594"/>
    <w:rsid w:val="00866C32"/>
    <w:rsid w:val="008736B0"/>
    <w:rsid w:val="008B59F4"/>
    <w:rsid w:val="008B61E5"/>
    <w:rsid w:val="008B685D"/>
    <w:rsid w:val="008E0073"/>
    <w:rsid w:val="008E249B"/>
    <w:rsid w:val="008F6B57"/>
    <w:rsid w:val="00922F57"/>
    <w:rsid w:val="00936DC6"/>
    <w:rsid w:val="0095378E"/>
    <w:rsid w:val="009744C6"/>
    <w:rsid w:val="009820E4"/>
    <w:rsid w:val="00987619"/>
    <w:rsid w:val="00992368"/>
    <w:rsid w:val="00996B7A"/>
    <w:rsid w:val="009A06ED"/>
    <w:rsid w:val="009A0BFB"/>
    <w:rsid w:val="009B474F"/>
    <w:rsid w:val="009D5250"/>
    <w:rsid w:val="009E5B36"/>
    <w:rsid w:val="009E5DAE"/>
    <w:rsid w:val="00A125AE"/>
    <w:rsid w:val="00A2349B"/>
    <w:rsid w:val="00A374C4"/>
    <w:rsid w:val="00A822AC"/>
    <w:rsid w:val="00AB553F"/>
    <w:rsid w:val="00AD2BA6"/>
    <w:rsid w:val="00AE6EC2"/>
    <w:rsid w:val="00B04CAC"/>
    <w:rsid w:val="00B2787D"/>
    <w:rsid w:val="00B645BB"/>
    <w:rsid w:val="00B775EB"/>
    <w:rsid w:val="00B90E05"/>
    <w:rsid w:val="00B9755C"/>
    <w:rsid w:val="00BA0472"/>
    <w:rsid w:val="00BA1E5F"/>
    <w:rsid w:val="00BB2608"/>
    <w:rsid w:val="00BD1C61"/>
    <w:rsid w:val="00C5222D"/>
    <w:rsid w:val="00C860F5"/>
    <w:rsid w:val="00C87E91"/>
    <w:rsid w:val="00C96FD0"/>
    <w:rsid w:val="00CB1607"/>
    <w:rsid w:val="00CB6BC8"/>
    <w:rsid w:val="00CE1BB7"/>
    <w:rsid w:val="00D0794C"/>
    <w:rsid w:val="00D33414"/>
    <w:rsid w:val="00D35F0D"/>
    <w:rsid w:val="00D6248E"/>
    <w:rsid w:val="00D82942"/>
    <w:rsid w:val="00D95BC4"/>
    <w:rsid w:val="00DA50CB"/>
    <w:rsid w:val="00DA5ACD"/>
    <w:rsid w:val="00DC04D4"/>
    <w:rsid w:val="00DD6A64"/>
    <w:rsid w:val="00DE5BEB"/>
    <w:rsid w:val="00DF25DE"/>
    <w:rsid w:val="00DF4057"/>
    <w:rsid w:val="00E02A2D"/>
    <w:rsid w:val="00E26A9D"/>
    <w:rsid w:val="00E54BE1"/>
    <w:rsid w:val="00E7033F"/>
    <w:rsid w:val="00E802BC"/>
    <w:rsid w:val="00EB5FFB"/>
    <w:rsid w:val="00ED569D"/>
    <w:rsid w:val="00EE687D"/>
    <w:rsid w:val="00F24A2E"/>
    <w:rsid w:val="00F44523"/>
    <w:rsid w:val="00F62D63"/>
    <w:rsid w:val="00F643DC"/>
    <w:rsid w:val="00F64946"/>
    <w:rsid w:val="00F67EF8"/>
    <w:rsid w:val="00F856C2"/>
    <w:rsid w:val="00F8712E"/>
    <w:rsid w:val="00F90650"/>
    <w:rsid w:val="00F919EA"/>
    <w:rsid w:val="00FC01A7"/>
    <w:rsid w:val="00FC0C7C"/>
    <w:rsid w:val="00FD0E9C"/>
    <w:rsid w:val="00FD0FD5"/>
    <w:rsid w:val="00FD53B3"/>
    <w:rsid w:val="00FE2C9F"/>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 w:type="paragraph" w:styleId="Revisin">
    <w:name w:val="Revision"/>
    <w:hidden/>
    <w:uiPriority w:val="99"/>
    <w:semiHidden/>
    <w:rsid w:val="001F19F9"/>
  </w:style>
  <w:style w:type="character" w:styleId="Refdecomentario">
    <w:name w:val="annotation reference"/>
    <w:basedOn w:val="Fuentedeprrafopredeter"/>
    <w:uiPriority w:val="99"/>
    <w:semiHidden/>
    <w:unhideWhenUsed/>
    <w:rsid w:val="001F19F9"/>
    <w:rPr>
      <w:sz w:val="16"/>
      <w:szCs w:val="16"/>
    </w:rPr>
  </w:style>
  <w:style w:type="paragraph" w:styleId="Textocomentario">
    <w:name w:val="annotation text"/>
    <w:basedOn w:val="Normal"/>
    <w:link w:val="TextocomentarioCar"/>
    <w:uiPriority w:val="99"/>
    <w:unhideWhenUsed/>
    <w:rsid w:val="001F19F9"/>
    <w:rPr>
      <w:sz w:val="20"/>
      <w:szCs w:val="20"/>
    </w:rPr>
  </w:style>
  <w:style w:type="character" w:customStyle="1" w:styleId="TextocomentarioCar">
    <w:name w:val="Texto comentario Car"/>
    <w:basedOn w:val="Fuentedeprrafopredeter"/>
    <w:link w:val="Textocomentario"/>
    <w:uiPriority w:val="99"/>
    <w:rsid w:val="001F19F9"/>
    <w:rPr>
      <w:sz w:val="20"/>
      <w:szCs w:val="20"/>
    </w:rPr>
  </w:style>
  <w:style w:type="paragraph" w:styleId="Asuntodelcomentario">
    <w:name w:val="annotation subject"/>
    <w:basedOn w:val="Textocomentario"/>
    <w:next w:val="Textocomentario"/>
    <w:link w:val="AsuntodelcomentarioCar"/>
    <w:uiPriority w:val="99"/>
    <w:semiHidden/>
    <w:unhideWhenUsed/>
    <w:rsid w:val="001F19F9"/>
    <w:rPr>
      <w:b/>
      <w:bCs/>
    </w:rPr>
  </w:style>
  <w:style w:type="character" w:customStyle="1" w:styleId="AsuntodelcomentarioCar">
    <w:name w:val="Asunto del comentario Car"/>
    <w:basedOn w:val="TextocomentarioCar"/>
    <w:link w:val="Asuntodelcomentario"/>
    <w:uiPriority w:val="99"/>
    <w:semiHidden/>
    <w:rsid w:val="001F19F9"/>
    <w:rPr>
      <w:b/>
      <w:bCs/>
      <w:sz w:val="20"/>
      <w:szCs w:val="20"/>
    </w:rPr>
  </w:style>
  <w:style w:type="character" w:customStyle="1" w:styleId="baj">
    <w:name w:val="b_aj"/>
    <w:basedOn w:val="Fuentedeprrafopredeter"/>
    <w:rsid w:val="00443935"/>
  </w:style>
  <w:style w:type="paragraph" w:customStyle="1" w:styleId="centrado">
    <w:name w:val="centrado"/>
    <w:basedOn w:val="Normal"/>
    <w:rsid w:val="00443935"/>
    <w:pPr>
      <w:spacing w:before="100" w:beforeAutospacing="1" w:after="100" w:afterAutospacing="1"/>
    </w:pPr>
    <w:rPr>
      <w:rFonts w:ascii="Times New Roman" w:eastAsia="Times New Roman" w:hAnsi="Times New Roman" w:cs="Times New Roman"/>
      <w:lang w:val="es-CO" w:eastAsia="es-MX"/>
    </w:rPr>
  </w:style>
  <w:style w:type="paragraph" w:styleId="Textonotapie">
    <w:name w:val="footnote text"/>
    <w:basedOn w:val="Normal"/>
    <w:link w:val="TextonotapieCar"/>
    <w:uiPriority w:val="99"/>
    <w:semiHidden/>
    <w:unhideWhenUsed/>
    <w:rsid w:val="00C96FD0"/>
    <w:rPr>
      <w:sz w:val="20"/>
      <w:szCs w:val="20"/>
    </w:rPr>
  </w:style>
  <w:style w:type="character" w:customStyle="1" w:styleId="TextonotapieCar">
    <w:name w:val="Texto nota pie Car"/>
    <w:basedOn w:val="Fuentedeprrafopredeter"/>
    <w:link w:val="Textonotapie"/>
    <w:uiPriority w:val="99"/>
    <w:semiHidden/>
    <w:rsid w:val="00C96FD0"/>
    <w:rPr>
      <w:sz w:val="20"/>
      <w:szCs w:val="20"/>
    </w:rPr>
  </w:style>
  <w:style w:type="character" w:styleId="Refdenotaalpie">
    <w:name w:val="footnote reference"/>
    <w:basedOn w:val="Fuentedeprrafopredeter"/>
    <w:uiPriority w:val="99"/>
    <w:semiHidden/>
    <w:unhideWhenUsed/>
    <w:rsid w:val="00C96F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20377690">
      <w:bodyDiv w:val="1"/>
      <w:marLeft w:val="0"/>
      <w:marRight w:val="0"/>
      <w:marTop w:val="0"/>
      <w:marBottom w:val="0"/>
      <w:divBdr>
        <w:top w:val="none" w:sz="0" w:space="0" w:color="auto"/>
        <w:left w:val="none" w:sz="0" w:space="0" w:color="auto"/>
        <w:bottom w:val="none" w:sz="0" w:space="0" w:color="auto"/>
        <w:right w:val="none" w:sz="0" w:space="0" w:color="auto"/>
      </w:divBdr>
    </w:div>
    <w:div w:id="671833586">
      <w:bodyDiv w:val="1"/>
      <w:marLeft w:val="0"/>
      <w:marRight w:val="0"/>
      <w:marTop w:val="0"/>
      <w:marBottom w:val="0"/>
      <w:divBdr>
        <w:top w:val="none" w:sz="0" w:space="0" w:color="auto"/>
        <w:left w:val="none" w:sz="0" w:space="0" w:color="auto"/>
        <w:bottom w:val="none" w:sz="0" w:space="0" w:color="auto"/>
        <w:right w:val="none" w:sz="0" w:space="0" w:color="auto"/>
      </w:divBdr>
    </w:div>
    <w:div w:id="678772505">
      <w:bodyDiv w:val="1"/>
      <w:marLeft w:val="0"/>
      <w:marRight w:val="0"/>
      <w:marTop w:val="0"/>
      <w:marBottom w:val="0"/>
      <w:divBdr>
        <w:top w:val="none" w:sz="0" w:space="0" w:color="auto"/>
        <w:left w:val="none" w:sz="0" w:space="0" w:color="auto"/>
        <w:bottom w:val="none" w:sz="0" w:space="0" w:color="auto"/>
        <w:right w:val="none" w:sz="0" w:space="0" w:color="auto"/>
      </w:divBdr>
      <w:divsChild>
        <w:div w:id="205800227">
          <w:marLeft w:val="0"/>
          <w:marRight w:val="0"/>
          <w:marTop w:val="0"/>
          <w:marBottom w:val="0"/>
          <w:divBdr>
            <w:top w:val="none" w:sz="0" w:space="0" w:color="auto"/>
            <w:left w:val="none" w:sz="0" w:space="0" w:color="auto"/>
            <w:bottom w:val="none" w:sz="0" w:space="0" w:color="auto"/>
            <w:right w:val="none" w:sz="0" w:space="0" w:color="auto"/>
          </w:divBdr>
          <w:divsChild>
            <w:div w:id="1057167125">
              <w:marLeft w:val="0"/>
              <w:marRight w:val="0"/>
              <w:marTop w:val="0"/>
              <w:marBottom w:val="0"/>
              <w:divBdr>
                <w:top w:val="none" w:sz="0" w:space="0" w:color="auto"/>
                <w:left w:val="none" w:sz="0" w:space="0" w:color="auto"/>
                <w:bottom w:val="none" w:sz="0" w:space="0" w:color="auto"/>
                <w:right w:val="none" w:sz="0" w:space="0" w:color="auto"/>
              </w:divBdr>
              <w:divsChild>
                <w:div w:id="1578663866">
                  <w:marLeft w:val="0"/>
                  <w:marRight w:val="0"/>
                  <w:marTop w:val="0"/>
                  <w:marBottom w:val="0"/>
                  <w:divBdr>
                    <w:top w:val="none" w:sz="0" w:space="0" w:color="auto"/>
                    <w:left w:val="none" w:sz="0" w:space="0" w:color="auto"/>
                    <w:bottom w:val="none" w:sz="0" w:space="0" w:color="auto"/>
                    <w:right w:val="none" w:sz="0" w:space="0" w:color="auto"/>
                  </w:divBdr>
                  <w:divsChild>
                    <w:div w:id="406995228">
                      <w:marLeft w:val="0"/>
                      <w:marRight w:val="0"/>
                      <w:marTop w:val="0"/>
                      <w:marBottom w:val="0"/>
                      <w:divBdr>
                        <w:top w:val="none" w:sz="0" w:space="0" w:color="auto"/>
                        <w:left w:val="none" w:sz="0" w:space="0" w:color="auto"/>
                        <w:bottom w:val="none" w:sz="0" w:space="0" w:color="auto"/>
                        <w:right w:val="none" w:sz="0" w:space="0" w:color="auto"/>
                      </w:divBdr>
                      <w:divsChild>
                        <w:div w:id="719983451">
                          <w:marLeft w:val="0"/>
                          <w:marRight w:val="0"/>
                          <w:marTop w:val="0"/>
                          <w:marBottom w:val="0"/>
                          <w:divBdr>
                            <w:top w:val="none" w:sz="0" w:space="0" w:color="auto"/>
                            <w:left w:val="none" w:sz="0" w:space="0" w:color="auto"/>
                            <w:bottom w:val="none" w:sz="0" w:space="0" w:color="auto"/>
                            <w:right w:val="none" w:sz="0" w:space="0" w:color="auto"/>
                          </w:divBdr>
                          <w:divsChild>
                            <w:div w:id="11079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80488988">
      <w:bodyDiv w:val="1"/>
      <w:marLeft w:val="0"/>
      <w:marRight w:val="0"/>
      <w:marTop w:val="0"/>
      <w:marBottom w:val="0"/>
      <w:divBdr>
        <w:top w:val="none" w:sz="0" w:space="0" w:color="auto"/>
        <w:left w:val="none" w:sz="0" w:space="0" w:color="auto"/>
        <w:bottom w:val="none" w:sz="0" w:space="0" w:color="auto"/>
        <w:right w:val="none" w:sz="0" w:space="0" w:color="auto"/>
      </w:divBdr>
      <w:divsChild>
        <w:div w:id="433062079">
          <w:marLeft w:val="0"/>
          <w:marRight w:val="0"/>
          <w:marTop w:val="0"/>
          <w:marBottom w:val="0"/>
          <w:divBdr>
            <w:top w:val="none" w:sz="0" w:space="0" w:color="auto"/>
            <w:left w:val="none" w:sz="0" w:space="0" w:color="auto"/>
            <w:bottom w:val="none" w:sz="0" w:space="0" w:color="auto"/>
            <w:right w:val="none" w:sz="0" w:space="0" w:color="auto"/>
          </w:divBdr>
          <w:divsChild>
            <w:div w:id="1246572985">
              <w:marLeft w:val="0"/>
              <w:marRight w:val="0"/>
              <w:marTop w:val="0"/>
              <w:marBottom w:val="0"/>
              <w:divBdr>
                <w:top w:val="none" w:sz="0" w:space="0" w:color="auto"/>
                <w:left w:val="none" w:sz="0" w:space="0" w:color="auto"/>
                <w:bottom w:val="none" w:sz="0" w:space="0" w:color="auto"/>
                <w:right w:val="none" w:sz="0" w:space="0" w:color="auto"/>
              </w:divBdr>
              <w:divsChild>
                <w:div w:id="1991903781">
                  <w:marLeft w:val="0"/>
                  <w:marRight w:val="0"/>
                  <w:marTop w:val="0"/>
                  <w:marBottom w:val="0"/>
                  <w:divBdr>
                    <w:top w:val="none" w:sz="0" w:space="0" w:color="auto"/>
                    <w:left w:val="none" w:sz="0" w:space="0" w:color="auto"/>
                    <w:bottom w:val="none" w:sz="0" w:space="0" w:color="auto"/>
                    <w:right w:val="none" w:sz="0" w:space="0" w:color="auto"/>
                  </w:divBdr>
                  <w:divsChild>
                    <w:div w:id="419181995">
                      <w:marLeft w:val="0"/>
                      <w:marRight w:val="0"/>
                      <w:marTop w:val="0"/>
                      <w:marBottom w:val="0"/>
                      <w:divBdr>
                        <w:top w:val="none" w:sz="0" w:space="0" w:color="auto"/>
                        <w:left w:val="none" w:sz="0" w:space="0" w:color="auto"/>
                        <w:bottom w:val="none" w:sz="0" w:space="0" w:color="auto"/>
                        <w:right w:val="none" w:sz="0" w:space="0" w:color="auto"/>
                      </w:divBdr>
                      <w:divsChild>
                        <w:div w:id="801651583">
                          <w:marLeft w:val="0"/>
                          <w:marRight w:val="0"/>
                          <w:marTop w:val="0"/>
                          <w:marBottom w:val="0"/>
                          <w:divBdr>
                            <w:top w:val="none" w:sz="0" w:space="0" w:color="auto"/>
                            <w:left w:val="none" w:sz="0" w:space="0" w:color="auto"/>
                            <w:bottom w:val="none" w:sz="0" w:space="0" w:color="auto"/>
                            <w:right w:val="none" w:sz="0" w:space="0" w:color="auto"/>
                          </w:divBdr>
                          <w:divsChild>
                            <w:div w:id="7749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952320296">
      <w:bodyDiv w:val="1"/>
      <w:marLeft w:val="0"/>
      <w:marRight w:val="0"/>
      <w:marTop w:val="0"/>
      <w:marBottom w:val="0"/>
      <w:divBdr>
        <w:top w:val="none" w:sz="0" w:space="0" w:color="auto"/>
        <w:left w:val="none" w:sz="0" w:space="0" w:color="auto"/>
        <w:bottom w:val="none" w:sz="0" w:space="0" w:color="auto"/>
        <w:right w:val="none" w:sz="0" w:space="0" w:color="auto"/>
      </w:divBdr>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809088448">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34232-F568-4F9A-8A74-90B4D14ADF88}">
  <ds:schemaRefs>
    <ds:schemaRef ds:uri="http://schemas.openxmlformats.org/officeDocument/2006/bibliography"/>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2318</Words>
  <Characters>12754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Lizeth Navarro</cp:lastModifiedBy>
  <cp:revision>2</cp:revision>
  <cp:lastPrinted>2025-01-20T16:39:00Z</cp:lastPrinted>
  <dcterms:created xsi:type="dcterms:W3CDTF">2025-08-29T15:26:00Z</dcterms:created>
  <dcterms:modified xsi:type="dcterms:W3CDTF">2025-08-29T15:26:00Z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