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2C6B" w14:textId="77777777" w:rsidR="00AB71D5" w:rsidRPr="005B5544" w:rsidRDefault="00AB71D5" w:rsidP="00651C29">
      <w:pPr>
        <w:spacing w:after="0" w:line="300" w:lineRule="auto"/>
        <w:jc w:val="center"/>
        <w:rPr>
          <w:rFonts w:ascii="Arial" w:hAnsi="Arial" w:cs="Arial"/>
          <w:b/>
        </w:rPr>
      </w:pPr>
      <w:r w:rsidRPr="005B5544">
        <w:rPr>
          <w:rFonts w:ascii="Arial" w:hAnsi="Arial" w:cs="Arial"/>
          <w:b/>
        </w:rPr>
        <w:t>INFORME PROCESO JUDICIAL</w:t>
      </w:r>
    </w:p>
    <w:p w14:paraId="30D9E827" w14:textId="09937AA3" w:rsidR="00AB71D5" w:rsidRPr="005B5544" w:rsidRDefault="00AB71D5" w:rsidP="00651C29">
      <w:pPr>
        <w:spacing w:after="0" w:line="300" w:lineRule="auto"/>
        <w:jc w:val="center"/>
        <w:rPr>
          <w:rFonts w:ascii="Arial" w:hAnsi="Arial" w:cs="Arial"/>
          <w:b/>
        </w:rPr>
      </w:pPr>
      <w:r w:rsidRPr="005B5544">
        <w:rPr>
          <w:rFonts w:ascii="Arial" w:hAnsi="Arial" w:cs="Arial"/>
          <w:b/>
        </w:rPr>
        <w:t>AUDIENCIA DEL ARTÍCULO</w:t>
      </w:r>
      <w:r w:rsidR="001F3D16" w:rsidRPr="005B5544">
        <w:rPr>
          <w:rFonts w:ascii="Arial" w:hAnsi="Arial" w:cs="Arial"/>
          <w:b/>
        </w:rPr>
        <w:t xml:space="preserve"> </w:t>
      </w:r>
      <w:r w:rsidR="000E7E21">
        <w:rPr>
          <w:rFonts w:ascii="Arial" w:hAnsi="Arial" w:cs="Arial"/>
          <w:b/>
        </w:rPr>
        <w:t>3</w:t>
      </w:r>
      <w:r w:rsidR="00F475FB">
        <w:rPr>
          <w:rFonts w:ascii="Arial" w:hAnsi="Arial" w:cs="Arial"/>
          <w:b/>
        </w:rPr>
        <w:t>7</w:t>
      </w:r>
      <w:r w:rsidR="000E7E21">
        <w:rPr>
          <w:rFonts w:ascii="Arial" w:hAnsi="Arial" w:cs="Arial"/>
          <w:b/>
        </w:rPr>
        <w:t>2</w:t>
      </w:r>
      <w:r w:rsidR="00765A31">
        <w:rPr>
          <w:rFonts w:ascii="Arial" w:hAnsi="Arial" w:cs="Arial"/>
          <w:b/>
        </w:rPr>
        <w:t xml:space="preserve"> y 373</w:t>
      </w:r>
      <w:r w:rsidR="00411419">
        <w:rPr>
          <w:rFonts w:ascii="Arial" w:hAnsi="Arial" w:cs="Arial"/>
          <w:b/>
        </w:rPr>
        <w:t xml:space="preserve"> del C</w:t>
      </w:r>
      <w:r w:rsidR="000E7E21">
        <w:rPr>
          <w:rFonts w:ascii="Arial" w:hAnsi="Arial" w:cs="Arial"/>
          <w:b/>
        </w:rPr>
        <w:t>GP</w:t>
      </w:r>
    </w:p>
    <w:p w14:paraId="32ABED92" w14:textId="77777777" w:rsidR="00AB71D5" w:rsidRPr="005B5544" w:rsidRDefault="00AB71D5" w:rsidP="005B5544">
      <w:pPr>
        <w:spacing w:after="0" w:line="300" w:lineRule="auto"/>
        <w:jc w:val="both"/>
        <w:rPr>
          <w:rFonts w:ascii="Arial" w:hAnsi="Arial" w:cs="Arial"/>
          <w:b/>
        </w:rPr>
      </w:pPr>
    </w:p>
    <w:p w14:paraId="27F112F1" w14:textId="48FDCDC3" w:rsidR="00921BD6" w:rsidRPr="00921BD6" w:rsidRDefault="00AB71D5" w:rsidP="00765A31">
      <w:pPr>
        <w:spacing w:after="0" w:line="240" w:lineRule="auto"/>
        <w:ind w:left="2832" w:hanging="2832"/>
        <w:jc w:val="both"/>
        <w:rPr>
          <w:rFonts w:ascii="Arial" w:eastAsia="Times New Roman" w:hAnsi="Arial" w:cs="Arial"/>
          <w:color w:val="000000"/>
          <w:lang w:eastAsia="es-CO"/>
        </w:rPr>
      </w:pPr>
      <w:r w:rsidRPr="005B5544">
        <w:rPr>
          <w:rFonts w:ascii="Arial" w:hAnsi="Arial" w:cs="Arial"/>
        </w:rPr>
        <w:t xml:space="preserve">Despacho Judicial: </w:t>
      </w:r>
      <w:r w:rsidRPr="005B5544">
        <w:rPr>
          <w:rFonts w:ascii="Arial" w:hAnsi="Arial" w:cs="Arial"/>
        </w:rPr>
        <w:tab/>
      </w:r>
      <w:r w:rsidR="00765A31" w:rsidRPr="00765A31">
        <w:rPr>
          <w:rFonts w:ascii="Arial" w:hAnsi="Arial" w:cs="Arial"/>
        </w:rPr>
        <w:t xml:space="preserve">JUZGADO CUARENTA Y </w:t>
      </w:r>
      <w:r w:rsidR="00765A31" w:rsidRPr="00765A31">
        <w:rPr>
          <w:rFonts w:ascii="Arial" w:hAnsi="Arial" w:cs="Arial"/>
        </w:rPr>
        <w:t>CUATRO CIVIL</w:t>
      </w:r>
      <w:r w:rsidR="00765A31" w:rsidRPr="00765A31">
        <w:rPr>
          <w:rFonts w:ascii="Arial" w:hAnsi="Arial" w:cs="Arial"/>
        </w:rPr>
        <w:t xml:space="preserve"> DEL </w:t>
      </w:r>
      <w:r w:rsidR="00765A31" w:rsidRPr="00765A31">
        <w:rPr>
          <w:rFonts w:ascii="Arial" w:hAnsi="Arial" w:cs="Arial"/>
        </w:rPr>
        <w:t>CIRCUITO DE</w:t>
      </w:r>
      <w:r w:rsidR="00765A31" w:rsidRPr="00765A31">
        <w:rPr>
          <w:rFonts w:ascii="Arial" w:hAnsi="Arial" w:cs="Arial"/>
        </w:rPr>
        <w:t xml:space="preserve"> BOGOTÁ</w:t>
      </w:r>
      <w:r w:rsidR="00765A31">
        <w:rPr>
          <w:rFonts w:ascii="Arial" w:hAnsi="Arial" w:cs="Arial"/>
        </w:rPr>
        <w:t>.</w:t>
      </w:r>
    </w:p>
    <w:p w14:paraId="2644A899" w14:textId="67CBAB99" w:rsidR="00BE262C" w:rsidRPr="005B5544" w:rsidRDefault="00BE262C" w:rsidP="005B5544">
      <w:pPr>
        <w:spacing w:after="0" w:line="300" w:lineRule="auto"/>
        <w:jc w:val="both"/>
        <w:rPr>
          <w:rFonts w:ascii="Arial" w:hAnsi="Arial" w:cs="Arial"/>
        </w:rPr>
      </w:pPr>
      <w:r w:rsidRPr="005B5544">
        <w:rPr>
          <w:rFonts w:ascii="Arial" w:hAnsi="Arial" w:cs="Arial"/>
        </w:rPr>
        <w:t>Referencia:</w:t>
      </w:r>
      <w:r w:rsidRPr="005B5544">
        <w:rPr>
          <w:rFonts w:ascii="Arial" w:hAnsi="Arial" w:cs="Arial"/>
        </w:rPr>
        <w:tab/>
      </w:r>
      <w:r w:rsidRPr="005B5544">
        <w:rPr>
          <w:rFonts w:ascii="Arial" w:hAnsi="Arial" w:cs="Arial"/>
        </w:rPr>
        <w:tab/>
      </w:r>
      <w:r w:rsidRPr="005B5544">
        <w:rPr>
          <w:rFonts w:ascii="Arial" w:hAnsi="Arial" w:cs="Arial"/>
        </w:rPr>
        <w:tab/>
      </w:r>
      <w:r w:rsidR="000E7E21">
        <w:rPr>
          <w:rFonts w:ascii="Arial" w:hAnsi="Arial" w:cs="Arial"/>
        </w:rPr>
        <w:t>PROCESO VERBAL</w:t>
      </w:r>
    </w:p>
    <w:p w14:paraId="3304ABFB" w14:textId="1F61C575" w:rsidR="00BE262C" w:rsidRPr="005B5544" w:rsidRDefault="00BE262C" w:rsidP="00651C29">
      <w:pPr>
        <w:spacing w:after="0" w:line="300" w:lineRule="auto"/>
        <w:ind w:left="2832" w:hanging="2832"/>
        <w:jc w:val="both"/>
        <w:rPr>
          <w:rFonts w:ascii="Arial" w:hAnsi="Arial" w:cs="Arial"/>
        </w:rPr>
      </w:pPr>
      <w:r w:rsidRPr="005B5544">
        <w:rPr>
          <w:rFonts w:ascii="Arial" w:hAnsi="Arial" w:cs="Arial"/>
        </w:rPr>
        <w:t>Demandante:</w:t>
      </w:r>
      <w:r w:rsidRPr="005B5544">
        <w:rPr>
          <w:rFonts w:ascii="Arial" w:hAnsi="Arial" w:cs="Arial"/>
        </w:rPr>
        <w:tab/>
      </w:r>
      <w:r w:rsidR="00765A31" w:rsidRPr="00765A31">
        <w:rPr>
          <w:rFonts w:ascii="Arial" w:hAnsi="Arial" w:cs="Arial"/>
        </w:rPr>
        <w:t xml:space="preserve">DARÍO ALBERTO ALVIAR </w:t>
      </w:r>
      <w:r w:rsidR="00765A31">
        <w:rPr>
          <w:rFonts w:ascii="Arial" w:hAnsi="Arial" w:cs="Arial"/>
        </w:rPr>
        <w:t>Y OTROS.</w:t>
      </w:r>
    </w:p>
    <w:p w14:paraId="23CAFCC6" w14:textId="1A385D9D" w:rsidR="00921BD6" w:rsidRPr="00651C29" w:rsidRDefault="00651C29" w:rsidP="00A02EC2">
      <w:pPr>
        <w:spacing w:after="0" w:line="240" w:lineRule="auto"/>
        <w:ind w:left="2832" w:hanging="2832"/>
        <w:jc w:val="both"/>
        <w:rPr>
          <w:rFonts w:ascii="Arial" w:hAnsi="Arial" w:cs="Arial"/>
        </w:rPr>
      </w:pPr>
      <w:r w:rsidRPr="005B5544">
        <w:rPr>
          <w:rFonts w:ascii="Arial" w:hAnsi="Arial" w:cs="Arial"/>
        </w:rPr>
        <w:t xml:space="preserve">Demandado: </w:t>
      </w:r>
      <w:r w:rsidRPr="005B5544">
        <w:rPr>
          <w:rFonts w:ascii="Arial" w:hAnsi="Arial" w:cs="Arial"/>
        </w:rPr>
        <w:tab/>
      </w:r>
      <w:r w:rsidR="000E7E21">
        <w:rPr>
          <w:rFonts w:ascii="Arial" w:hAnsi="Arial" w:cs="Arial"/>
        </w:rPr>
        <w:t xml:space="preserve"> </w:t>
      </w:r>
      <w:r w:rsidR="00765A31" w:rsidRPr="00765A31">
        <w:rPr>
          <w:rFonts w:ascii="Arial" w:hAnsi="Arial" w:cs="Arial"/>
        </w:rPr>
        <w:t>CAJA DE COMPENSACIÓN FAMILIAR EPS y CLÍNICA PARTENÓN LTDA.</w:t>
      </w:r>
    </w:p>
    <w:p w14:paraId="0F387E64" w14:textId="63781D12" w:rsidR="00BE262C" w:rsidRPr="005B5544" w:rsidRDefault="00AA79F0" w:rsidP="005B5544">
      <w:pPr>
        <w:spacing w:after="0" w:line="300" w:lineRule="auto"/>
        <w:ind w:left="2832" w:hanging="2832"/>
        <w:jc w:val="both"/>
        <w:rPr>
          <w:rFonts w:ascii="Arial" w:hAnsi="Arial" w:cs="Arial"/>
        </w:rPr>
      </w:pPr>
      <w:r w:rsidRPr="005B5544">
        <w:rPr>
          <w:rFonts w:ascii="Arial" w:hAnsi="Arial" w:cs="Arial"/>
        </w:rPr>
        <w:t>Llamado en garantía:</w:t>
      </w:r>
      <w:r w:rsidRPr="005B5544">
        <w:rPr>
          <w:rFonts w:ascii="Arial" w:hAnsi="Arial" w:cs="Arial"/>
        </w:rPr>
        <w:tab/>
      </w:r>
      <w:r w:rsidR="00765A31" w:rsidRPr="00765A31">
        <w:rPr>
          <w:rFonts w:ascii="Arial" w:hAnsi="Arial" w:cs="Arial"/>
        </w:rPr>
        <w:t>LA EQUIDAD SEGUROS GENERALES</w:t>
      </w:r>
      <w:r w:rsidR="00765A31">
        <w:rPr>
          <w:rFonts w:ascii="Arial" w:hAnsi="Arial" w:cs="Arial"/>
        </w:rPr>
        <w:t>.</w:t>
      </w:r>
    </w:p>
    <w:p w14:paraId="49D4F5D3" w14:textId="6BC158B5" w:rsidR="00921BD6" w:rsidRPr="00921BD6" w:rsidRDefault="00BE262C" w:rsidP="00921BD6">
      <w:pPr>
        <w:spacing w:after="0" w:line="240" w:lineRule="auto"/>
        <w:jc w:val="both"/>
        <w:rPr>
          <w:rFonts w:ascii="Arial" w:eastAsia="Times New Roman" w:hAnsi="Arial" w:cs="Arial"/>
          <w:color w:val="000000"/>
          <w:lang w:eastAsia="es-CO"/>
        </w:rPr>
      </w:pPr>
      <w:r w:rsidRPr="005B5544">
        <w:rPr>
          <w:rFonts w:ascii="Arial" w:hAnsi="Arial" w:cs="Arial"/>
        </w:rPr>
        <w:t>Radicado:</w:t>
      </w:r>
      <w:r w:rsidRPr="005B5544">
        <w:rPr>
          <w:rFonts w:ascii="Arial" w:hAnsi="Arial" w:cs="Arial"/>
        </w:rPr>
        <w:tab/>
      </w:r>
      <w:r w:rsidRPr="005B5544">
        <w:rPr>
          <w:rFonts w:ascii="Arial" w:hAnsi="Arial" w:cs="Arial"/>
        </w:rPr>
        <w:tab/>
      </w:r>
      <w:r w:rsidRPr="005B5544">
        <w:rPr>
          <w:rFonts w:ascii="Arial" w:hAnsi="Arial" w:cs="Arial"/>
        </w:rPr>
        <w:tab/>
      </w:r>
      <w:r w:rsidR="00765A31" w:rsidRPr="00765A31">
        <w:rPr>
          <w:rFonts w:ascii="Arial" w:hAnsi="Arial" w:cs="Arial"/>
        </w:rPr>
        <w:t>11001-31-03-044-2020-00163-00</w:t>
      </w:r>
      <w:r w:rsidR="00765A31">
        <w:rPr>
          <w:rFonts w:ascii="Arial" w:hAnsi="Arial" w:cs="Arial"/>
        </w:rPr>
        <w:t>.</w:t>
      </w:r>
    </w:p>
    <w:p w14:paraId="3B082C56" w14:textId="2E32AE9F" w:rsidR="00AB71D5" w:rsidRPr="005B5544" w:rsidRDefault="00AB71D5" w:rsidP="005B5544">
      <w:pPr>
        <w:spacing w:after="0" w:line="300" w:lineRule="auto"/>
        <w:jc w:val="both"/>
        <w:rPr>
          <w:rFonts w:ascii="Arial" w:hAnsi="Arial" w:cs="Arial"/>
        </w:rPr>
      </w:pPr>
      <w:r w:rsidRPr="005B5544">
        <w:rPr>
          <w:rFonts w:ascii="Arial" w:hAnsi="Arial" w:cs="Arial"/>
        </w:rPr>
        <w:t>Siniestro:</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65A31" w:rsidRPr="00765A31">
        <w:rPr>
          <w:rFonts w:ascii="Arial" w:hAnsi="Arial" w:cs="Arial"/>
        </w:rPr>
        <w:t>10145438</w:t>
      </w:r>
    </w:p>
    <w:p w14:paraId="4399AD3E" w14:textId="3023D7A2" w:rsidR="00AB71D5" w:rsidRPr="005B5544" w:rsidRDefault="00AB71D5" w:rsidP="005B5544">
      <w:pPr>
        <w:spacing w:after="0" w:line="300" w:lineRule="auto"/>
        <w:jc w:val="both"/>
        <w:rPr>
          <w:rFonts w:ascii="Arial" w:hAnsi="Arial" w:cs="Arial"/>
        </w:rPr>
      </w:pPr>
      <w:r w:rsidRPr="005B5544">
        <w:rPr>
          <w:rFonts w:ascii="Arial" w:hAnsi="Arial" w:cs="Arial"/>
        </w:rPr>
        <w:t>Póliza:</w:t>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E9725F" w:rsidRPr="005B5544">
        <w:rPr>
          <w:rFonts w:ascii="Arial" w:hAnsi="Arial" w:cs="Arial"/>
        </w:rPr>
        <w:tab/>
      </w:r>
      <w:r w:rsidR="00765A31" w:rsidRPr="00765A31">
        <w:rPr>
          <w:rFonts w:ascii="Arial" w:hAnsi="Arial" w:cs="Arial"/>
        </w:rPr>
        <w:t>AA198548</w:t>
      </w:r>
    </w:p>
    <w:p w14:paraId="799800BB" w14:textId="72D0E6E4" w:rsidR="002C273C" w:rsidRPr="000E7E21" w:rsidRDefault="002C273C" w:rsidP="005B5544">
      <w:pPr>
        <w:spacing w:after="0" w:line="300" w:lineRule="auto"/>
        <w:jc w:val="both"/>
        <w:rPr>
          <w:rFonts w:ascii="Arial" w:hAnsi="Arial" w:cs="Arial"/>
        </w:rPr>
      </w:pPr>
      <w:r w:rsidRPr="000E7E21">
        <w:rPr>
          <w:rFonts w:ascii="Arial" w:hAnsi="Arial" w:cs="Arial"/>
        </w:rPr>
        <w:t xml:space="preserve">SGC:                                     </w:t>
      </w:r>
      <w:r w:rsidR="00765A31" w:rsidRPr="00765A31">
        <w:rPr>
          <w:rFonts w:ascii="Arial" w:hAnsi="Arial" w:cs="Arial"/>
        </w:rPr>
        <w:t>7107</w:t>
      </w:r>
    </w:p>
    <w:p w14:paraId="576104A3" w14:textId="25DB6EE6" w:rsidR="00AB71D5" w:rsidRPr="005B5544" w:rsidRDefault="005749D9" w:rsidP="005B5544">
      <w:pPr>
        <w:spacing w:after="0" w:line="300" w:lineRule="auto"/>
        <w:jc w:val="both"/>
        <w:rPr>
          <w:rFonts w:ascii="Arial" w:hAnsi="Arial" w:cs="Arial"/>
        </w:rPr>
      </w:pPr>
      <w:r w:rsidRPr="005B5544">
        <w:rPr>
          <w:rFonts w:ascii="Arial" w:hAnsi="Arial" w:cs="Arial"/>
        </w:rPr>
        <w:t xml:space="preserve">Fecha y Hora Audiencia:    </w:t>
      </w:r>
      <w:r w:rsidR="00CD5601">
        <w:rPr>
          <w:rFonts w:ascii="Arial" w:hAnsi="Arial" w:cs="Arial"/>
        </w:rPr>
        <w:t xml:space="preserve">  </w:t>
      </w:r>
      <w:r w:rsidR="00765A31">
        <w:rPr>
          <w:rFonts w:ascii="Arial" w:hAnsi="Arial" w:cs="Arial"/>
        </w:rPr>
        <w:t>26</w:t>
      </w:r>
      <w:r w:rsidR="000E7E21">
        <w:rPr>
          <w:rFonts w:ascii="Arial" w:hAnsi="Arial" w:cs="Arial"/>
        </w:rPr>
        <w:t xml:space="preserve"> DE </w:t>
      </w:r>
      <w:r w:rsidR="00765A31">
        <w:rPr>
          <w:rFonts w:ascii="Arial" w:hAnsi="Arial" w:cs="Arial"/>
        </w:rPr>
        <w:t xml:space="preserve">SEPTIEMBRE </w:t>
      </w:r>
      <w:r w:rsidR="000E7E21">
        <w:rPr>
          <w:rFonts w:ascii="Arial" w:hAnsi="Arial" w:cs="Arial"/>
        </w:rPr>
        <w:t xml:space="preserve">DE 2024 A LAS </w:t>
      </w:r>
      <w:r w:rsidR="00765A31">
        <w:rPr>
          <w:rFonts w:ascii="Arial" w:hAnsi="Arial" w:cs="Arial"/>
        </w:rPr>
        <w:t>10:00</w:t>
      </w:r>
      <w:r w:rsidR="000E7E21">
        <w:rPr>
          <w:rFonts w:ascii="Arial" w:hAnsi="Arial" w:cs="Arial"/>
        </w:rPr>
        <w:t xml:space="preserve"> A.M.</w:t>
      </w:r>
    </w:p>
    <w:p w14:paraId="3FFBC10C" w14:textId="77777777" w:rsidR="005749D9" w:rsidRPr="005B5544" w:rsidRDefault="005749D9" w:rsidP="005B5544">
      <w:pPr>
        <w:spacing w:after="0" w:line="300" w:lineRule="auto"/>
        <w:jc w:val="both"/>
        <w:rPr>
          <w:rFonts w:ascii="Arial" w:hAnsi="Arial" w:cs="Arial"/>
        </w:rPr>
      </w:pPr>
    </w:p>
    <w:p w14:paraId="1B563DC9" w14:textId="77777777" w:rsidR="00765A31" w:rsidRDefault="00AB71D5" w:rsidP="00A02EC2">
      <w:pPr>
        <w:spacing w:after="0" w:line="300" w:lineRule="auto"/>
        <w:jc w:val="both"/>
        <w:rPr>
          <w:rFonts w:ascii="Arial" w:hAnsi="Arial" w:cs="Arial"/>
        </w:rPr>
      </w:pPr>
      <w:r w:rsidRPr="005B5544">
        <w:rPr>
          <w:rFonts w:ascii="Arial" w:hAnsi="Arial" w:cs="Arial"/>
          <w:u w:val="single"/>
        </w:rPr>
        <w:t>Hechos:</w:t>
      </w:r>
      <w:r w:rsidR="00920B48" w:rsidRPr="005B5544">
        <w:rPr>
          <w:rFonts w:ascii="Arial" w:hAnsi="Arial" w:cs="Arial"/>
        </w:rPr>
        <w:t xml:space="preserve"> </w:t>
      </w:r>
      <w:r w:rsidR="00765A31" w:rsidRPr="00765A31">
        <w:rPr>
          <w:rFonts w:ascii="Arial" w:hAnsi="Arial" w:cs="Arial"/>
        </w:rPr>
        <w:t xml:space="preserve">1. Entre el mes de diciembre del año 2017 y enero del 2018, a la señora Luzmila Cárdenas (q.e.p.d.) le realizaron una serie de exámenes médicos, ordenados por el galeno Yovanny Riveros, en consideración a que la ya mencionada señora padecía de unos quistes benignos en los ovarios. 2. La EPS COMPENSAR decide remitir a la señora Luzmila Cárdenas (q.e.p.d.) a la Clínica Partenón Ltda., para que le presten el servicio de salud y fla intervenida quirúrgicamente en una CISTECTOMÍA DE OVARIO DERECHO. 3.  El día 31 de enero del 2018, la señora Luzmila Cárdenas (q.e.p.d.), fue intervenida quirúrgicamente, por el médico Carlos Alberto Díaz, quien al finalizar la cirugía informa a los familiares de la paciente que todo había salido bien y que la señora estaría en sala de recuperación, para posteriormente darle el alta. 4. El día de la cirugía, antes de darle de alta a la señora Luzmila Cárdenas (q.e.p.d.), presuntamente la misma había manifestado que se sentía mal, con dolor en la herida y un ardor interno, frente a lo cual la enfermera de turno había respondido que se debe a la anestesia y el proceso quirúrgico 5. Se dieron las recomendaciones médicas, incapacidad, cuidados y medicamentos, que la señora Luzmila Cárdenas (q.e.p.d.) debía seguir y procedieron a darle salida. 6. Para el día 01 de febrero del 2018, el estado de salud de la señora Luzmila Cárdenas (q.e.p.d.) era estable. 7. El día 02 de febrero del 2018 aproximadamente a las 18:00 el señor Darío </w:t>
      </w:r>
      <w:proofErr w:type="spellStart"/>
      <w:r w:rsidR="00765A31" w:rsidRPr="00765A31">
        <w:rPr>
          <w:rFonts w:ascii="Arial" w:hAnsi="Arial" w:cs="Arial"/>
        </w:rPr>
        <w:t>Alviar</w:t>
      </w:r>
      <w:proofErr w:type="spellEnd"/>
      <w:r w:rsidR="00765A31" w:rsidRPr="00765A31">
        <w:rPr>
          <w:rFonts w:ascii="Arial" w:hAnsi="Arial" w:cs="Arial"/>
        </w:rPr>
        <w:t xml:space="preserve"> nota que las manos de la hoy </w:t>
      </w:r>
      <w:proofErr w:type="gramStart"/>
      <w:r w:rsidR="00765A31" w:rsidRPr="00765A31">
        <w:rPr>
          <w:rFonts w:ascii="Arial" w:hAnsi="Arial" w:cs="Arial"/>
        </w:rPr>
        <w:t>fallecida,</w:t>
      </w:r>
      <w:proofErr w:type="gramEnd"/>
      <w:r w:rsidR="00765A31" w:rsidRPr="00765A31">
        <w:rPr>
          <w:rFonts w:ascii="Arial" w:hAnsi="Arial" w:cs="Arial"/>
        </w:rPr>
        <w:t xml:space="preserve"> estaban de color morado, pensando que era una situación normal “por la anestesia”. Pero a los pocos minutos la señora Luzmila Cárdenas (q.e.p.d.) al dirigirse al baño, empieza a notar que de sus propios orines y de la herida empiezan a salir unos líquidos olorosos. Llamando directamente a la clínica y pidiéndole que la llevara de inmediato. 8. El mismo día, 02 de febrero, ingreso a la Clínica Partenón Ltda., ante lo cual se evidencia que la señora estaba en malas condiciones y que debía ser intervenida quirúrgicamente. 9. El señor Darío </w:t>
      </w:r>
      <w:proofErr w:type="spellStart"/>
      <w:r w:rsidR="00765A31" w:rsidRPr="00765A31">
        <w:rPr>
          <w:rFonts w:ascii="Arial" w:hAnsi="Arial" w:cs="Arial"/>
        </w:rPr>
        <w:t>Alviar</w:t>
      </w:r>
      <w:proofErr w:type="spellEnd"/>
      <w:r w:rsidR="00765A31" w:rsidRPr="00765A31">
        <w:rPr>
          <w:rFonts w:ascii="Arial" w:hAnsi="Arial" w:cs="Arial"/>
        </w:rPr>
        <w:t xml:space="preserve"> expone que, no tuvo conocimiento de la señora Luzmila Cárdenas (q.e.p.d.), sino hasta las 02:00 a.m. del día 03 de febrero del 2018, momento este en el cual le solicitan firmar una autorización para una transfusión sanguínea. </w:t>
      </w:r>
    </w:p>
    <w:p w14:paraId="7BCF4F54" w14:textId="77777777" w:rsidR="00765A31" w:rsidRDefault="00765A31" w:rsidP="00A02EC2">
      <w:pPr>
        <w:spacing w:after="0" w:line="300" w:lineRule="auto"/>
        <w:jc w:val="both"/>
        <w:rPr>
          <w:rFonts w:ascii="Arial" w:hAnsi="Arial" w:cs="Arial"/>
        </w:rPr>
      </w:pPr>
    </w:p>
    <w:p w14:paraId="4ACA7B11" w14:textId="568D0A41" w:rsidR="00921BD6" w:rsidRPr="00921BD6" w:rsidRDefault="00765A31" w:rsidP="00A02EC2">
      <w:pPr>
        <w:spacing w:after="0" w:line="300" w:lineRule="auto"/>
        <w:jc w:val="both"/>
        <w:rPr>
          <w:rFonts w:ascii="Arial" w:hAnsi="Arial" w:cs="Arial"/>
        </w:rPr>
      </w:pPr>
      <w:r w:rsidRPr="00765A31">
        <w:rPr>
          <w:rFonts w:ascii="Arial" w:hAnsi="Arial" w:cs="Arial"/>
        </w:rPr>
        <w:lastRenderedPageBreak/>
        <w:t xml:space="preserve">9. El señor Darío </w:t>
      </w:r>
      <w:proofErr w:type="spellStart"/>
      <w:r w:rsidRPr="00765A31">
        <w:rPr>
          <w:rFonts w:ascii="Arial" w:hAnsi="Arial" w:cs="Arial"/>
        </w:rPr>
        <w:t>Alviar</w:t>
      </w:r>
      <w:proofErr w:type="spellEnd"/>
      <w:r w:rsidRPr="00765A31">
        <w:rPr>
          <w:rFonts w:ascii="Arial" w:hAnsi="Arial" w:cs="Arial"/>
        </w:rPr>
        <w:t xml:space="preserve">, se dirige al sexto piso de la Clínica Partenón Ltda., lugar donde estaba siendo atendida la señora Luzmila Cárdenas (q.e.p.d.), preguntando por el estado de salud de </w:t>
      </w:r>
      <w:proofErr w:type="gramStart"/>
      <w:r w:rsidRPr="00765A31">
        <w:rPr>
          <w:rFonts w:ascii="Arial" w:hAnsi="Arial" w:cs="Arial"/>
        </w:rPr>
        <w:t>la misma</w:t>
      </w:r>
      <w:proofErr w:type="gramEnd"/>
      <w:r w:rsidRPr="00765A31">
        <w:rPr>
          <w:rFonts w:ascii="Arial" w:hAnsi="Arial" w:cs="Arial"/>
        </w:rPr>
        <w:t xml:space="preserve">, a lo cual el médico de turno, diferente al galeno Carlos Alberto Díaz, presuntamente le informa que la señora Cárdenas presenta una perforación intestinal y tiene una peritonitis fecal. La reacción del señor Darío </w:t>
      </w:r>
      <w:proofErr w:type="spellStart"/>
      <w:r w:rsidRPr="00765A31">
        <w:rPr>
          <w:rFonts w:ascii="Arial" w:hAnsi="Arial" w:cs="Arial"/>
        </w:rPr>
        <w:t>Alviar</w:t>
      </w:r>
      <w:proofErr w:type="spellEnd"/>
      <w:r w:rsidRPr="00765A31">
        <w:rPr>
          <w:rFonts w:ascii="Arial" w:hAnsi="Arial" w:cs="Arial"/>
        </w:rPr>
        <w:t xml:space="preserve"> era de sorpresa, manifestando que el médico que la operó la mandó a la casa, informando que la cirugía de cistectomía había sido un éxito y que la incapacidad era únicamente de 20 días. 10. Desde el día 3 de febrero hasta el día 5 de febrero del 2018 la señora Luzmila Cárdenas (q.e.p.d.) estuvo en UCI. 11. La señora Luzmila Cárdenas (q.e.p.d.) falleció el día 5 de febrero del 2018. 12. Entre la Caja de Compensación Familiar – COMPENSAR EPS, existe vinculación contractual, bajo la póliza de Responsabilidad Civil Profesional clínica No. AA198548, con vigencia del 30 de agosto del 2019 hasta el 30 de agosto del 2020, con retroactividad desde el 30 de noviembre de 2006.</w:t>
      </w:r>
    </w:p>
    <w:p w14:paraId="54E017F0" w14:textId="77777777" w:rsidR="00921BD6" w:rsidRPr="00921BD6" w:rsidRDefault="00921BD6" w:rsidP="00921BD6">
      <w:pPr>
        <w:spacing w:after="0" w:line="300" w:lineRule="auto"/>
        <w:jc w:val="both"/>
        <w:rPr>
          <w:rFonts w:ascii="Arial" w:hAnsi="Arial" w:cs="Arial"/>
        </w:rPr>
      </w:pPr>
    </w:p>
    <w:p w14:paraId="5ADA988E" w14:textId="77777777" w:rsidR="00765A31" w:rsidRPr="00765A31" w:rsidRDefault="00AB71D5" w:rsidP="00765A31">
      <w:pPr>
        <w:spacing w:after="0" w:line="300" w:lineRule="auto"/>
        <w:jc w:val="both"/>
        <w:rPr>
          <w:rFonts w:ascii="Arial" w:hAnsi="Arial" w:cs="Arial"/>
        </w:rPr>
      </w:pPr>
      <w:r w:rsidRPr="005B5544">
        <w:rPr>
          <w:rFonts w:ascii="Arial" w:hAnsi="Arial" w:cs="Arial"/>
          <w:u w:val="single"/>
        </w:rPr>
        <w:t>Pretensiones:</w:t>
      </w:r>
      <w:r w:rsidR="002C273C" w:rsidRPr="005B5544">
        <w:rPr>
          <w:rFonts w:ascii="Arial" w:hAnsi="Arial" w:cs="Arial"/>
        </w:rPr>
        <w:t xml:space="preserve"> </w:t>
      </w:r>
      <w:r w:rsidR="00804A58">
        <w:rPr>
          <w:rFonts w:ascii="Arial" w:hAnsi="Arial" w:cs="Arial"/>
        </w:rPr>
        <w:t xml:space="preserve"> </w:t>
      </w:r>
      <w:r w:rsidR="00765A31" w:rsidRPr="00765A31">
        <w:rPr>
          <w:rFonts w:ascii="Arial" w:hAnsi="Arial" w:cs="Arial"/>
        </w:rPr>
        <w:t>Se condene por los siguientes perjuicios:</w:t>
      </w:r>
    </w:p>
    <w:p w14:paraId="78B099C2" w14:textId="77777777" w:rsidR="00765A31" w:rsidRDefault="00765A31" w:rsidP="00765A31">
      <w:pPr>
        <w:spacing w:after="0" w:line="300" w:lineRule="auto"/>
        <w:jc w:val="both"/>
        <w:rPr>
          <w:rFonts w:ascii="Arial" w:hAnsi="Arial" w:cs="Arial"/>
        </w:rPr>
      </w:pPr>
      <w:r w:rsidRPr="00765A31">
        <w:rPr>
          <w:rFonts w:ascii="Arial" w:hAnsi="Arial" w:cs="Arial"/>
        </w:rPr>
        <w:t xml:space="preserve">-Daño Emergente: $7.035.690                                                                                              </w:t>
      </w:r>
    </w:p>
    <w:p w14:paraId="02B5C718" w14:textId="77777777" w:rsidR="00765A31" w:rsidRDefault="00765A31" w:rsidP="00765A31">
      <w:pPr>
        <w:spacing w:after="0" w:line="300" w:lineRule="auto"/>
        <w:jc w:val="both"/>
        <w:rPr>
          <w:rFonts w:ascii="Arial" w:hAnsi="Arial" w:cs="Arial"/>
        </w:rPr>
      </w:pPr>
      <w:r w:rsidRPr="00765A31">
        <w:rPr>
          <w:rFonts w:ascii="Arial" w:hAnsi="Arial" w:cs="Arial"/>
        </w:rPr>
        <w:t xml:space="preserve"> -Lucro Cesante Consolidado: $53.105.394                                                                           </w:t>
      </w:r>
    </w:p>
    <w:p w14:paraId="0F1B5D79" w14:textId="2A07A79C" w:rsidR="00765A31" w:rsidRPr="00765A31" w:rsidRDefault="00765A31" w:rsidP="00765A31">
      <w:pPr>
        <w:spacing w:after="0" w:line="300" w:lineRule="auto"/>
        <w:jc w:val="both"/>
        <w:rPr>
          <w:rFonts w:ascii="Arial" w:hAnsi="Arial" w:cs="Arial"/>
        </w:rPr>
      </w:pPr>
      <w:r w:rsidRPr="00765A31">
        <w:rPr>
          <w:rFonts w:ascii="Arial" w:hAnsi="Arial" w:cs="Arial"/>
        </w:rPr>
        <w:t xml:space="preserve"> -Lucro Cesante Futuro: $387.906.349</w:t>
      </w:r>
    </w:p>
    <w:p w14:paraId="27DDB54A" w14:textId="77777777" w:rsidR="00765A31" w:rsidRPr="00765A31" w:rsidRDefault="00765A31" w:rsidP="00765A31">
      <w:pPr>
        <w:spacing w:after="0" w:line="300" w:lineRule="auto"/>
        <w:jc w:val="both"/>
        <w:rPr>
          <w:rFonts w:ascii="Arial" w:hAnsi="Arial" w:cs="Arial"/>
        </w:rPr>
      </w:pPr>
      <w:r w:rsidRPr="00765A31">
        <w:rPr>
          <w:rFonts w:ascii="Arial" w:hAnsi="Arial" w:cs="Arial"/>
        </w:rPr>
        <w:t>-Daño moral: $496.869.600</w:t>
      </w:r>
    </w:p>
    <w:p w14:paraId="6F466DDD" w14:textId="12FAF3D7" w:rsidR="004A660F" w:rsidRPr="00765A31" w:rsidRDefault="00765A31" w:rsidP="00765A31">
      <w:pPr>
        <w:spacing w:after="0" w:line="300" w:lineRule="auto"/>
        <w:jc w:val="both"/>
        <w:rPr>
          <w:rFonts w:ascii="Arial" w:hAnsi="Arial" w:cs="Arial"/>
          <w:b/>
          <w:bCs/>
          <w:u w:val="single"/>
        </w:rPr>
      </w:pPr>
      <w:r w:rsidRPr="00765A31">
        <w:rPr>
          <w:rFonts w:ascii="Arial" w:hAnsi="Arial" w:cs="Arial"/>
          <w:b/>
          <w:bCs/>
          <w:u w:val="single"/>
        </w:rPr>
        <w:t>TOTAL,</w:t>
      </w:r>
      <w:r w:rsidRPr="00765A31">
        <w:rPr>
          <w:rFonts w:ascii="Arial" w:hAnsi="Arial" w:cs="Arial"/>
          <w:b/>
          <w:bCs/>
          <w:u w:val="single"/>
        </w:rPr>
        <w:t xml:space="preserve"> PRETENSIONES: $944.917.033</w:t>
      </w:r>
    </w:p>
    <w:p w14:paraId="717BDBA1" w14:textId="77777777" w:rsidR="00A02EC2" w:rsidRDefault="00A02EC2" w:rsidP="003620DD">
      <w:pPr>
        <w:spacing w:after="0" w:line="300" w:lineRule="auto"/>
        <w:jc w:val="both"/>
        <w:rPr>
          <w:rFonts w:ascii="Arial" w:hAnsi="Arial" w:cs="Arial"/>
        </w:rPr>
      </w:pPr>
    </w:p>
    <w:p w14:paraId="6B66BC1F" w14:textId="2DB0008F" w:rsidR="00765A31" w:rsidRDefault="003620DD" w:rsidP="00765A31">
      <w:pPr>
        <w:spacing w:after="0" w:line="300" w:lineRule="auto"/>
        <w:jc w:val="both"/>
        <w:rPr>
          <w:rFonts w:ascii="Arial" w:hAnsi="Arial" w:cs="Arial"/>
        </w:rPr>
      </w:pPr>
      <w:r w:rsidRPr="003620DD">
        <w:rPr>
          <w:rFonts w:ascii="Arial" w:hAnsi="Arial" w:cs="Arial"/>
          <w:u w:val="single"/>
        </w:rPr>
        <w:t>Liquidación objetivada de las pretensiones</w:t>
      </w:r>
      <w:r w:rsidRPr="003620DD">
        <w:rPr>
          <w:rFonts w:ascii="Arial" w:hAnsi="Arial" w:cs="Arial"/>
        </w:rPr>
        <w:t xml:space="preserve">: </w:t>
      </w:r>
      <w:r w:rsidR="00765A31" w:rsidRPr="00765A31">
        <w:rPr>
          <w:rFonts w:ascii="Arial" w:hAnsi="Arial" w:cs="Arial"/>
        </w:rPr>
        <w:t>Como liquidación objetiva de perjuicios se llegó al total de $ 474.377.957 A este valor se llegó de la siguiente manera:</w:t>
      </w:r>
    </w:p>
    <w:p w14:paraId="2B2767C4" w14:textId="77777777" w:rsidR="00765A31" w:rsidRPr="00765A31" w:rsidRDefault="00765A31" w:rsidP="00765A31">
      <w:pPr>
        <w:spacing w:after="0" w:line="300" w:lineRule="auto"/>
        <w:jc w:val="both"/>
        <w:rPr>
          <w:rFonts w:ascii="Arial" w:hAnsi="Arial" w:cs="Arial"/>
        </w:rPr>
      </w:pPr>
    </w:p>
    <w:p w14:paraId="5F4BD37E" w14:textId="44D789F0" w:rsidR="00765A31" w:rsidRPr="005C522D" w:rsidRDefault="00765A31" w:rsidP="005C522D">
      <w:pPr>
        <w:pStyle w:val="Prrafodelista"/>
        <w:numPr>
          <w:ilvl w:val="0"/>
          <w:numId w:val="26"/>
        </w:numPr>
        <w:spacing w:after="0" w:line="300" w:lineRule="auto"/>
        <w:jc w:val="both"/>
        <w:rPr>
          <w:rFonts w:ascii="Arial" w:hAnsi="Arial" w:cs="Arial"/>
        </w:rPr>
      </w:pPr>
      <w:r w:rsidRPr="005C522D">
        <w:rPr>
          <w:rFonts w:ascii="Arial" w:hAnsi="Arial" w:cs="Arial"/>
        </w:rPr>
        <w:t xml:space="preserve">Lucro Cesante Consolidado o Debido: Se precisa que en el caso que nos ocupa no hay pruebas que permitan establecer la relación laboral que la señora Luzmila Cárdenas hubiera tenido en vida, y por el contrario en una búsqueda en las plataformas de registro al sistema de seguridad social, únicamente se encontró que la hoy fallecida pertenecía al régimen de salud al sistema SUBSIDIADO, por lo cual se considera que la misma no tenía una relación laboral vigente para la ocurrencia de los hechos, y no cotizaba al sistema de seguridad social como es de obligatoriedad conforme a la normatividad del caso. En ese entendido se procede a realizar la liquidación de lucro cesante, con la presunción del salario mínimo en atención que la señora Luzmila Cárdenas (q.e.p.d.) aún se encontraba en edad laboral productiva. La base de liquidación fue el salario mínimo actual (2023) menos el 25% de gastos individuales, la taza de vitalidad tomada para el caso fue la del señor Darío </w:t>
      </w:r>
      <w:proofErr w:type="spellStart"/>
      <w:r w:rsidRPr="005C522D">
        <w:rPr>
          <w:rFonts w:ascii="Arial" w:hAnsi="Arial" w:cs="Arial"/>
        </w:rPr>
        <w:t>Alviar</w:t>
      </w:r>
      <w:proofErr w:type="spellEnd"/>
      <w:r w:rsidRPr="005C522D">
        <w:rPr>
          <w:rFonts w:ascii="Arial" w:hAnsi="Arial" w:cs="Arial"/>
        </w:rPr>
        <w:t xml:space="preserve">. Bajo esas consideraciones la liquidación por lucro cesante consolidado es de: $64.197.090. </w:t>
      </w:r>
    </w:p>
    <w:p w14:paraId="390D8473" w14:textId="77777777" w:rsidR="00765A31" w:rsidRPr="00765A31" w:rsidRDefault="00765A31" w:rsidP="00765A31">
      <w:pPr>
        <w:spacing w:after="0" w:line="300" w:lineRule="auto"/>
        <w:jc w:val="both"/>
        <w:rPr>
          <w:rFonts w:ascii="Arial" w:hAnsi="Arial" w:cs="Arial"/>
        </w:rPr>
      </w:pPr>
    </w:p>
    <w:p w14:paraId="7AFD67B4" w14:textId="5A099C87" w:rsidR="00765A31" w:rsidRPr="005C522D" w:rsidRDefault="00765A31" w:rsidP="005C522D">
      <w:pPr>
        <w:pStyle w:val="Prrafodelista"/>
        <w:numPr>
          <w:ilvl w:val="0"/>
          <w:numId w:val="26"/>
        </w:numPr>
        <w:spacing w:after="0" w:line="300" w:lineRule="auto"/>
        <w:jc w:val="both"/>
        <w:rPr>
          <w:rFonts w:ascii="Arial" w:hAnsi="Arial" w:cs="Arial"/>
        </w:rPr>
      </w:pPr>
      <w:r w:rsidRPr="005C522D">
        <w:rPr>
          <w:rFonts w:ascii="Arial" w:hAnsi="Arial" w:cs="Arial"/>
        </w:rPr>
        <w:t>Lucro cesante futuro, se toma el valor antes expuesto, dando como liquidación de lucro cesante futuro el valor de: $142.180.867</w:t>
      </w:r>
    </w:p>
    <w:p w14:paraId="668069E9" w14:textId="77777777" w:rsidR="00765A31" w:rsidRPr="00765A31" w:rsidRDefault="00765A31" w:rsidP="00765A31">
      <w:pPr>
        <w:spacing w:after="0" w:line="300" w:lineRule="auto"/>
        <w:jc w:val="both"/>
        <w:rPr>
          <w:rFonts w:ascii="Arial" w:hAnsi="Arial" w:cs="Arial"/>
        </w:rPr>
      </w:pPr>
    </w:p>
    <w:p w14:paraId="0DBF63BA" w14:textId="77777777" w:rsidR="00765A31" w:rsidRDefault="00765A31" w:rsidP="00765A31">
      <w:pPr>
        <w:spacing w:after="0" w:line="300" w:lineRule="auto"/>
        <w:jc w:val="both"/>
        <w:rPr>
          <w:rFonts w:ascii="Arial" w:hAnsi="Arial" w:cs="Arial"/>
        </w:rPr>
      </w:pPr>
    </w:p>
    <w:p w14:paraId="676C03DB" w14:textId="657605B4" w:rsidR="00765A31" w:rsidRPr="005C522D" w:rsidRDefault="00765A31" w:rsidP="005C522D">
      <w:pPr>
        <w:pStyle w:val="Prrafodelista"/>
        <w:numPr>
          <w:ilvl w:val="0"/>
          <w:numId w:val="26"/>
        </w:numPr>
        <w:spacing w:after="0" w:line="300" w:lineRule="auto"/>
        <w:jc w:val="both"/>
        <w:rPr>
          <w:rFonts w:ascii="Arial" w:hAnsi="Arial" w:cs="Arial"/>
        </w:rPr>
      </w:pPr>
      <w:r w:rsidRPr="005C522D">
        <w:rPr>
          <w:rFonts w:ascii="Arial" w:hAnsi="Arial" w:cs="Arial"/>
        </w:rPr>
        <w:lastRenderedPageBreak/>
        <w:t>Daño emergente: Se precisa que el daño emergente debe ser verificable y real de actos específicos derivados de una acción dañosa. El requisito para verificar la certeza del daño emergente es que exista prueba del perjuicio, esto es prueba de los gastos concretos, ciertos y acreditados de la persona perjudicada. En consideración a los hechos expuesto, y las pruebas obrantes en el expediente, para el reconocimiento del daño emergente, se tendrá en cuenta única y exclusivamente la factura emitida por empresa La Luz Asistencia Integral S.A.S., considerando que la factura emitida cuenta con los requisitos legales establecidos para acreditar su validez. En ese orden de ideas, el valor del daño emergente es de: $3.700.000.</w:t>
      </w:r>
    </w:p>
    <w:p w14:paraId="35DCDE32" w14:textId="77777777" w:rsidR="00765A31" w:rsidRPr="00765A31" w:rsidRDefault="00765A31" w:rsidP="00765A31">
      <w:pPr>
        <w:spacing w:after="0" w:line="300" w:lineRule="auto"/>
        <w:jc w:val="both"/>
        <w:rPr>
          <w:rFonts w:ascii="Arial" w:hAnsi="Arial" w:cs="Arial"/>
        </w:rPr>
      </w:pPr>
    </w:p>
    <w:p w14:paraId="754504BE" w14:textId="5FFBD349" w:rsidR="00765A31" w:rsidRPr="005C522D" w:rsidRDefault="00765A31" w:rsidP="005C522D">
      <w:pPr>
        <w:pStyle w:val="Prrafodelista"/>
        <w:numPr>
          <w:ilvl w:val="0"/>
          <w:numId w:val="26"/>
        </w:numPr>
        <w:spacing w:after="0" w:line="300" w:lineRule="auto"/>
        <w:jc w:val="both"/>
        <w:rPr>
          <w:rFonts w:ascii="Arial" w:hAnsi="Arial" w:cs="Arial"/>
        </w:rPr>
      </w:pPr>
      <w:r w:rsidRPr="005C522D">
        <w:rPr>
          <w:rFonts w:ascii="Arial" w:hAnsi="Arial" w:cs="Arial"/>
        </w:rPr>
        <w:t>Daño moral. Con ocasión de la muerte de la señora Luzmila Cárdenas Atehortúa, se tendrá en cuenta la suma de $360.000.000 discriminados así: $60.000.000 para el compañero permanente de la víctima, $60.000.000 para la madre de la víctima, y para cada uno de sus hermanos el valor de $30.000.000. Lo anterior según los topes indemnizatorios establecidos por la Corte Suprema de Justicia, Sala de Casación Civil en sentencia del 07 de marzo de 2019, M.P. Octavio augusto Tejeiro Duque. En la que se indicó como baremo indemnizatorio el tope de $60.000.000 para los familiares en primer grado de consanguinidad.</w:t>
      </w:r>
    </w:p>
    <w:p w14:paraId="2506F2D2" w14:textId="77777777" w:rsidR="00765A31" w:rsidRPr="00765A31" w:rsidRDefault="00765A31" w:rsidP="00765A31">
      <w:pPr>
        <w:spacing w:after="0" w:line="300" w:lineRule="auto"/>
        <w:jc w:val="both"/>
        <w:rPr>
          <w:rFonts w:ascii="Arial" w:hAnsi="Arial" w:cs="Arial"/>
        </w:rPr>
      </w:pPr>
    </w:p>
    <w:p w14:paraId="49971A03" w14:textId="377B0633" w:rsidR="000E7E21" w:rsidRPr="005C522D" w:rsidRDefault="00765A31" w:rsidP="005C522D">
      <w:pPr>
        <w:pStyle w:val="Prrafodelista"/>
        <w:numPr>
          <w:ilvl w:val="0"/>
          <w:numId w:val="26"/>
        </w:numPr>
        <w:spacing w:after="0" w:line="300" w:lineRule="auto"/>
        <w:jc w:val="both"/>
        <w:rPr>
          <w:rFonts w:ascii="Arial" w:hAnsi="Arial" w:cs="Arial"/>
        </w:rPr>
      </w:pPr>
      <w:r w:rsidRPr="005C522D">
        <w:rPr>
          <w:rFonts w:ascii="Arial" w:hAnsi="Arial" w:cs="Arial"/>
        </w:rPr>
        <w:t>Deducible: No obstante, debe tenerse presente que al valor de la pérdida se le descontara el valor de $95.700.000 incluido en la póliza, lo que nos da un total de perjuicios de $474.377.957</w:t>
      </w:r>
      <w:r w:rsidRPr="005C522D">
        <w:rPr>
          <w:rFonts w:ascii="Arial" w:hAnsi="Arial" w:cs="Arial"/>
        </w:rPr>
        <w:t>.</w:t>
      </w:r>
    </w:p>
    <w:p w14:paraId="67243B86" w14:textId="77777777" w:rsidR="00A02EC2" w:rsidRDefault="00A02EC2" w:rsidP="002E045E">
      <w:pPr>
        <w:spacing w:after="0" w:line="300" w:lineRule="auto"/>
        <w:jc w:val="both"/>
        <w:rPr>
          <w:rFonts w:ascii="Arial" w:hAnsi="Arial" w:cs="Arial"/>
          <w:u w:val="single"/>
        </w:rPr>
      </w:pPr>
    </w:p>
    <w:p w14:paraId="6064C2F4" w14:textId="73463320" w:rsidR="002E045E" w:rsidRDefault="00E9725F" w:rsidP="002E045E">
      <w:pPr>
        <w:spacing w:after="0" w:line="300" w:lineRule="auto"/>
        <w:jc w:val="both"/>
        <w:rPr>
          <w:rFonts w:ascii="Arial" w:hAnsi="Arial" w:cs="Arial"/>
        </w:rPr>
      </w:pPr>
      <w:r w:rsidRPr="005B5544">
        <w:rPr>
          <w:rFonts w:ascii="Arial" w:hAnsi="Arial" w:cs="Arial"/>
          <w:u w:val="single"/>
        </w:rPr>
        <w:t>Excepciones:</w:t>
      </w:r>
      <w:r w:rsidR="002E045E">
        <w:rPr>
          <w:rFonts w:ascii="Arial" w:hAnsi="Arial" w:cs="Arial"/>
        </w:rPr>
        <w:t xml:space="preserve"> </w:t>
      </w:r>
    </w:p>
    <w:p w14:paraId="61DAA407" w14:textId="77777777" w:rsidR="00765A31" w:rsidRDefault="00765A31" w:rsidP="002E045E">
      <w:pPr>
        <w:spacing w:after="0" w:line="300" w:lineRule="auto"/>
        <w:jc w:val="both"/>
        <w:rPr>
          <w:rFonts w:ascii="Arial" w:hAnsi="Arial" w:cs="Arial"/>
        </w:rPr>
      </w:pPr>
    </w:p>
    <w:p w14:paraId="07ACE6A2" w14:textId="77777777" w:rsidR="00765A31" w:rsidRDefault="00765A31" w:rsidP="00765A31">
      <w:pPr>
        <w:spacing w:after="0" w:line="300" w:lineRule="auto"/>
        <w:jc w:val="both"/>
        <w:rPr>
          <w:rFonts w:ascii="Arial" w:hAnsi="Arial" w:cs="Arial"/>
        </w:rPr>
      </w:pPr>
      <w:r w:rsidRPr="00765A31">
        <w:rPr>
          <w:rFonts w:ascii="Arial" w:hAnsi="Arial" w:cs="Arial"/>
          <w:u w:val="single"/>
        </w:rPr>
        <w:t>FRENTE A LA DEMANDA:</w:t>
      </w:r>
      <w:r w:rsidRPr="00765A31">
        <w:rPr>
          <w:rFonts w:ascii="Arial" w:hAnsi="Arial" w:cs="Arial"/>
        </w:rPr>
        <w:t xml:space="preserve">  </w:t>
      </w:r>
    </w:p>
    <w:p w14:paraId="3C2A0511" w14:textId="77777777" w:rsidR="00765A31" w:rsidRDefault="00765A31" w:rsidP="00765A31">
      <w:pPr>
        <w:spacing w:after="0" w:line="300" w:lineRule="auto"/>
        <w:jc w:val="both"/>
        <w:rPr>
          <w:rFonts w:ascii="Arial" w:hAnsi="Arial" w:cs="Arial"/>
        </w:rPr>
      </w:pPr>
    </w:p>
    <w:p w14:paraId="350876AE" w14:textId="77777777" w:rsidR="00765A31" w:rsidRDefault="00765A31" w:rsidP="00765A31">
      <w:pPr>
        <w:spacing w:after="0" w:line="300" w:lineRule="auto"/>
        <w:jc w:val="both"/>
        <w:rPr>
          <w:rFonts w:ascii="Arial" w:hAnsi="Arial" w:cs="Arial"/>
        </w:rPr>
      </w:pPr>
      <w:r w:rsidRPr="00765A31">
        <w:rPr>
          <w:rFonts w:ascii="Arial" w:hAnsi="Arial" w:cs="Arial"/>
        </w:rPr>
        <w:t xml:space="preserve">1. EXCEPCIONES PLANTEADAS POR QUIEN FORMULÓ EL LLAMAMIENTO EN GARANTÍA. </w:t>
      </w:r>
    </w:p>
    <w:p w14:paraId="2AA254BA" w14:textId="77777777" w:rsidR="00765A31" w:rsidRDefault="00765A31" w:rsidP="00765A31">
      <w:pPr>
        <w:spacing w:after="0" w:line="300" w:lineRule="auto"/>
        <w:jc w:val="both"/>
        <w:rPr>
          <w:rFonts w:ascii="Arial" w:hAnsi="Arial" w:cs="Arial"/>
        </w:rPr>
      </w:pPr>
    </w:p>
    <w:p w14:paraId="7E495FAE" w14:textId="77777777" w:rsidR="00765A31" w:rsidRDefault="00765A31" w:rsidP="00765A31">
      <w:pPr>
        <w:spacing w:after="0" w:line="300" w:lineRule="auto"/>
        <w:jc w:val="both"/>
        <w:rPr>
          <w:rFonts w:ascii="Arial" w:hAnsi="Arial" w:cs="Arial"/>
        </w:rPr>
      </w:pPr>
      <w:r w:rsidRPr="00765A31">
        <w:rPr>
          <w:rFonts w:ascii="Arial" w:hAnsi="Arial" w:cs="Arial"/>
        </w:rPr>
        <w:t xml:space="preserve">2. INEXISTENCIA DE FALLA MÉDICA Y DE RESPONSABILIDAD DEBIDO A LA PRESTACIÓN DILIGENTE, OPORTUNA, ADECUADA, CUIDADOS Y CARENTE DE CULPA REALIZADO POR PARTE DE LA CLINICA PARTENÓN LTDA Y EPS COMPENSAR. </w:t>
      </w:r>
    </w:p>
    <w:p w14:paraId="787D76A6" w14:textId="77777777" w:rsidR="00765A31" w:rsidRDefault="00765A31" w:rsidP="00765A31">
      <w:pPr>
        <w:spacing w:after="0" w:line="300" w:lineRule="auto"/>
        <w:jc w:val="both"/>
        <w:rPr>
          <w:rFonts w:ascii="Arial" w:hAnsi="Arial" w:cs="Arial"/>
        </w:rPr>
      </w:pPr>
    </w:p>
    <w:p w14:paraId="5ABCBEAA" w14:textId="77777777" w:rsidR="00765A31" w:rsidRDefault="00765A31" w:rsidP="00765A31">
      <w:pPr>
        <w:spacing w:after="0" w:line="300" w:lineRule="auto"/>
        <w:jc w:val="both"/>
        <w:rPr>
          <w:rFonts w:ascii="Arial" w:hAnsi="Arial" w:cs="Arial"/>
        </w:rPr>
      </w:pPr>
      <w:r w:rsidRPr="00765A31">
        <w:rPr>
          <w:rFonts w:ascii="Arial" w:hAnsi="Arial" w:cs="Arial"/>
        </w:rPr>
        <w:t xml:space="preserve">3. INEXISTENCIA DE RESPONSABILIDAD EN ATENCIÓN AL CUMPLIMIENTO DE LAS OBLIGACIONES CONTRACTUALES DE COMPENSAR EPS. </w:t>
      </w:r>
    </w:p>
    <w:p w14:paraId="053D1014" w14:textId="77777777" w:rsidR="00765A31" w:rsidRDefault="00765A31" w:rsidP="00765A31">
      <w:pPr>
        <w:spacing w:after="0" w:line="300" w:lineRule="auto"/>
        <w:jc w:val="both"/>
        <w:rPr>
          <w:rFonts w:ascii="Arial" w:hAnsi="Arial" w:cs="Arial"/>
        </w:rPr>
      </w:pPr>
    </w:p>
    <w:p w14:paraId="653E6DE0" w14:textId="77777777" w:rsidR="00765A31" w:rsidRDefault="00765A31" w:rsidP="00765A31">
      <w:pPr>
        <w:spacing w:after="0" w:line="300" w:lineRule="auto"/>
        <w:jc w:val="both"/>
        <w:rPr>
          <w:rFonts w:ascii="Arial" w:hAnsi="Arial" w:cs="Arial"/>
        </w:rPr>
      </w:pPr>
      <w:r w:rsidRPr="00765A31">
        <w:rPr>
          <w:rFonts w:ascii="Arial" w:hAnsi="Arial" w:cs="Arial"/>
        </w:rPr>
        <w:t xml:space="preserve">4. INEXISTENCIA DE MEDIOS DE PRUEBA QUE PERMITAN ENDILGAR RESPONSABILIDAD CIVIL EN CABEZA DE LOS DEMANDADOS. </w:t>
      </w:r>
    </w:p>
    <w:p w14:paraId="49D9FAEA" w14:textId="77777777" w:rsidR="00765A31" w:rsidRDefault="00765A31" w:rsidP="00765A31">
      <w:pPr>
        <w:spacing w:after="0" w:line="300" w:lineRule="auto"/>
        <w:jc w:val="both"/>
        <w:rPr>
          <w:rFonts w:ascii="Arial" w:hAnsi="Arial" w:cs="Arial"/>
        </w:rPr>
      </w:pPr>
    </w:p>
    <w:p w14:paraId="5649C638" w14:textId="77777777" w:rsidR="005C522D" w:rsidRDefault="005C522D" w:rsidP="00765A31">
      <w:pPr>
        <w:spacing w:after="0" w:line="300" w:lineRule="auto"/>
        <w:jc w:val="both"/>
        <w:rPr>
          <w:rFonts w:ascii="Arial" w:hAnsi="Arial" w:cs="Arial"/>
        </w:rPr>
      </w:pPr>
    </w:p>
    <w:p w14:paraId="0D55B381" w14:textId="77777777" w:rsidR="005C522D" w:rsidRDefault="005C522D" w:rsidP="00765A31">
      <w:pPr>
        <w:spacing w:after="0" w:line="300" w:lineRule="auto"/>
        <w:jc w:val="both"/>
        <w:rPr>
          <w:rFonts w:ascii="Arial" w:hAnsi="Arial" w:cs="Arial"/>
        </w:rPr>
      </w:pPr>
    </w:p>
    <w:p w14:paraId="15896FE9" w14:textId="2BD4114A" w:rsidR="00765A31" w:rsidRDefault="00765A31" w:rsidP="00765A31">
      <w:pPr>
        <w:spacing w:after="0" w:line="300" w:lineRule="auto"/>
        <w:jc w:val="both"/>
        <w:rPr>
          <w:rFonts w:ascii="Arial" w:hAnsi="Arial" w:cs="Arial"/>
        </w:rPr>
      </w:pPr>
      <w:r w:rsidRPr="00765A31">
        <w:rPr>
          <w:rFonts w:ascii="Arial" w:hAnsi="Arial" w:cs="Arial"/>
        </w:rPr>
        <w:lastRenderedPageBreak/>
        <w:t>5. INEXISTENCIA DE REPONSABILIDAD EN ATENCIÓN A LA DEBIDA DILIGENCIA EN CABEZA DE LA CLÍNICA PARTENON LTDA.</w:t>
      </w:r>
    </w:p>
    <w:p w14:paraId="3F1CF361" w14:textId="77777777" w:rsidR="00765A31" w:rsidRDefault="00765A31" w:rsidP="00765A31">
      <w:pPr>
        <w:spacing w:after="0" w:line="300" w:lineRule="auto"/>
        <w:jc w:val="both"/>
        <w:rPr>
          <w:rFonts w:ascii="Arial" w:hAnsi="Arial" w:cs="Arial"/>
        </w:rPr>
      </w:pPr>
    </w:p>
    <w:p w14:paraId="46F09374" w14:textId="5496FAB6" w:rsidR="00765A31" w:rsidRDefault="00765A31" w:rsidP="00765A31">
      <w:pPr>
        <w:spacing w:after="0" w:line="300" w:lineRule="auto"/>
        <w:jc w:val="both"/>
        <w:rPr>
          <w:rFonts w:ascii="Arial" w:hAnsi="Arial" w:cs="Arial"/>
        </w:rPr>
      </w:pPr>
      <w:r w:rsidRPr="00765A31">
        <w:rPr>
          <w:rFonts w:ascii="Arial" w:hAnsi="Arial" w:cs="Arial"/>
        </w:rPr>
        <w:t xml:space="preserve">6. EL PRESENTE CASO DEBE EVALUARSE A LA LUZ DE LA FALLA PROBADA. </w:t>
      </w:r>
    </w:p>
    <w:p w14:paraId="40354329" w14:textId="77777777" w:rsidR="00765A31" w:rsidRDefault="00765A31" w:rsidP="00765A31">
      <w:pPr>
        <w:spacing w:after="0" w:line="300" w:lineRule="auto"/>
        <w:jc w:val="both"/>
        <w:rPr>
          <w:rFonts w:ascii="Arial" w:hAnsi="Arial" w:cs="Arial"/>
        </w:rPr>
      </w:pPr>
    </w:p>
    <w:p w14:paraId="08E5F88D" w14:textId="54B1B338" w:rsidR="00765A31" w:rsidRDefault="00765A31" w:rsidP="00765A31">
      <w:pPr>
        <w:spacing w:after="0" w:line="300" w:lineRule="auto"/>
        <w:jc w:val="both"/>
        <w:rPr>
          <w:rFonts w:ascii="Arial" w:hAnsi="Arial" w:cs="Arial"/>
        </w:rPr>
      </w:pPr>
      <w:r w:rsidRPr="00765A31">
        <w:rPr>
          <w:rFonts w:ascii="Arial" w:hAnsi="Arial" w:cs="Arial"/>
        </w:rPr>
        <w:t xml:space="preserve">7. CUANTIFICACIÓN INDEBIDA E INJUSTIFICADA DE LOS SUPUESTOS PERJUICIOS MORALES PRETENDIDOS POR LOS DEMANDANTES. </w:t>
      </w:r>
    </w:p>
    <w:p w14:paraId="7B5F66BA" w14:textId="77777777" w:rsidR="00765A31" w:rsidRDefault="00765A31" w:rsidP="00765A31">
      <w:pPr>
        <w:spacing w:after="0" w:line="300" w:lineRule="auto"/>
        <w:jc w:val="both"/>
        <w:rPr>
          <w:rFonts w:ascii="Arial" w:hAnsi="Arial" w:cs="Arial"/>
        </w:rPr>
      </w:pPr>
    </w:p>
    <w:p w14:paraId="6D10FC2E" w14:textId="77777777" w:rsidR="00765A31" w:rsidRDefault="00765A31" w:rsidP="00765A31">
      <w:pPr>
        <w:spacing w:after="0" w:line="300" w:lineRule="auto"/>
        <w:jc w:val="both"/>
        <w:rPr>
          <w:rFonts w:ascii="Arial" w:hAnsi="Arial" w:cs="Arial"/>
        </w:rPr>
      </w:pPr>
      <w:r w:rsidRPr="00765A31">
        <w:rPr>
          <w:rFonts w:ascii="Arial" w:hAnsi="Arial" w:cs="Arial"/>
        </w:rPr>
        <w:t xml:space="preserve">8. IMPROCEDENCIA DE PERJUICIOS MATERIALES EN LA MODALIDAD DE LUCRO CESANTE. </w:t>
      </w:r>
    </w:p>
    <w:p w14:paraId="11BE1F8F" w14:textId="77777777" w:rsidR="00765A31" w:rsidRDefault="00765A31" w:rsidP="00765A31">
      <w:pPr>
        <w:spacing w:after="0" w:line="300" w:lineRule="auto"/>
        <w:jc w:val="both"/>
        <w:rPr>
          <w:rFonts w:ascii="Arial" w:hAnsi="Arial" w:cs="Arial"/>
        </w:rPr>
      </w:pPr>
    </w:p>
    <w:p w14:paraId="751689CF" w14:textId="77777777" w:rsidR="00765A31" w:rsidRDefault="00765A31" w:rsidP="00765A31">
      <w:pPr>
        <w:spacing w:after="0" w:line="300" w:lineRule="auto"/>
        <w:jc w:val="both"/>
        <w:rPr>
          <w:rFonts w:ascii="Arial" w:hAnsi="Arial" w:cs="Arial"/>
        </w:rPr>
      </w:pPr>
      <w:r w:rsidRPr="00765A31">
        <w:rPr>
          <w:rFonts w:ascii="Arial" w:hAnsi="Arial" w:cs="Arial"/>
        </w:rPr>
        <w:t xml:space="preserve">9. IMPROCEDENCIA DEL RECONOCIMIENTO DE DAÑOS MATERIALES POR CONCEPTO DE DAÑO EMERGENTE. </w:t>
      </w:r>
    </w:p>
    <w:p w14:paraId="48BAA51A" w14:textId="77777777" w:rsidR="00765A31" w:rsidRDefault="00765A31" w:rsidP="00765A31">
      <w:pPr>
        <w:spacing w:after="0" w:line="300" w:lineRule="auto"/>
        <w:jc w:val="both"/>
        <w:rPr>
          <w:rFonts w:ascii="Arial" w:hAnsi="Arial" w:cs="Arial"/>
        </w:rPr>
      </w:pPr>
    </w:p>
    <w:p w14:paraId="19C958FF" w14:textId="7CB1B6B1" w:rsidR="00765A31" w:rsidRPr="00765A31" w:rsidRDefault="00765A31" w:rsidP="00765A31">
      <w:pPr>
        <w:spacing w:after="0" w:line="300" w:lineRule="auto"/>
        <w:jc w:val="both"/>
        <w:rPr>
          <w:rFonts w:ascii="Arial" w:hAnsi="Arial" w:cs="Arial"/>
        </w:rPr>
      </w:pPr>
      <w:r w:rsidRPr="00765A31">
        <w:rPr>
          <w:rFonts w:ascii="Arial" w:hAnsi="Arial" w:cs="Arial"/>
        </w:rPr>
        <w:t>10. GÉNERICA O INNOMINADA Y OTRAS.</w:t>
      </w:r>
    </w:p>
    <w:p w14:paraId="5C67DE5D" w14:textId="77777777" w:rsidR="00765A31" w:rsidRPr="00765A31" w:rsidRDefault="00765A31" w:rsidP="00765A31">
      <w:pPr>
        <w:spacing w:after="0" w:line="300" w:lineRule="auto"/>
        <w:jc w:val="both"/>
        <w:rPr>
          <w:rFonts w:ascii="Arial" w:hAnsi="Arial" w:cs="Arial"/>
        </w:rPr>
      </w:pPr>
    </w:p>
    <w:p w14:paraId="39D78E3F" w14:textId="77777777" w:rsidR="00765A31" w:rsidRDefault="00765A31" w:rsidP="00765A31">
      <w:pPr>
        <w:spacing w:after="0" w:line="300" w:lineRule="auto"/>
        <w:jc w:val="both"/>
        <w:rPr>
          <w:rFonts w:ascii="Arial" w:hAnsi="Arial" w:cs="Arial"/>
        </w:rPr>
      </w:pPr>
      <w:r w:rsidRPr="00765A31">
        <w:rPr>
          <w:rFonts w:ascii="Arial" w:hAnsi="Arial" w:cs="Arial"/>
        </w:rPr>
        <w:t xml:space="preserve">FRENTE AL LLAMAMIENTO:  </w:t>
      </w:r>
    </w:p>
    <w:p w14:paraId="177A8B6E" w14:textId="77777777" w:rsidR="00765A31" w:rsidRDefault="00765A31" w:rsidP="00765A31">
      <w:pPr>
        <w:spacing w:after="0" w:line="300" w:lineRule="auto"/>
        <w:jc w:val="both"/>
        <w:rPr>
          <w:rFonts w:ascii="Arial" w:hAnsi="Arial" w:cs="Arial"/>
        </w:rPr>
      </w:pPr>
    </w:p>
    <w:p w14:paraId="3E0D96E0" w14:textId="2DD9CC2C" w:rsidR="00765A31" w:rsidRDefault="00765A31" w:rsidP="00765A31">
      <w:pPr>
        <w:spacing w:after="0" w:line="300" w:lineRule="auto"/>
        <w:jc w:val="both"/>
        <w:rPr>
          <w:rFonts w:ascii="Arial" w:hAnsi="Arial" w:cs="Arial"/>
        </w:rPr>
      </w:pPr>
      <w:r w:rsidRPr="00765A31">
        <w:rPr>
          <w:rFonts w:ascii="Arial" w:hAnsi="Arial" w:cs="Arial"/>
        </w:rPr>
        <w:t xml:space="preserve">1. INEXISTENCIA DE RESPONSABILIDAD POR LA NO REALIZACIÓN DEL RIESGO ASEGURADO EN LOS TÉRMINOS DEL ARTÍCULO 1072 C. Co. </w:t>
      </w:r>
    </w:p>
    <w:p w14:paraId="0AA9C43B" w14:textId="77777777" w:rsidR="00765A31" w:rsidRDefault="00765A31" w:rsidP="00765A31">
      <w:pPr>
        <w:spacing w:after="0" w:line="300" w:lineRule="auto"/>
        <w:jc w:val="both"/>
        <w:rPr>
          <w:rFonts w:ascii="Arial" w:hAnsi="Arial" w:cs="Arial"/>
        </w:rPr>
      </w:pPr>
    </w:p>
    <w:p w14:paraId="6662720A" w14:textId="77777777" w:rsidR="00765A31" w:rsidRDefault="00765A31" w:rsidP="00765A31">
      <w:pPr>
        <w:spacing w:after="0" w:line="300" w:lineRule="auto"/>
        <w:jc w:val="both"/>
        <w:rPr>
          <w:rFonts w:ascii="Arial" w:hAnsi="Arial" w:cs="Arial"/>
        </w:rPr>
      </w:pPr>
      <w:r w:rsidRPr="00765A31">
        <w:rPr>
          <w:rFonts w:ascii="Arial" w:hAnsi="Arial" w:cs="Arial"/>
        </w:rPr>
        <w:t xml:space="preserve">2. RIESGOS EXPRESAMENTE EXCLUIDOS EN LA PÓLIZA DE RESPONSABILIDAD CIVIL PROFESIONAL CLÍNICAS Y HOSPITALES NO. AA198548. </w:t>
      </w:r>
    </w:p>
    <w:p w14:paraId="32371127" w14:textId="77777777" w:rsidR="00765A31" w:rsidRDefault="00765A31" w:rsidP="00765A31">
      <w:pPr>
        <w:spacing w:after="0" w:line="300" w:lineRule="auto"/>
        <w:jc w:val="both"/>
        <w:rPr>
          <w:rFonts w:ascii="Arial" w:hAnsi="Arial" w:cs="Arial"/>
        </w:rPr>
      </w:pPr>
    </w:p>
    <w:p w14:paraId="4E81FF23" w14:textId="77777777" w:rsidR="00765A31" w:rsidRDefault="00765A31" w:rsidP="00765A31">
      <w:pPr>
        <w:spacing w:after="0" w:line="300" w:lineRule="auto"/>
        <w:jc w:val="both"/>
        <w:rPr>
          <w:rFonts w:ascii="Arial" w:hAnsi="Arial" w:cs="Arial"/>
        </w:rPr>
      </w:pPr>
      <w:r w:rsidRPr="00765A31">
        <w:rPr>
          <w:rFonts w:ascii="Arial" w:hAnsi="Arial" w:cs="Arial"/>
        </w:rPr>
        <w:t xml:space="preserve">3. SUJECIÓN A LAS CONDICIONES PARTICULARES Y GENERALES DEL CONTRATO DE SEGURO, EN LA QUE SE IDENTIFICA LA PÓLIZA AA198548., EL CLAUSULADO Y LOS AMPAROS </w:t>
      </w:r>
    </w:p>
    <w:p w14:paraId="006213B3" w14:textId="77777777" w:rsidR="00765A31" w:rsidRDefault="00765A31" w:rsidP="00765A31">
      <w:pPr>
        <w:spacing w:after="0" w:line="300" w:lineRule="auto"/>
        <w:jc w:val="both"/>
        <w:rPr>
          <w:rFonts w:ascii="Arial" w:hAnsi="Arial" w:cs="Arial"/>
        </w:rPr>
      </w:pPr>
    </w:p>
    <w:p w14:paraId="37E3857D" w14:textId="77777777" w:rsidR="00765A31" w:rsidRDefault="00765A31" w:rsidP="00765A31">
      <w:pPr>
        <w:spacing w:after="0" w:line="300" w:lineRule="auto"/>
        <w:jc w:val="both"/>
        <w:rPr>
          <w:rFonts w:ascii="Arial" w:hAnsi="Arial" w:cs="Arial"/>
        </w:rPr>
      </w:pPr>
      <w:r w:rsidRPr="00765A31">
        <w:rPr>
          <w:rFonts w:ascii="Arial" w:hAnsi="Arial" w:cs="Arial"/>
        </w:rPr>
        <w:t xml:space="preserve">4. EN CUALQUIER CASO Y DE NINGUNA FORMA SE PODRA EXCEDER EL LÍMITE DEL VALOR ASEGURADO AMPARADO EN LA PÓLIZA No. AA198548 Y CONDICIONES DEL SEGURO. EN CUALQUIER CASO, SE DEBEN TENER EN CUENTA LOS DEDUCIBLES PACTADOS EN LA PÓLIZA No. AA1985548 </w:t>
      </w:r>
    </w:p>
    <w:p w14:paraId="3782A4F6" w14:textId="77777777" w:rsidR="00765A31" w:rsidRDefault="00765A31" w:rsidP="00765A31">
      <w:pPr>
        <w:spacing w:after="0" w:line="300" w:lineRule="auto"/>
        <w:jc w:val="both"/>
        <w:rPr>
          <w:rFonts w:ascii="Arial" w:hAnsi="Arial" w:cs="Arial"/>
        </w:rPr>
      </w:pPr>
    </w:p>
    <w:p w14:paraId="76667F0D" w14:textId="2E84CB93" w:rsidR="00765A31" w:rsidRDefault="00765A31" w:rsidP="00765A31">
      <w:pPr>
        <w:spacing w:after="0" w:line="300" w:lineRule="auto"/>
        <w:jc w:val="both"/>
        <w:rPr>
          <w:rFonts w:ascii="Arial" w:hAnsi="Arial" w:cs="Arial"/>
        </w:rPr>
      </w:pPr>
      <w:r w:rsidRPr="00765A31">
        <w:rPr>
          <w:rFonts w:ascii="Arial" w:hAnsi="Arial" w:cs="Arial"/>
        </w:rPr>
        <w:t xml:space="preserve">6. DISPONIBILIDAD DEL VALOR ASEGURADO </w:t>
      </w:r>
    </w:p>
    <w:p w14:paraId="093A48B2" w14:textId="77777777" w:rsidR="00765A31" w:rsidRDefault="00765A31" w:rsidP="00765A31">
      <w:pPr>
        <w:spacing w:after="0" w:line="300" w:lineRule="auto"/>
        <w:jc w:val="both"/>
        <w:rPr>
          <w:rFonts w:ascii="Arial" w:hAnsi="Arial" w:cs="Arial"/>
        </w:rPr>
      </w:pPr>
    </w:p>
    <w:p w14:paraId="7A0D4CE8" w14:textId="55250B95" w:rsidR="00765A31" w:rsidRDefault="00765A31" w:rsidP="00765A31">
      <w:pPr>
        <w:spacing w:after="0" w:line="300" w:lineRule="auto"/>
        <w:jc w:val="both"/>
        <w:rPr>
          <w:rFonts w:ascii="Arial" w:hAnsi="Arial" w:cs="Arial"/>
        </w:rPr>
      </w:pPr>
      <w:r w:rsidRPr="00765A31">
        <w:rPr>
          <w:rFonts w:ascii="Arial" w:hAnsi="Arial" w:cs="Arial"/>
        </w:rPr>
        <w:t xml:space="preserve">7. CARÁCTER MERAMENTE INDEMNIZAORIO DEL CONTRATO DE SEUROS.  </w:t>
      </w:r>
    </w:p>
    <w:p w14:paraId="69864497" w14:textId="77777777" w:rsidR="00765A31" w:rsidRDefault="00765A31" w:rsidP="00765A31">
      <w:pPr>
        <w:spacing w:after="0" w:line="300" w:lineRule="auto"/>
        <w:jc w:val="both"/>
        <w:rPr>
          <w:rFonts w:ascii="Arial" w:hAnsi="Arial" w:cs="Arial"/>
        </w:rPr>
      </w:pPr>
    </w:p>
    <w:p w14:paraId="63AB4E2F" w14:textId="6B4C4F2C" w:rsidR="004852F1" w:rsidRDefault="00765A31" w:rsidP="00765A31">
      <w:pPr>
        <w:spacing w:after="0" w:line="300" w:lineRule="auto"/>
        <w:jc w:val="both"/>
        <w:rPr>
          <w:rFonts w:ascii="Arial" w:hAnsi="Arial" w:cs="Arial"/>
        </w:rPr>
      </w:pPr>
      <w:r w:rsidRPr="00765A31">
        <w:rPr>
          <w:rFonts w:ascii="Arial" w:hAnsi="Arial" w:cs="Arial"/>
        </w:rPr>
        <w:t>8. GENÉRICA O INNOMINADA</w:t>
      </w:r>
    </w:p>
    <w:p w14:paraId="16E96B48" w14:textId="77777777" w:rsidR="00765A31" w:rsidRDefault="00765A31" w:rsidP="004852F1">
      <w:pPr>
        <w:spacing w:after="0" w:line="300" w:lineRule="auto"/>
        <w:jc w:val="both"/>
        <w:rPr>
          <w:rFonts w:ascii="Arial" w:hAnsi="Arial" w:cs="Arial"/>
          <w:u w:val="single"/>
        </w:rPr>
      </w:pPr>
    </w:p>
    <w:p w14:paraId="26B79457" w14:textId="77777777" w:rsidR="005C522D" w:rsidRDefault="005C522D" w:rsidP="004852F1">
      <w:pPr>
        <w:spacing w:after="0" w:line="300" w:lineRule="auto"/>
        <w:jc w:val="both"/>
        <w:rPr>
          <w:rFonts w:ascii="Arial" w:hAnsi="Arial" w:cs="Arial"/>
          <w:u w:val="single"/>
        </w:rPr>
      </w:pPr>
    </w:p>
    <w:p w14:paraId="2556C0D3" w14:textId="77777777" w:rsidR="005C522D" w:rsidRDefault="005C522D" w:rsidP="004852F1">
      <w:pPr>
        <w:spacing w:after="0" w:line="300" w:lineRule="auto"/>
        <w:jc w:val="both"/>
        <w:rPr>
          <w:rFonts w:ascii="Arial" w:hAnsi="Arial" w:cs="Arial"/>
          <w:u w:val="single"/>
        </w:rPr>
      </w:pPr>
    </w:p>
    <w:p w14:paraId="2B8A89C8" w14:textId="77777777" w:rsidR="005C522D" w:rsidRDefault="005C522D" w:rsidP="004852F1">
      <w:pPr>
        <w:spacing w:after="0" w:line="300" w:lineRule="auto"/>
        <w:jc w:val="both"/>
        <w:rPr>
          <w:rFonts w:ascii="Arial" w:hAnsi="Arial" w:cs="Arial"/>
          <w:u w:val="single"/>
        </w:rPr>
      </w:pPr>
    </w:p>
    <w:p w14:paraId="56C24AEA" w14:textId="0C301461" w:rsidR="000E7E21" w:rsidRPr="000E7E21" w:rsidRDefault="00E9725F" w:rsidP="004852F1">
      <w:pPr>
        <w:spacing w:after="0" w:line="300" w:lineRule="auto"/>
        <w:jc w:val="both"/>
        <w:rPr>
          <w:rFonts w:ascii="Arial" w:hAnsi="Arial" w:cs="Arial"/>
        </w:rPr>
      </w:pPr>
      <w:r w:rsidRPr="005B5544">
        <w:rPr>
          <w:rFonts w:ascii="Arial" w:hAnsi="Arial" w:cs="Arial"/>
          <w:u w:val="single"/>
        </w:rPr>
        <w:lastRenderedPageBreak/>
        <w:t>Concepto Jurídico:</w:t>
      </w:r>
      <w:r w:rsidR="002C273C" w:rsidRPr="005B5544">
        <w:rPr>
          <w:rFonts w:ascii="Arial" w:hAnsi="Arial" w:cs="Arial"/>
        </w:rPr>
        <w:t xml:space="preserve"> </w:t>
      </w:r>
      <w:r w:rsidR="000E7E21">
        <w:rPr>
          <w:rFonts w:ascii="Arial" w:hAnsi="Arial" w:cs="Arial"/>
        </w:rPr>
        <w:t xml:space="preserve"> </w:t>
      </w:r>
    </w:p>
    <w:p w14:paraId="6616B8DE" w14:textId="77777777" w:rsidR="00765A31" w:rsidRDefault="00765A31" w:rsidP="00765A31">
      <w:pPr>
        <w:spacing w:after="0" w:line="300" w:lineRule="auto"/>
        <w:jc w:val="both"/>
        <w:rPr>
          <w:rFonts w:ascii="Arial" w:hAnsi="Arial" w:cs="Arial"/>
        </w:rPr>
      </w:pPr>
      <w:r w:rsidRPr="00765A31">
        <w:rPr>
          <w:rFonts w:ascii="Arial" w:hAnsi="Arial" w:cs="Arial"/>
        </w:rPr>
        <w:t xml:space="preserve">La contingencia se califica como REMOTA bajo el análisis de la materialización de un riesgo inherente al procedimiento médico. Las razones de la calificación son las siguientes: </w:t>
      </w:r>
    </w:p>
    <w:p w14:paraId="0A28BF24" w14:textId="77777777" w:rsidR="00765A31" w:rsidRPr="00765A31" w:rsidRDefault="00765A31" w:rsidP="00765A31">
      <w:pPr>
        <w:spacing w:after="0" w:line="300" w:lineRule="auto"/>
        <w:jc w:val="both"/>
        <w:rPr>
          <w:rFonts w:ascii="Arial" w:hAnsi="Arial" w:cs="Arial"/>
        </w:rPr>
      </w:pPr>
    </w:p>
    <w:p w14:paraId="10BEFFDB" w14:textId="77777777" w:rsidR="00765A31" w:rsidRDefault="00765A31" w:rsidP="00765A31">
      <w:pPr>
        <w:spacing w:after="0" w:line="300" w:lineRule="auto"/>
        <w:jc w:val="both"/>
        <w:rPr>
          <w:rFonts w:ascii="Arial" w:hAnsi="Arial" w:cs="Arial"/>
        </w:rPr>
      </w:pPr>
      <w:r w:rsidRPr="00765A31">
        <w:rPr>
          <w:rFonts w:ascii="Arial" w:hAnsi="Arial" w:cs="Arial"/>
        </w:rPr>
        <w:t xml:space="preserve">Lo primero que debe tomarse en consideración es que la Póliza de Seguro No. AA198548, presta cobertura material y temporal de conformidad con los hechos y pretensiones expuestas en el líbelo de la demanda. Frente a la cobertura temporal, debe decirse que su modalidad es CLAIMS MADE, la cual ampara las indemnizaciones por las reclamaciones escritas presentadas por los terceros afectados y por primera vez al asegurado o a la aseguradora durante la vigencia de la póliza, por hechos ocurridos durante la misma vigencia o desde las vigencias anteriores contadas a partir del 30 noviembre de 2006. En consecuencia, ambos presupuestos, esto es, tanto el fallecimiento de la señora Luzmila Cárdenas Atehortúa (05 de febrero de 2018) como la reclamación extrajudicial (29 de noviembre de 2019) se encuentran dentro de la delimitación temporal de la póliza. Aunado a ello, presta cobertura material en tanto ampara la responsabilidad civil profesional, pretensión que se le endilga a la EPS Compensar. No obstante, la contingencia se califica como Remota al tratarse de la materialización de un riesgo inherente al procedimiento médico. </w:t>
      </w:r>
    </w:p>
    <w:p w14:paraId="3B0E9E08" w14:textId="77777777" w:rsidR="00765A31" w:rsidRPr="00765A31" w:rsidRDefault="00765A31" w:rsidP="00765A31">
      <w:pPr>
        <w:spacing w:after="0" w:line="300" w:lineRule="auto"/>
        <w:jc w:val="both"/>
        <w:rPr>
          <w:rFonts w:ascii="Arial" w:hAnsi="Arial" w:cs="Arial"/>
        </w:rPr>
      </w:pPr>
    </w:p>
    <w:p w14:paraId="0A6A3AEB" w14:textId="77777777" w:rsidR="00765A31" w:rsidRPr="00765A31" w:rsidRDefault="00765A31" w:rsidP="00765A31">
      <w:pPr>
        <w:spacing w:after="0" w:line="300" w:lineRule="auto"/>
        <w:jc w:val="both"/>
        <w:rPr>
          <w:rFonts w:ascii="Arial" w:hAnsi="Arial" w:cs="Arial"/>
        </w:rPr>
      </w:pPr>
      <w:r w:rsidRPr="00765A31">
        <w:rPr>
          <w:rFonts w:ascii="Arial" w:hAnsi="Arial" w:cs="Arial"/>
        </w:rPr>
        <w:t>Por otro lado, frente a la responsabilidad del asegurado, debe decirse que existen elementos de prueba que deberán ser valorados por el juez a fin de determinar si hubo o no responsabilidad civil de la EPS Compensar y su IPS adscrita en la muerte de la señora Luzmila Cárdenas Atehortúa. Por una parte, debe tenerse en cuenta que el fallecimiento de la señora Cárdenas, obedeció a la materialización de un riesgo inherente al procedimiento quirúrgico de Cistectomía de Ovario Derecho, en la que lamentablemente se causó una perforación intestinal, causando la peritonitis fecal y posterior a ello la muerte. No obstante, se debe tener en cuenta que existen indicios de los que se podría inferir que la Clínica Partenón Ltda., institución a la cual fue remitida la señora Cárdenas para que se le practicará el procedimiento médico (cistectomía de ovario), el día 31 de enero del 2018, pasó por alto las manifestaciones realizadas por la paciente frente a su malestar en el estado de salud y las dolencias que padeció posterior a la cirugía, desencadenando una aparente falta de cuidado y seguimiento posterior a la intervención quirúrgica y bajo las consideraciones de los riesgos inherente que hubiera podido ocurrir. Por lo anterior, es claro que dependerá del debate probatorio, en particular de los testimonios médicos que sean solicitados por el asegurado, confirmar o desvirtuar la responsabilidad civil profesional que se le está imputando a la Clínica Partenón Ltda., y a la EPS Compensar.</w:t>
      </w:r>
    </w:p>
    <w:p w14:paraId="2863125A" w14:textId="77777777" w:rsidR="00765A31" w:rsidRPr="00765A31" w:rsidRDefault="00765A31" w:rsidP="00765A31">
      <w:pPr>
        <w:spacing w:after="0" w:line="300" w:lineRule="auto"/>
        <w:jc w:val="both"/>
        <w:rPr>
          <w:rFonts w:ascii="Arial" w:hAnsi="Arial" w:cs="Arial"/>
        </w:rPr>
      </w:pPr>
    </w:p>
    <w:p w14:paraId="434832AA" w14:textId="7BC3DD62" w:rsidR="00765A31" w:rsidRDefault="00765A31" w:rsidP="00765A31">
      <w:pPr>
        <w:spacing w:after="0" w:line="300" w:lineRule="auto"/>
        <w:jc w:val="both"/>
        <w:rPr>
          <w:rFonts w:ascii="Arial" w:hAnsi="Arial" w:cs="Arial"/>
        </w:rPr>
      </w:pPr>
      <w:r w:rsidRPr="00765A31">
        <w:rPr>
          <w:rFonts w:ascii="Arial" w:hAnsi="Arial" w:cs="Arial"/>
        </w:rPr>
        <w:t>Lo esgrimido sin perjuicio del carácter contingente del proceso.</w:t>
      </w:r>
    </w:p>
    <w:p w14:paraId="18C71390" w14:textId="77777777" w:rsidR="00765A31" w:rsidRDefault="00765A31" w:rsidP="005B5544">
      <w:pPr>
        <w:spacing w:after="0" w:line="300" w:lineRule="auto"/>
        <w:jc w:val="both"/>
        <w:rPr>
          <w:rFonts w:ascii="Arial" w:hAnsi="Arial" w:cs="Arial"/>
        </w:rPr>
      </w:pPr>
    </w:p>
    <w:p w14:paraId="74AFAD6F" w14:textId="795AC413" w:rsidR="00E9725F" w:rsidRPr="005B5544" w:rsidRDefault="00E9725F" w:rsidP="005B5544">
      <w:pPr>
        <w:spacing w:after="0" w:line="300" w:lineRule="auto"/>
        <w:jc w:val="both"/>
        <w:rPr>
          <w:rFonts w:ascii="Arial" w:hAnsi="Arial" w:cs="Arial"/>
        </w:rPr>
      </w:pPr>
      <w:r w:rsidRPr="005B5544">
        <w:rPr>
          <w:rFonts w:ascii="Arial" w:hAnsi="Arial" w:cs="Arial"/>
          <w:u w:val="single"/>
        </w:rPr>
        <w:t>Contingencia:</w:t>
      </w:r>
      <w:r w:rsidR="002C273C" w:rsidRPr="005B5544">
        <w:rPr>
          <w:rFonts w:ascii="Arial" w:hAnsi="Arial" w:cs="Arial"/>
          <w:u w:val="single"/>
        </w:rPr>
        <w:t xml:space="preserve"> </w:t>
      </w:r>
      <w:r w:rsidR="0030799B">
        <w:rPr>
          <w:rFonts w:ascii="Arial" w:hAnsi="Arial" w:cs="Arial"/>
        </w:rPr>
        <w:t xml:space="preserve"> </w:t>
      </w:r>
      <w:r w:rsidR="00AF2FA1">
        <w:rPr>
          <w:rFonts w:ascii="Arial" w:hAnsi="Arial" w:cs="Arial"/>
        </w:rPr>
        <w:t xml:space="preserve"> </w:t>
      </w:r>
      <w:r w:rsidR="00765A31">
        <w:rPr>
          <w:rFonts w:ascii="Arial" w:hAnsi="Arial" w:cs="Arial"/>
        </w:rPr>
        <w:t>REMOTA</w:t>
      </w:r>
      <w:r w:rsidR="003C2AA8">
        <w:rPr>
          <w:rFonts w:ascii="Arial" w:hAnsi="Arial" w:cs="Arial"/>
        </w:rPr>
        <w:t>.</w:t>
      </w:r>
    </w:p>
    <w:p w14:paraId="129D7709" w14:textId="77777777" w:rsidR="006466ED" w:rsidRDefault="006466ED" w:rsidP="005B5544">
      <w:pPr>
        <w:spacing w:after="0" w:line="300" w:lineRule="auto"/>
        <w:jc w:val="both"/>
        <w:rPr>
          <w:rFonts w:ascii="Arial" w:hAnsi="Arial" w:cs="Arial"/>
          <w:b/>
        </w:rPr>
      </w:pPr>
    </w:p>
    <w:p w14:paraId="016BC455" w14:textId="77777777" w:rsidR="005C522D" w:rsidRDefault="005C522D" w:rsidP="005B5544">
      <w:pPr>
        <w:spacing w:after="0" w:line="300" w:lineRule="auto"/>
        <w:jc w:val="both"/>
        <w:rPr>
          <w:rFonts w:ascii="Arial" w:hAnsi="Arial" w:cs="Arial"/>
          <w:b/>
        </w:rPr>
      </w:pPr>
    </w:p>
    <w:p w14:paraId="229C907E" w14:textId="77777777" w:rsidR="005C522D" w:rsidRDefault="005C522D" w:rsidP="005B5544">
      <w:pPr>
        <w:spacing w:after="0" w:line="300" w:lineRule="auto"/>
        <w:jc w:val="both"/>
        <w:rPr>
          <w:rFonts w:ascii="Arial" w:hAnsi="Arial" w:cs="Arial"/>
          <w:b/>
        </w:rPr>
      </w:pPr>
    </w:p>
    <w:p w14:paraId="00811D50" w14:textId="6B600162" w:rsidR="00765A31" w:rsidRDefault="00701367" w:rsidP="005B5544">
      <w:pPr>
        <w:spacing w:after="0" w:line="300" w:lineRule="auto"/>
        <w:jc w:val="both"/>
        <w:rPr>
          <w:rFonts w:ascii="Arial" w:hAnsi="Arial" w:cs="Arial"/>
        </w:rPr>
      </w:pPr>
      <w:r w:rsidRPr="005B5544">
        <w:rPr>
          <w:rFonts w:ascii="Arial" w:hAnsi="Arial" w:cs="Arial"/>
          <w:u w:val="single"/>
        </w:rPr>
        <w:lastRenderedPageBreak/>
        <w:t>Ofrecimiento:</w:t>
      </w:r>
      <w:r w:rsidR="002C273C" w:rsidRPr="005B5544">
        <w:rPr>
          <w:rFonts w:ascii="Arial" w:hAnsi="Arial" w:cs="Arial"/>
        </w:rPr>
        <w:t xml:space="preserve"> </w:t>
      </w:r>
      <w:r w:rsidR="0030799B">
        <w:rPr>
          <w:rFonts w:ascii="Arial" w:hAnsi="Arial" w:cs="Arial"/>
        </w:rPr>
        <w:t xml:space="preserve"> </w:t>
      </w:r>
      <w:r w:rsidR="003C2AA8">
        <w:rPr>
          <w:rFonts w:ascii="Arial" w:hAnsi="Arial" w:cs="Arial"/>
        </w:rPr>
        <w:t>Se</w:t>
      </w:r>
      <w:r w:rsidR="000E7E21">
        <w:rPr>
          <w:rFonts w:ascii="Arial" w:hAnsi="Arial" w:cs="Arial"/>
        </w:rPr>
        <w:t xml:space="preserve"> r</w:t>
      </w:r>
      <w:r w:rsidR="003620DD">
        <w:rPr>
          <w:rFonts w:ascii="Arial" w:hAnsi="Arial" w:cs="Arial"/>
        </w:rPr>
        <w:t>ecomendamos</w:t>
      </w:r>
      <w:r w:rsidR="00765A31">
        <w:rPr>
          <w:rFonts w:ascii="Arial" w:hAnsi="Arial" w:cs="Arial"/>
        </w:rPr>
        <w:t xml:space="preserve"> no</w:t>
      </w:r>
      <w:r w:rsidR="003620DD">
        <w:rPr>
          <w:rFonts w:ascii="Arial" w:hAnsi="Arial" w:cs="Arial"/>
        </w:rPr>
        <w:t xml:space="preserve"> asistir con ánimo conciliatorio </w:t>
      </w:r>
      <w:r w:rsidR="000E7E21">
        <w:rPr>
          <w:rFonts w:ascii="Arial" w:hAnsi="Arial" w:cs="Arial"/>
        </w:rPr>
        <w:t xml:space="preserve">toda vez que la contingencia se encuentra </w:t>
      </w:r>
      <w:r w:rsidR="003D263F">
        <w:rPr>
          <w:rFonts w:ascii="Arial" w:hAnsi="Arial" w:cs="Arial"/>
        </w:rPr>
        <w:t>recalificada</w:t>
      </w:r>
      <w:r w:rsidR="000E7E21">
        <w:rPr>
          <w:rFonts w:ascii="Arial" w:hAnsi="Arial" w:cs="Arial"/>
        </w:rPr>
        <w:t xml:space="preserve"> como</w:t>
      </w:r>
      <w:r w:rsidR="003C2AA8">
        <w:rPr>
          <w:rFonts w:ascii="Arial" w:hAnsi="Arial" w:cs="Arial"/>
        </w:rPr>
        <w:t xml:space="preserve"> </w:t>
      </w:r>
      <w:r w:rsidR="00765A31">
        <w:rPr>
          <w:rFonts w:ascii="Arial" w:hAnsi="Arial" w:cs="Arial"/>
        </w:rPr>
        <w:t xml:space="preserve">Remota. </w:t>
      </w:r>
    </w:p>
    <w:p w14:paraId="086ABAF7" w14:textId="77777777" w:rsidR="00E459D7" w:rsidRPr="005B5544" w:rsidRDefault="00E459D7" w:rsidP="005B5544">
      <w:pPr>
        <w:spacing w:before="100" w:beforeAutospacing="1" w:after="100" w:afterAutospacing="1"/>
        <w:jc w:val="both"/>
        <w:rPr>
          <w:rFonts w:ascii="Arial" w:hAnsi="Arial" w:cs="Arial"/>
        </w:rPr>
      </w:pPr>
      <w:r w:rsidRPr="005B5544">
        <w:rPr>
          <w:rFonts w:ascii="Arial" w:hAnsi="Arial" w:cs="Arial"/>
        </w:rPr>
        <w:t>Adjunto análisis del riesgo legal bajo la herramienta DOFA:</w:t>
      </w:r>
    </w:p>
    <w:tbl>
      <w:tblPr>
        <w:tblW w:w="10240" w:type="dxa"/>
        <w:tblInd w:w="-23" w:type="dxa"/>
        <w:tblCellMar>
          <w:left w:w="0" w:type="dxa"/>
          <w:right w:w="0" w:type="dxa"/>
        </w:tblCellMar>
        <w:tblLook w:val="04A0" w:firstRow="1" w:lastRow="0" w:firstColumn="1" w:lastColumn="0" w:noHBand="0" w:noVBand="1"/>
      </w:tblPr>
      <w:tblGrid>
        <w:gridCol w:w="5109"/>
        <w:gridCol w:w="5131"/>
      </w:tblGrid>
      <w:tr w:rsidR="005B5544" w:rsidRPr="005B5544" w14:paraId="223E0212" w14:textId="77777777" w:rsidTr="00AC5A1E">
        <w:trPr>
          <w:trHeight w:val="291"/>
        </w:trPr>
        <w:tc>
          <w:tcPr>
            <w:tcW w:w="5109" w:type="dxa"/>
            <w:tcBorders>
              <w:top w:val="double" w:sz="6" w:space="0" w:color="00B050"/>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01934EFB"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Debilidades</w:t>
            </w:r>
          </w:p>
        </w:tc>
        <w:tc>
          <w:tcPr>
            <w:tcW w:w="5131" w:type="dxa"/>
            <w:tcBorders>
              <w:top w:val="double" w:sz="6" w:space="0" w:color="00B050"/>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0B499DF9"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Oportunidades</w:t>
            </w:r>
          </w:p>
        </w:tc>
      </w:tr>
      <w:tr w:rsidR="005B5544" w:rsidRPr="005B5544" w14:paraId="197A450D" w14:textId="77777777" w:rsidTr="00AC5A1E">
        <w:trPr>
          <w:trHeight w:val="1000"/>
        </w:trPr>
        <w:tc>
          <w:tcPr>
            <w:tcW w:w="5109" w:type="dxa"/>
            <w:tcBorders>
              <w:top w:val="nil"/>
              <w:left w:val="double" w:sz="6" w:space="0" w:color="00B050"/>
              <w:bottom w:val="single" w:sz="8" w:space="0" w:color="00B050"/>
              <w:right w:val="single" w:sz="8" w:space="0" w:color="00B050"/>
            </w:tcBorders>
            <w:tcMar>
              <w:top w:w="0" w:type="dxa"/>
              <w:left w:w="70" w:type="dxa"/>
              <w:bottom w:w="0" w:type="dxa"/>
              <w:right w:w="70" w:type="dxa"/>
            </w:tcMar>
            <w:hideMark/>
          </w:tcPr>
          <w:p w14:paraId="43725F55" w14:textId="77777777" w:rsidR="00426C6D" w:rsidRDefault="00E459D7" w:rsidP="00F46941">
            <w:pPr>
              <w:jc w:val="both"/>
              <w:rPr>
                <w:rFonts w:ascii="Arial" w:hAnsi="Arial" w:cs="Arial"/>
                <w:lang w:eastAsia="es-CO"/>
              </w:rPr>
            </w:pPr>
            <w:r w:rsidRPr="005B5544">
              <w:rPr>
                <w:rFonts w:ascii="Arial" w:hAnsi="Arial" w:cs="Arial"/>
                <w:lang w:eastAsia="es-CO"/>
              </w:rPr>
              <w:t xml:space="preserve">* </w:t>
            </w:r>
            <w:r w:rsidR="000E7E21">
              <w:rPr>
                <w:rFonts w:ascii="Arial" w:hAnsi="Arial" w:cs="Arial"/>
                <w:lang w:eastAsia="es-CO"/>
              </w:rPr>
              <w:t xml:space="preserve">La póliza presta cobertura </w:t>
            </w:r>
            <w:r w:rsidR="0044215D">
              <w:rPr>
                <w:rFonts w:ascii="Arial" w:hAnsi="Arial" w:cs="Arial"/>
                <w:lang w:eastAsia="es-CO"/>
              </w:rPr>
              <w:t>material</w:t>
            </w:r>
            <w:r w:rsidR="005C522D">
              <w:rPr>
                <w:rFonts w:ascii="Arial" w:hAnsi="Arial" w:cs="Arial"/>
                <w:lang w:eastAsia="es-CO"/>
              </w:rPr>
              <w:t xml:space="preserve">. </w:t>
            </w:r>
          </w:p>
          <w:p w14:paraId="3FE23CC0" w14:textId="606FB947" w:rsidR="005C522D" w:rsidRPr="005B5544" w:rsidRDefault="005C522D" w:rsidP="00F46941">
            <w:pPr>
              <w:jc w:val="both"/>
              <w:rPr>
                <w:rFonts w:ascii="Arial" w:hAnsi="Arial" w:cs="Arial"/>
                <w:lang w:eastAsia="es-CO"/>
              </w:rPr>
            </w:pPr>
            <w:r>
              <w:rPr>
                <w:rFonts w:ascii="Arial" w:hAnsi="Arial" w:cs="Arial"/>
                <w:lang w:eastAsia="es-CO"/>
              </w:rPr>
              <w:t xml:space="preserve">* La póliza presta cobertura temporal en modalidad Claims Made.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37BE83A3" w14:textId="407B2D78" w:rsidR="005C522D" w:rsidRPr="005B5544" w:rsidRDefault="00426C6D" w:rsidP="005C522D">
            <w:pPr>
              <w:jc w:val="both"/>
              <w:rPr>
                <w:rFonts w:ascii="Arial" w:hAnsi="Arial" w:cs="Arial"/>
              </w:rPr>
            </w:pPr>
            <w:r>
              <w:rPr>
                <w:rFonts w:ascii="Arial" w:hAnsi="Arial" w:cs="Arial"/>
                <w:lang w:eastAsia="es-CO"/>
              </w:rPr>
              <w:t xml:space="preserve">* </w:t>
            </w:r>
            <w:r w:rsidR="005C522D">
              <w:rPr>
                <w:rFonts w:ascii="Arial" w:hAnsi="Arial" w:cs="Arial"/>
                <w:lang w:eastAsia="es-CO"/>
              </w:rPr>
              <w:t>D</w:t>
            </w:r>
            <w:r w:rsidR="005C522D" w:rsidRPr="005C522D">
              <w:rPr>
                <w:rFonts w:ascii="Arial" w:hAnsi="Arial" w:cs="Arial"/>
                <w:lang w:eastAsia="es-CO"/>
              </w:rPr>
              <w:t>ependerá del debate probatorio, en particular de los testimonios médicos que sean solicitados por el asegurado, confirmar o desvirtuar la responsabilidad civil profesional que se le está imputando a la Clínica Partenón Ltda., y a la EPS Compensar.</w:t>
            </w:r>
          </w:p>
          <w:p w14:paraId="65416987" w14:textId="082D45DB" w:rsidR="004D3E79" w:rsidRPr="005B5544" w:rsidRDefault="004D3E79" w:rsidP="005A58E8">
            <w:pPr>
              <w:jc w:val="both"/>
              <w:rPr>
                <w:rFonts w:ascii="Arial" w:hAnsi="Arial" w:cs="Arial"/>
              </w:rPr>
            </w:pPr>
          </w:p>
        </w:tc>
      </w:tr>
      <w:tr w:rsidR="005B5544" w:rsidRPr="005B5544" w14:paraId="1AF10738" w14:textId="77777777" w:rsidTr="00AC5A1E">
        <w:trPr>
          <w:trHeight w:val="278"/>
        </w:trPr>
        <w:tc>
          <w:tcPr>
            <w:tcW w:w="5109" w:type="dxa"/>
            <w:tcBorders>
              <w:top w:val="nil"/>
              <w:left w:val="double" w:sz="6" w:space="0" w:color="00B050"/>
              <w:bottom w:val="single" w:sz="8" w:space="0" w:color="00B050"/>
              <w:right w:val="single" w:sz="8" w:space="0" w:color="00B050"/>
            </w:tcBorders>
            <w:shd w:val="clear" w:color="auto" w:fill="00B050"/>
            <w:noWrap/>
            <w:tcMar>
              <w:top w:w="0" w:type="dxa"/>
              <w:left w:w="70" w:type="dxa"/>
              <w:bottom w:w="0" w:type="dxa"/>
              <w:right w:w="70" w:type="dxa"/>
            </w:tcMar>
            <w:vAlign w:val="bottom"/>
            <w:hideMark/>
          </w:tcPr>
          <w:p w14:paraId="70777EBC"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Fortalezas</w:t>
            </w:r>
          </w:p>
        </w:tc>
        <w:tc>
          <w:tcPr>
            <w:tcW w:w="5131" w:type="dxa"/>
            <w:tcBorders>
              <w:top w:val="nil"/>
              <w:left w:val="nil"/>
              <w:bottom w:val="single" w:sz="8" w:space="0" w:color="00B050"/>
              <w:right w:val="double" w:sz="6" w:space="0" w:color="00B050"/>
            </w:tcBorders>
            <w:shd w:val="clear" w:color="auto" w:fill="00B050"/>
            <w:noWrap/>
            <w:tcMar>
              <w:top w:w="0" w:type="dxa"/>
              <w:left w:w="70" w:type="dxa"/>
              <w:bottom w:w="0" w:type="dxa"/>
              <w:right w:w="70" w:type="dxa"/>
            </w:tcMar>
            <w:vAlign w:val="bottom"/>
            <w:hideMark/>
          </w:tcPr>
          <w:p w14:paraId="3345E1B7" w14:textId="77777777" w:rsidR="00E459D7" w:rsidRPr="005B5544" w:rsidRDefault="00E459D7" w:rsidP="005B5544">
            <w:pPr>
              <w:jc w:val="both"/>
              <w:rPr>
                <w:rFonts w:ascii="Arial" w:hAnsi="Arial" w:cs="Arial"/>
                <w:b/>
                <w:bCs/>
                <w:lang w:eastAsia="es-CO"/>
              </w:rPr>
            </w:pPr>
            <w:r w:rsidRPr="005B5544">
              <w:rPr>
                <w:rFonts w:ascii="Arial" w:hAnsi="Arial" w:cs="Arial"/>
                <w:b/>
                <w:bCs/>
                <w:lang w:eastAsia="es-CO"/>
              </w:rPr>
              <w:t xml:space="preserve">Amenazas </w:t>
            </w:r>
          </w:p>
        </w:tc>
      </w:tr>
      <w:tr w:rsidR="005B5544" w:rsidRPr="005B5544" w14:paraId="6790A6BE" w14:textId="77777777" w:rsidTr="00AC5A1E">
        <w:trPr>
          <w:trHeight w:val="500"/>
        </w:trPr>
        <w:tc>
          <w:tcPr>
            <w:tcW w:w="5109" w:type="dxa"/>
            <w:tcBorders>
              <w:top w:val="nil"/>
              <w:left w:val="double" w:sz="6" w:space="0" w:color="00B050"/>
              <w:bottom w:val="single" w:sz="8" w:space="0" w:color="00B050"/>
              <w:right w:val="single" w:sz="8" w:space="0" w:color="00B050"/>
            </w:tcBorders>
            <w:noWrap/>
            <w:tcMar>
              <w:top w:w="0" w:type="dxa"/>
              <w:left w:w="70" w:type="dxa"/>
              <w:bottom w:w="0" w:type="dxa"/>
              <w:right w:w="70" w:type="dxa"/>
            </w:tcMar>
            <w:hideMark/>
          </w:tcPr>
          <w:p w14:paraId="1FEB23A3" w14:textId="7105D79B" w:rsidR="004D3E79" w:rsidRDefault="005E2740" w:rsidP="004D3E79">
            <w:pPr>
              <w:spacing w:after="0" w:line="300" w:lineRule="auto"/>
              <w:jc w:val="both"/>
              <w:rPr>
                <w:rFonts w:ascii="Arial" w:hAnsi="Arial" w:cs="Arial"/>
              </w:rPr>
            </w:pPr>
            <w:r>
              <w:rPr>
                <w:rFonts w:ascii="Arial" w:hAnsi="Arial" w:cs="Arial"/>
                <w:lang w:eastAsia="es-CO"/>
              </w:rPr>
              <w:t>*</w:t>
            </w:r>
            <w:r w:rsidR="004D3E79">
              <w:rPr>
                <w:rFonts w:ascii="Arial" w:hAnsi="Arial" w:cs="Arial"/>
              </w:rPr>
              <w:t xml:space="preserve"> </w:t>
            </w:r>
            <w:r w:rsidR="005C522D">
              <w:rPr>
                <w:rFonts w:ascii="Arial" w:hAnsi="Arial" w:cs="Arial"/>
              </w:rPr>
              <w:t>L</w:t>
            </w:r>
            <w:r w:rsidR="005C522D" w:rsidRPr="005C522D">
              <w:rPr>
                <w:rFonts w:ascii="Arial" w:hAnsi="Arial" w:cs="Arial"/>
              </w:rPr>
              <w:t>a contingencia se califica como Remota al tratarse de la materialización de un riesgo inherente al procedimiento médico.</w:t>
            </w:r>
          </w:p>
          <w:p w14:paraId="5231F900" w14:textId="1AC2EE8C" w:rsidR="00D75442" w:rsidRPr="005E2740" w:rsidRDefault="00D75442" w:rsidP="005E2740">
            <w:pPr>
              <w:jc w:val="both"/>
              <w:rPr>
                <w:rFonts w:ascii="Arial" w:hAnsi="Arial" w:cs="Arial"/>
                <w:lang w:eastAsia="es-CO"/>
              </w:rPr>
            </w:pPr>
          </w:p>
          <w:p w14:paraId="2BAEABBD" w14:textId="6CA477B6" w:rsidR="00426C6D" w:rsidRPr="005B5544" w:rsidRDefault="00426C6D" w:rsidP="005B5544">
            <w:pPr>
              <w:jc w:val="both"/>
              <w:rPr>
                <w:rFonts w:ascii="Arial" w:hAnsi="Arial" w:cs="Arial"/>
                <w:lang w:eastAsia="es-CO"/>
              </w:rPr>
            </w:pPr>
            <w:r>
              <w:rPr>
                <w:rFonts w:ascii="Arial" w:hAnsi="Arial" w:cs="Arial"/>
                <w:lang w:eastAsia="es-CO"/>
              </w:rPr>
              <w:t xml:space="preserve"> </w:t>
            </w:r>
          </w:p>
        </w:tc>
        <w:tc>
          <w:tcPr>
            <w:tcW w:w="5131" w:type="dxa"/>
            <w:tcBorders>
              <w:top w:val="nil"/>
              <w:left w:val="nil"/>
              <w:bottom w:val="single" w:sz="8" w:space="0" w:color="00B050"/>
              <w:right w:val="double" w:sz="6" w:space="0" w:color="00B050"/>
            </w:tcBorders>
            <w:tcMar>
              <w:top w:w="0" w:type="dxa"/>
              <w:left w:w="70" w:type="dxa"/>
              <w:bottom w:w="0" w:type="dxa"/>
              <w:right w:w="70" w:type="dxa"/>
            </w:tcMar>
            <w:hideMark/>
          </w:tcPr>
          <w:p w14:paraId="66FF3492" w14:textId="5F777941" w:rsidR="00E459D7" w:rsidRPr="005B5544" w:rsidRDefault="00E459D7" w:rsidP="005B5544">
            <w:pPr>
              <w:jc w:val="both"/>
              <w:rPr>
                <w:rFonts w:ascii="Arial" w:hAnsi="Arial" w:cs="Arial"/>
                <w:lang w:eastAsia="es-CO"/>
              </w:rPr>
            </w:pPr>
            <w:r w:rsidRPr="005B5544">
              <w:rPr>
                <w:rFonts w:ascii="Arial" w:hAnsi="Arial" w:cs="Arial"/>
                <w:lang w:eastAsia="es-CO"/>
              </w:rPr>
              <w:t>*</w:t>
            </w:r>
            <w:r w:rsidR="0030799B">
              <w:rPr>
                <w:rFonts w:ascii="Arial" w:hAnsi="Arial" w:cs="Arial"/>
                <w:lang w:eastAsia="es-CO"/>
              </w:rPr>
              <w:t xml:space="preserve"> </w:t>
            </w:r>
            <w:r w:rsidR="003F4CBD" w:rsidRPr="003F4CBD">
              <w:rPr>
                <w:rFonts w:ascii="Arial" w:hAnsi="Arial" w:cs="Arial"/>
                <w:lang w:eastAsia="es-CO"/>
              </w:rPr>
              <w:t>Riesgo legal con efectos reputacionales para la aseguradora.</w:t>
            </w:r>
          </w:p>
        </w:tc>
      </w:tr>
    </w:tbl>
    <w:p w14:paraId="3CC571A9" w14:textId="77777777" w:rsidR="00E459D7" w:rsidRPr="005B5544" w:rsidRDefault="00E459D7" w:rsidP="005B5544">
      <w:pPr>
        <w:pStyle w:val="Textoindependiente"/>
        <w:spacing w:line="276" w:lineRule="auto"/>
        <w:ind w:right="51"/>
        <w:jc w:val="both"/>
        <w:rPr>
          <w:rFonts w:cs="Arial"/>
          <w:sz w:val="22"/>
          <w:szCs w:val="22"/>
        </w:rPr>
      </w:pPr>
    </w:p>
    <w:p w14:paraId="409FBE1D" w14:textId="77777777" w:rsidR="000E7E21" w:rsidRDefault="000E7E21" w:rsidP="005B5544">
      <w:pPr>
        <w:spacing w:after="0" w:line="300" w:lineRule="auto"/>
        <w:jc w:val="both"/>
        <w:rPr>
          <w:rFonts w:ascii="Arial" w:hAnsi="Arial" w:cs="Arial"/>
          <w:u w:val="single"/>
        </w:rPr>
      </w:pPr>
    </w:p>
    <w:p w14:paraId="7DA63296" w14:textId="4D956E1D" w:rsidR="002C273C" w:rsidRPr="005E2740" w:rsidRDefault="002C273C" w:rsidP="005B5544">
      <w:pPr>
        <w:spacing w:after="0" w:line="300" w:lineRule="auto"/>
        <w:jc w:val="both"/>
        <w:rPr>
          <w:rFonts w:ascii="Arial" w:hAnsi="Arial" w:cs="Arial"/>
        </w:rPr>
      </w:pPr>
      <w:r w:rsidRPr="005B5544">
        <w:rPr>
          <w:rFonts w:ascii="Arial" w:hAnsi="Arial" w:cs="Arial"/>
          <w:u w:val="single"/>
        </w:rPr>
        <w:t>Reserva sugerida</w:t>
      </w:r>
      <w:r w:rsidRPr="005A58E8">
        <w:rPr>
          <w:rFonts w:ascii="Arial" w:hAnsi="Arial" w:cs="Arial"/>
        </w:rPr>
        <w:t>:</w:t>
      </w:r>
      <w:r w:rsidR="005A58E8" w:rsidRPr="005A58E8">
        <w:rPr>
          <w:rFonts w:ascii="Arial" w:hAnsi="Arial" w:cs="Arial"/>
        </w:rPr>
        <w:t xml:space="preserve"> </w:t>
      </w:r>
      <w:r w:rsidR="005A58E8" w:rsidRPr="005A58E8">
        <w:rPr>
          <w:rFonts w:ascii="Arial" w:hAnsi="Arial" w:cs="Arial"/>
          <w:b/>
          <w:bCs/>
          <w:u w:val="single"/>
        </w:rPr>
        <w:t xml:space="preserve">$ </w:t>
      </w:r>
      <w:r w:rsidR="00765A31">
        <w:rPr>
          <w:rFonts w:ascii="Arial" w:hAnsi="Arial" w:cs="Arial"/>
          <w:b/>
          <w:bCs/>
          <w:u w:val="single"/>
        </w:rPr>
        <w:t>200.000.000</w:t>
      </w:r>
    </w:p>
    <w:p w14:paraId="4CF04969" w14:textId="77777777" w:rsidR="005B5544" w:rsidRPr="005B5544" w:rsidRDefault="005B5544" w:rsidP="005B5544">
      <w:pPr>
        <w:spacing w:after="0" w:line="300" w:lineRule="auto"/>
        <w:jc w:val="both"/>
        <w:rPr>
          <w:rFonts w:ascii="Arial" w:hAnsi="Arial" w:cs="Arial"/>
        </w:rPr>
      </w:pPr>
    </w:p>
    <w:p w14:paraId="6F8ED672" w14:textId="77777777" w:rsidR="000E7E21" w:rsidRDefault="000E7E21" w:rsidP="005B5544">
      <w:pPr>
        <w:spacing w:after="0" w:line="300" w:lineRule="auto"/>
        <w:jc w:val="both"/>
        <w:rPr>
          <w:rFonts w:ascii="Arial" w:hAnsi="Arial" w:cs="Arial"/>
        </w:rPr>
      </w:pPr>
    </w:p>
    <w:p w14:paraId="393D2194" w14:textId="7C9B5EC0" w:rsidR="00B17FA2" w:rsidRDefault="00B17FA2" w:rsidP="005B5544">
      <w:pPr>
        <w:spacing w:after="0" w:line="300" w:lineRule="auto"/>
        <w:jc w:val="both"/>
        <w:rPr>
          <w:rFonts w:ascii="Arial" w:hAnsi="Arial" w:cs="Arial"/>
        </w:rPr>
      </w:pPr>
      <w:r w:rsidRPr="005B5544">
        <w:rPr>
          <w:rFonts w:ascii="Arial" w:hAnsi="Arial" w:cs="Arial"/>
        </w:rPr>
        <w:t>Cordialmente,</w:t>
      </w:r>
    </w:p>
    <w:p w14:paraId="793DFBD6" w14:textId="77777777" w:rsidR="005B5544" w:rsidRDefault="005B5544" w:rsidP="005B5544">
      <w:pPr>
        <w:spacing w:after="0" w:line="300" w:lineRule="auto"/>
        <w:jc w:val="both"/>
        <w:rPr>
          <w:rFonts w:ascii="Arial" w:hAnsi="Arial" w:cs="Arial"/>
        </w:rPr>
      </w:pPr>
    </w:p>
    <w:p w14:paraId="59F32F1C" w14:textId="77777777" w:rsidR="005B5544" w:rsidRPr="005B5544" w:rsidRDefault="005B5544" w:rsidP="005B5544">
      <w:pPr>
        <w:spacing w:after="0" w:line="300" w:lineRule="auto"/>
        <w:jc w:val="both"/>
        <w:rPr>
          <w:rFonts w:ascii="Arial" w:hAnsi="Arial" w:cs="Arial"/>
        </w:rPr>
      </w:pPr>
    </w:p>
    <w:p w14:paraId="61633470" w14:textId="77777777" w:rsidR="00B17FA2" w:rsidRPr="005B5544" w:rsidRDefault="005B5544" w:rsidP="005B5544">
      <w:pPr>
        <w:spacing w:after="0" w:line="300" w:lineRule="auto"/>
        <w:jc w:val="both"/>
        <w:rPr>
          <w:rFonts w:ascii="Arial" w:hAnsi="Arial" w:cs="Arial"/>
          <w:b/>
          <w:smallCaps/>
        </w:rPr>
      </w:pPr>
      <w:r>
        <w:rPr>
          <w:rFonts w:ascii="Arial Narrow" w:hAnsi="Arial Narrow" w:cs="Arial"/>
          <w:noProof/>
          <w:lang w:eastAsia="es-CO"/>
        </w:rPr>
        <w:drawing>
          <wp:inline distT="0" distB="0" distL="0" distR="0" wp14:anchorId="154B70AF" wp14:editId="0A2E9E07">
            <wp:extent cx="1416892" cy="371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9545" cy="374792"/>
                    </a:xfrm>
                    <a:prstGeom prst="rect">
                      <a:avLst/>
                    </a:prstGeom>
                    <a:noFill/>
                    <a:ln>
                      <a:noFill/>
                    </a:ln>
                  </pic:spPr>
                </pic:pic>
              </a:graphicData>
            </a:graphic>
          </wp:inline>
        </w:drawing>
      </w:r>
    </w:p>
    <w:p w14:paraId="35DFA2C7" w14:textId="77777777" w:rsidR="00BE262C" w:rsidRPr="005B5544" w:rsidRDefault="002C273C" w:rsidP="005B5544">
      <w:pPr>
        <w:spacing w:after="0" w:line="300" w:lineRule="auto"/>
        <w:jc w:val="both"/>
        <w:rPr>
          <w:rFonts w:ascii="Arial" w:hAnsi="Arial" w:cs="Arial"/>
          <w:b/>
          <w:smallCaps/>
        </w:rPr>
      </w:pPr>
      <w:r w:rsidRPr="005B5544">
        <w:rPr>
          <w:rFonts w:ascii="Arial" w:hAnsi="Arial" w:cs="Arial"/>
          <w:b/>
          <w:smallCaps/>
        </w:rPr>
        <w:t>____________________</w:t>
      </w:r>
    </w:p>
    <w:p w14:paraId="5F7469F5" w14:textId="77777777" w:rsidR="008B5DA4" w:rsidRPr="005B5544" w:rsidRDefault="002C273C" w:rsidP="005B5544">
      <w:pPr>
        <w:spacing w:after="0" w:line="300" w:lineRule="auto"/>
        <w:jc w:val="both"/>
        <w:rPr>
          <w:rFonts w:ascii="Arial" w:hAnsi="Arial" w:cs="Arial"/>
        </w:rPr>
      </w:pPr>
      <w:r w:rsidRPr="005B5544">
        <w:rPr>
          <w:rFonts w:ascii="Arial" w:hAnsi="Arial" w:cs="Arial"/>
        </w:rPr>
        <w:t xml:space="preserve">Abogado </w:t>
      </w:r>
    </w:p>
    <w:p w14:paraId="1011C8A7" w14:textId="77777777" w:rsidR="00B917A2" w:rsidRPr="005B5544" w:rsidRDefault="00B917A2" w:rsidP="005B5544">
      <w:pPr>
        <w:spacing w:after="0" w:line="300" w:lineRule="auto"/>
        <w:jc w:val="both"/>
        <w:rPr>
          <w:rFonts w:ascii="Arial" w:hAnsi="Arial" w:cs="Arial"/>
        </w:rPr>
      </w:pPr>
      <w:r w:rsidRPr="005B5544">
        <w:rPr>
          <w:rFonts w:ascii="Arial" w:hAnsi="Arial" w:cs="Arial"/>
        </w:rPr>
        <w:br/>
      </w:r>
    </w:p>
    <w:sectPr w:rsidR="00B917A2" w:rsidRPr="005B5544" w:rsidSect="003D0B7A">
      <w:headerReference w:type="even" r:id="rId12"/>
      <w:headerReference w:type="default" r:id="rId13"/>
      <w:pgSz w:w="12240" w:h="15840"/>
      <w:pgMar w:top="1701" w:right="1134" w:bottom="1134" w:left="1418" w:header="113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2A0D3" w14:textId="77777777" w:rsidR="006F0255" w:rsidRDefault="006F0255" w:rsidP="00BD7CB0">
      <w:r>
        <w:separator/>
      </w:r>
    </w:p>
  </w:endnote>
  <w:endnote w:type="continuationSeparator" w:id="0">
    <w:p w14:paraId="1312A0D8" w14:textId="77777777" w:rsidR="006F0255" w:rsidRDefault="006F0255" w:rsidP="00BD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52461" w14:textId="77777777" w:rsidR="006F0255" w:rsidRDefault="006F0255" w:rsidP="00BD7CB0">
      <w:r>
        <w:separator/>
      </w:r>
    </w:p>
  </w:footnote>
  <w:footnote w:type="continuationSeparator" w:id="0">
    <w:p w14:paraId="2FE36851" w14:textId="77777777" w:rsidR="006F0255" w:rsidRDefault="006F0255" w:rsidP="00BD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827C" w14:textId="77777777" w:rsidR="00701367" w:rsidRDefault="00701367" w:rsidP="009507B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F1A450" w14:textId="77777777" w:rsidR="00701367" w:rsidRDefault="00701367" w:rsidP="00D77D6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82D9" w14:textId="77777777" w:rsidR="00701367" w:rsidRDefault="00925372" w:rsidP="00DE2408">
    <w:pPr>
      <w:pStyle w:val="Encabezado"/>
      <w:ind w:right="360"/>
    </w:pPr>
    <w:r>
      <w:rPr>
        <w:noProof/>
        <w:lang w:val="es-ES"/>
      </w:rPr>
      <w:pict w14:anchorId="2854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3.55pt;margin-top:-72.65pt;width:592.2pt;height:761.15pt;z-index:-251658752;mso-wrap-edited:f;mso-position-horizontal-relative:margin;mso-position-vertical-relative:margin" wrapcoords="-27 0 -27 21558 21600 21558 21600 0 -27 0">
          <v:imagedata r:id="rId1" o:title="ARTE-MEMBRETE-INSTITUCIONAL(CARTA)"/>
          <w10:wrap anchorx="margin" anchory="margin"/>
        </v:shape>
      </w:pict>
    </w:r>
    <w:r w:rsidR="00701367">
      <w:rPr>
        <w:lang w:val="es-ES"/>
      </w:rPr>
      <w:t xml:space="preserve">Página </w:t>
    </w:r>
    <w:r w:rsidR="00701367">
      <w:rPr>
        <w:b/>
      </w:rPr>
      <w:fldChar w:fldCharType="begin"/>
    </w:r>
    <w:r w:rsidR="00701367">
      <w:rPr>
        <w:b/>
      </w:rPr>
      <w:instrText>PAGE  \* Arabic  \* MERGEFORMAT</w:instrText>
    </w:r>
    <w:r w:rsidR="00701367">
      <w:rPr>
        <w:b/>
      </w:rPr>
      <w:fldChar w:fldCharType="separate"/>
    </w:r>
    <w:r w:rsidR="00880497" w:rsidRPr="00880497">
      <w:rPr>
        <w:b/>
        <w:noProof/>
        <w:lang w:val="es-ES"/>
      </w:rPr>
      <w:t>1</w:t>
    </w:r>
    <w:r w:rsidR="00701367">
      <w:rPr>
        <w:b/>
      </w:rPr>
      <w:fldChar w:fldCharType="end"/>
    </w:r>
    <w:r w:rsidR="00701367">
      <w:rPr>
        <w:lang w:val="es-ES"/>
      </w:rPr>
      <w:t xml:space="preserve"> de </w:t>
    </w:r>
    <w:r w:rsidR="00701367">
      <w:rPr>
        <w:b/>
      </w:rPr>
      <w:fldChar w:fldCharType="begin"/>
    </w:r>
    <w:r w:rsidR="00701367">
      <w:rPr>
        <w:b/>
      </w:rPr>
      <w:instrText>NUMPAGES  \* Arabic  \* MERGEFORMAT</w:instrText>
    </w:r>
    <w:r w:rsidR="00701367">
      <w:rPr>
        <w:b/>
      </w:rPr>
      <w:fldChar w:fldCharType="separate"/>
    </w:r>
    <w:r w:rsidR="00880497" w:rsidRPr="00880497">
      <w:rPr>
        <w:b/>
        <w:noProof/>
        <w:lang w:val="es-ES"/>
      </w:rPr>
      <w:t>3</w:t>
    </w:r>
    <w:r w:rsidR="00701367">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1BB"/>
    <w:multiLevelType w:val="hybridMultilevel"/>
    <w:tmpl w:val="0AF6C12C"/>
    <w:lvl w:ilvl="0" w:tplc="C4301D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291B99"/>
    <w:multiLevelType w:val="hybridMultilevel"/>
    <w:tmpl w:val="615A20EC"/>
    <w:lvl w:ilvl="0" w:tplc="1EB6725A">
      <w:numFmt w:val="bullet"/>
      <w:lvlText w:val="-"/>
      <w:lvlJc w:val="left"/>
      <w:pPr>
        <w:ind w:left="720" w:hanging="360"/>
      </w:pPr>
      <w:rPr>
        <w:rFonts w:ascii="Century Gothic" w:eastAsiaTheme="minorHAns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367E5E"/>
    <w:multiLevelType w:val="hybridMultilevel"/>
    <w:tmpl w:val="32D45FBE"/>
    <w:lvl w:ilvl="0" w:tplc="F2AA1A9C">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1BC507DF"/>
    <w:multiLevelType w:val="hybridMultilevel"/>
    <w:tmpl w:val="C0866362"/>
    <w:lvl w:ilvl="0" w:tplc="69D8E626">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36086"/>
    <w:multiLevelType w:val="hybridMultilevel"/>
    <w:tmpl w:val="A26A4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AF0A87"/>
    <w:multiLevelType w:val="hybridMultilevel"/>
    <w:tmpl w:val="BB8A2E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DF324E"/>
    <w:multiLevelType w:val="hybridMultilevel"/>
    <w:tmpl w:val="4AC4C45C"/>
    <w:lvl w:ilvl="0" w:tplc="F2681A9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620C88"/>
    <w:multiLevelType w:val="hybridMultilevel"/>
    <w:tmpl w:val="20BAF16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4115330"/>
    <w:multiLevelType w:val="hybridMultilevel"/>
    <w:tmpl w:val="93B6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452D3"/>
    <w:multiLevelType w:val="hybridMultilevel"/>
    <w:tmpl w:val="BEB81C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2D3264"/>
    <w:multiLevelType w:val="multilevel"/>
    <w:tmpl w:val="A66E7A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D2347B2"/>
    <w:multiLevelType w:val="hybridMultilevel"/>
    <w:tmpl w:val="513CEE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D5B29B7"/>
    <w:multiLevelType w:val="hybridMultilevel"/>
    <w:tmpl w:val="667065A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BC0CC7"/>
    <w:multiLevelType w:val="hybridMultilevel"/>
    <w:tmpl w:val="F5E29E66"/>
    <w:lvl w:ilvl="0" w:tplc="D72E827A">
      <w:start w:val="18"/>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7184464"/>
    <w:multiLevelType w:val="hybridMultilevel"/>
    <w:tmpl w:val="759E9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6371DD"/>
    <w:multiLevelType w:val="hybridMultilevel"/>
    <w:tmpl w:val="6ABE6FDA"/>
    <w:lvl w:ilvl="0" w:tplc="06067218">
      <w:start w:val="4"/>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F7625A"/>
    <w:multiLevelType w:val="hybridMultilevel"/>
    <w:tmpl w:val="CA4A31CC"/>
    <w:lvl w:ilvl="0" w:tplc="240A0001">
      <w:start w:val="1"/>
      <w:numFmt w:val="bullet"/>
      <w:lvlText w:val=""/>
      <w:lvlJc w:val="left"/>
      <w:pPr>
        <w:ind w:left="1785" w:hanging="360"/>
      </w:pPr>
      <w:rPr>
        <w:rFonts w:ascii="Symbol" w:hAnsi="Symbo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19" w15:restartNumberingAfterBreak="0">
    <w:nsid w:val="40F4194E"/>
    <w:multiLevelType w:val="hybridMultilevel"/>
    <w:tmpl w:val="5246BA52"/>
    <w:lvl w:ilvl="0" w:tplc="F4EA37C0">
      <w:start w:val="5"/>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D31266F"/>
    <w:multiLevelType w:val="hybridMultilevel"/>
    <w:tmpl w:val="93F48A1E"/>
    <w:lvl w:ilvl="0" w:tplc="6F3AA654">
      <w:numFmt w:val="bullet"/>
      <w:lvlText w:val=""/>
      <w:lvlJc w:val="left"/>
      <w:pPr>
        <w:ind w:left="420" w:hanging="360"/>
      </w:pPr>
      <w:rPr>
        <w:rFonts w:ascii="Symbol" w:eastAsiaTheme="minorHAnsi" w:hAnsi="Symbo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5A715E0E"/>
    <w:multiLevelType w:val="hybridMultilevel"/>
    <w:tmpl w:val="6540B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93199D"/>
    <w:multiLevelType w:val="hybridMultilevel"/>
    <w:tmpl w:val="319471A6"/>
    <w:lvl w:ilvl="0" w:tplc="240A000F">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3" w15:restartNumberingAfterBreak="0">
    <w:nsid w:val="6AC671F2"/>
    <w:multiLevelType w:val="hybridMultilevel"/>
    <w:tmpl w:val="B712DCC2"/>
    <w:lvl w:ilvl="0" w:tplc="95C65EC8">
      <w:start w:val="1"/>
      <w:numFmt w:val="decimal"/>
      <w:lvlText w:val="%1."/>
      <w:lvlJc w:val="left"/>
      <w:pPr>
        <w:ind w:left="720" w:hanging="360"/>
      </w:pPr>
      <w:rPr>
        <w:rFonts w:ascii="Century Gothic" w:eastAsiaTheme="minorHAnsi" w:hAnsi="Century Gothic"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E2252C"/>
    <w:multiLevelType w:val="hybridMultilevel"/>
    <w:tmpl w:val="5C92C0AA"/>
    <w:lvl w:ilvl="0" w:tplc="2A649624">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D8D4EA9"/>
    <w:multiLevelType w:val="hybridMultilevel"/>
    <w:tmpl w:val="D6C4CE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10138079">
    <w:abstractNumId w:val="19"/>
  </w:num>
  <w:num w:numId="2" w16cid:durableId="854726758">
    <w:abstractNumId w:val="21"/>
  </w:num>
  <w:num w:numId="3" w16cid:durableId="59139337">
    <w:abstractNumId w:val="0"/>
  </w:num>
  <w:num w:numId="4" w16cid:durableId="1019501727">
    <w:abstractNumId w:val="3"/>
  </w:num>
  <w:num w:numId="5" w16cid:durableId="595676225">
    <w:abstractNumId w:val="22"/>
  </w:num>
  <w:num w:numId="6" w16cid:durableId="1118064355">
    <w:abstractNumId w:val="14"/>
  </w:num>
  <w:num w:numId="7" w16cid:durableId="1274479770">
    <w:abstractNumId w:val="23"/>
  </w:num>
  <w:num w:numId="8" w16cid:durableId="1656106217">
    <w:abstractNumId w:val="24"/>
  </w:num>
  <w:num w:numId="9" w16cid:durableId="841045237">
    <w:abstractNumId w:val="2"/>
  </w:num>
  <w:num w:numId="10" w16cid:durableId="1417048084">
    <w:abstractNumId w:val="15"/>
  </w:num>
  <w:num w:numId="11" w16cid:durableId="1257060149">
    <w:abstractNumId w:val="5"/>
  </w:num>
  <w:num w:numId="12" w16cid:durableId="205989453">
    <w:abstractNumId w:val="16"/>
  </w:num>
  <w:num w:numId="13" w16cid:durableId="1195774094">
    <w:abstractNumId w:val="13"/>
  </w:num>
  <w:num w:numId="14" w16cid:durableId="1515025379">
    <w:abstractNumId w:val="9"/>
  </w:num>
  <w:num w:numId="15" w16cid:durableId="2138795803">
    <w:abstractNumId w:val="10"/>
  </w:num>
  <w:num w:numId="16" w16cid:durableId="1720931604">
    <w:abstractNumId w:val="8"/>
  </w:num>
  <w:num w:numId="17" w16cid:durableId="937520860">
    <w:abstractNumId w:val="1"/>
  </w:num>
  <w:num w:numId="18" w16cid:durableId="1116757594">
    <w:abstractNumId w:val="18"/>
  </w:num>
  <w:num w:numId="19" w16cid:durableId="488909189">
    <w:abstractNumId w:val="25"/>
  </w:num>
  <w:num w:numId="20" w16cid:durableId="1428500434">
    <w:abstractNumId w:val="7"/>
  </w:num>
  <w:num w:numId="21" w16cid:durableId="1224099790">
    <w:abstractNumId w:val="12"/>
  </w:num>
  <w:num w:numId="22" w16cid:durableId="772749291">
    <w:abstractNumId w:val="20"/>
  </w:num>
  <w:num w:numId="23" w16cid:durableId="1986818256">
    <w:abstractNumId w:val="6"/>
  </w:num>
  <w:num w:numId="24" w16cid:durableId="478422251">
    <w:abstractNumId w:val="4"/>
  </w:num>
  <w:num w:numId="25" w16cid:durableId="1575433165">
    <w:abstractNumId w:val="17"/>
  </w:num>
  <w:num w:numId="26" w16cid:durableId="1235311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B0"/>
    <w:rsid w:val="00001887"/>
    <w:rsid w:val="00012F28"/>
    <w:rsid w:val="00026BC7"/>
    <w:rsid w:val="000349B1"/>
    <w:rsid w:val="00041AD4"/>
    <w:rsid w:val="00044B96"/>
    <w:rsid w:val="000535CE"/>
    <w:rsid w:val="00057CBF"/>
    <w:rsid w:val="00070FD8"/>
    <w:rsid w:val="000C3B73"/>
    <w:rsid w:val="000D435D"/>
    <w:rsid w:val="000E45A1"/>
    <w:rsid w:val="000E7E21"/>
    <w:rsid w:val="000F0FD1"/>
    <w:rsid w:val="000F4B7C"/>
    <w:rsid w:val="00101AB0"/>
    <w:rsid w:val="00112C82"/>
    <w:rsid w:val="00113262"/>
    <w:rsid w:val="00121436"/>
    <w:rsid w:val="001548D5"/>
    <w:rsid w:val="0018684A"/>
    <w:rsid w:val="001870EC"/>
    <w:rsid w:val="001A2216"/>
    <w:rsid w:val="001C3D00"/>
    <w:rsid w:val="001C5D35"/>
    <w:rsid w:val="001D794A"/>
    <w:rsid w:val="001E0E48"/>
    <w:rsid w:val="001E5AC1"/>
    <w:rsid w:val="001F3425"/>
    <w:rsid w:val="001F3D16"/>
    <w:rsid w:val="001F3D46"/>
    <w:rsid w:val="002051D6"/>
    <w:rsid w:val="00207DA4"/>
    <w:rsid w:val="0021139A"/>
    <w:rsid w:val="00214556"/>
    <w:rsid w:val="00215D80"/>
    <w:rsid w:val="00243229"/>
    <w:rsid w:val="00255567"/>
    <w:rsid w:val="0027106A"/>
    <w:rsid w:val="00271FA3"/>
    <w:rsid w:val="00276793"/>
    <w:rsid w:val="002B05BB"/>
    <w:rsid w:val="002C273C"/>
    <w:rsid w:val="002D50E5"/>
    <w:rsid w:val="002D64E4"/>
    <w:rsid w:val="002E045E"/>
    <w:rsid w:val="002E4A78"/>
    <w:rsid w:val="002E4BBB"/>
    <w:rsid w:val="0030799B"/>
    <w:rsid w:val="003106E1"/>
    <w:rsid w:val="003219AA"/>
    <w:rsid w:val="00354ED6"/>
    <w:rsid w:val="003620DD"/>
    <w:rsid w:val="00386795"/>
    <w:rsid w:val="003B7E3F"/>
    <w:rsid w:val="003C2AA8"/>
    <w:rsid w:val="003D0B7A"/>
    <w:rsid w:val="003D263F"/>
    <w:rsid w:val="003D2B01"/>
    <w:rsid w:val="003D7324"/>
    <w:rsid w:val="003D79E1"/>
    <w:rsid w:val="003D7CB1"/>
    <w:rsid w:val="003E3BED"/>
    <w:rsid w:val="003E536D"/>
    <w:rsid w:val="003F187D"/>
    <w:rsid w:val="003F4CBD"/>
    <w:rsid w:val="0040706F"/>
    <w:rsid w:val="004108A6"/>
    <w:rsid w:val="00411419"/>
    <w:rsid w:val="00426C6D"/>
    <w:rsid w:val="00427369"/>
    <w:rsid w:val="0044215D"/>
    <w:rsid w:val="00443D23"/>
    <w:rsid w:val="00481A98"/>
    <w:rsid w:val="0048493B"/>
    <w:rsid w:val="004852F1"/>
    <w:rsid w:val="004929AE"/>
    <w:rsid w:val="00497E5D"/>
    <w:rsid w:val="004A2E9A"/>
    <w:rsid w:val="004A660F"/>
    <w:rsid w:val="004A7449"/>
    <w:rsid w:val="004A7705"/>
    <w:rsid w:val="004A79D0"/>
    <w:rsid w:val="004B15AB"/>
    <w:rsid w:val="004B1E00"/>
    <w:rsid w:val="004C7CF4"/>
    <w:rsid w:val="004D3E79"/>
    <w:rsid w:val="004E06A9"/>
    <w:rsid w:val="004F633B"/>
    <w:rsid w:val="00501144"/>
    <w:rsid w:val="005074B3"/>
    <w:rsid w:val="005120B8"/>
    <w:rsid w:val="0051448E"/>
    <w:rsid w:val="00523877"/>
    <w:rsid w:val="00543A7A"/>
    <w:rsid w:val="00551ADE"/>
    <w:rsid w:val="005717CB"/>
    <w:rsid w:val="00573FE6"/>
    <w:rsid w:val="005749D9"/>
    <w:rsid w:val="00581BFD"/>
    <w:rsid w:val="00594529"/>
    <w:rsid w:val="005A290A"/>
    <w:rsid w:val="005A58E8"/>
    <w:rsid w:val="005B5544"/>
    <w:rsid w:val="005B6BAB"/>
    <w:rsid w:val="005C34C4"/>
    <w:rsid w:val="005C522D"/>
    <w:rsid w:val="005E2740"/>
    <w:rsid w:val="005E302F"/>
    <w:rsid w:val="005E324E"/>
    <w:rsid w:val="005F2D6E"/>
    <w:rsid w:val="005F511C"/>
    <w:rsid w:val="00602A00"/>
    <w:rsid w:val="00626A56"/>
    <w:rsid w:val="00634256"/>
    <w:rsid w:val="006466ED"/>
    <w:rsid w:val="00651C29"/>
    <w:rsid w:val="00655776"/>
    <w:rsid w:val="00681CA4"/>
    <w:rsid w:val="0068568E"/>
    <w:rsid w:val="0069688D"/>
    <w:rsid w:val="006A1DAD"/>
    <w:rsid w:val="006A3BC5"/>
    <w:rsid w:val="006A7D37"/>
    <w:rsid w:val="006B3933"/>
    <w:rsid w:val="006D479D"/>
    <w:rsid w:val="006E264E"/>
    <w:rsid w:val="006F0255"/>
    <w:rsid w:val="006F3292"/>
    <w:rsid w:val="00701367"/>
    <w:rsid w:val="00702E65"/>
    <w:rsid w:val="007113C4"/>
    <w:rsid w:val="00716D7A"/>
    <w:rsid w:val="00717D29"/>
    <w:rsid w:val="0072162B"/>
    <w:rsid w:val="00750166"/>
    <w:rsid w:val="007541EA"/>
    <w:rsid w:val="00755A51"/>
    <w:rsid w:val="00761697"/>
    <w:rsid w:val="00765A31"/>
    <w:rsid w:val="00765E7B"/>
    <w:rsid w:val="00767B9C"/>
    <w:rsid w:val="00770542"/>
    <w:rsid w:val="00776464"/>
    <w:rsid w:val="007820E0"/>
    <w:rsid w:val="007900C8"/>
    <w:rsid w:val="0079207F"/>
    <w:rsid w:val="00796577"/>
    <w:rsid w:val="00796BA3"/>
    <w:rsid w:val="007A0A3C"/>
    <w:rsid w:val="007A3A55"/>
    <w:rsid w:val="007A48A8"/>
    <w:rsid w:val="007A6BE9"/>
    <w:rsid w:val="007C4E6C"/>
    <w:rsid w:val="007D232D"/>
    <w:rsid w:val="007D5B13"/>
    <w:rsid w:val="007D6320"/>
    <w:rsid w:val="007E54D9"/>
    <w:rsid w:val="007F5A33"/>
    <w:rsid w:val="007F7226"/>
    <w:rsid w:val="00804A58"/>
    <w:rsid w:val="00814688"/>
    <w:rsid w:val="00815B77"/>
    <w:rsid w:val="00823CD6"/>
    <w:rsid w:val="0083043D"/>
    <w:rsid w:val="00832EE9"/>
    <w:rsid w:val="008363C2"/>
    <w:rsid w:val="0085509D"/>
    <w:rsid w:val="0085701A"/>
    <w:rsid w:val="00867EFB"/>
    <w:rsid w:val="00880497"/>
    <w:rsid w:val="008870BB"/>
    <w:rsid w:val="00887BF9"/>
    <w:rsid w:val="008924A3"/>
    <w:rsid w:val="008938A2"/>
    <w:rsid w:val="008974D2"/>
    <w:rsid w:val="008A1E34"/>
    <w:rsid w:val="008B5DA4"/>
    <w:rsid w:val="008E4A24"/>
    <w:rsid w:val="008E5A95"/>
    <w:rsid w:val="008F089E"/>
    <w:rsid w:val="008F1A9F"/>
    <w:rsid w:val="008F684E"/>
    <w:rsid w:val="00913484"/>
    <w:rsid w:val="00914D80"/>
    <w:rsid w:val="00920B48"/>
    <w:rsid w:val="00921BD6"/>
    <w:rsid w:val="00925372"/>
    <w:rsid w:val="00925BFD"/>
    <w:rsid w:val="00933615"/>
    <w:rsid w:val="00937F13"/>
    <w:rsid w:val="00941327"/>
    <w:rsid w:val="009507B5"/>
    <w:rsid w:val="00950B6F"/>
    <w:rsid w:val="00973F3A"/>
    <w:rsid w:val="00983C1D"/>
    <w:rsid w:val="009B3DB8"/>
    <w:rsid w:val="009B7043"/>
    <w:rsid w:val="009D43A2"/>
    <w:rsid w:val="009E0454"/>
    <w:rsid w:val="009E2816"/>
    <w:rsid w:val="009F3B5E"/>
    <w:rsid w:val="00A02EC2"/>
    <w:rsid w:val="00A07093"/>
    <w:rsid w:val="00A076B6"/>
    <w:rsid w:val="00A22812"/>
    <w:rsid w:val="00A23A61"/>
    <w:rsid w:val="00A338F4"/>
    <w:rsid w:val="00A5481C"/>
    <w:rsid w:val="00A70CCC"/>
    <w:rsid w:val="00A80A1B"/>
    <w:rsid w:val="00A8426F"/>
    <w:rsid w:val="00A94329"/>
    <w:rsid w:val="00AA658B"/>
    <w:rsid w:val="00AA79F0"/>
    <w:rsid w:val="00AB5728"/>
    <w:rsid w:val="00AB71D5"/>
    <w:rsid w:val="00AC735C"/>
    <w:rsid w:val="00AD6D62"/>
    <w:rsid w:val="00AE4843"/>
    <w:rsid w:val="00AE7593"/>
    <w:rsid w:val="00AF0F1D"/>
    <w:rsid w:val="00AF2FA1"/>
    <w:rsid w:val="00AF32BD"/>
    <w:rsid w:val="00B1621D"/>
    <w:rsid w:val="00B17FA2"/>
    <w:rsid w:val="00B41E5C"/>
    <w:rsid w:val="00B565F0"/>
    <w:rsid w:val="00B62C39"/>
    <w:rsid w:val="00B658DD"/>
    <w:rsid w:val="00B917A2"/>
    <w:rsid w:val="00BA45DA"/>
    <w:rsid w:val="00BA7118"/>
    <w:rsid w:val="00BD7CB0"/>
    <w:rsid w:val="00BE262C"/>
    <w:rsid w:val="00BF6259"/>
    <w:rsid w:val="00C01ACF"/>
    <w:rsid w:val="00C17EB8"/>
    <w:rsid w:val="00C5620A"/>
    <w:rsid w:val="00C57F2D"/>
    <w:rsid w:val="00C63177"/>
    <w:rsid w:val="00C708B0"/>
    <w:rsid w:val="00C743C2"/>
    <w:rsid w:val="00C815A3"/>
    <w:rsid w:val="00C81F99"/>
    <w:rsid w:val="00CB47FD"/>
    <w:rsid w:val="00CB6906"/>
    <w:rsid w:val="00CC3852"/>
    <w:rsid w:val="00CC6B26"/>
    <w:rsid w:val="00CD5601"/>
    <w:rsid w:val="00CF490A"/>
    <w:rsid w:val="00CF5FC8"/>
    <w:rsid w:val="00CF7FD2"/>
    <w:rsid w:val="00D03B7A"/>
    <w:rsid w:val="00D17EEE"/>
    <w:rsid w:val="00D20639"/>
    <w:rsid w:val="00D632C3"/>
    <w:rsid w:val="00D632E4"/>
    <w:rsid w:val="00D65016"/>
    <w:rsid w:val="00D75442"/>
    <w:rsid w:val="00D77D67"/>
    <w:rsid w:val="00D90770"/>
    <w:rsid w:val="00DA4671"/>
    <w:rsid w:val="00DB0F22"/>
    <w:rsid w:val="00DB1822"/>
    <w:rsid w:val="00DB6280"/>
    <w:rsid w:val="00DB74ED"/>
    <w:rsid w:val="00DC308D"/>
    <w:rsid w:val="00DC482F"/>
    <w:rsid w:val="00DC54B7"/>
    <w:rsid w:val="00DD1551"/>
    <w:rsid w:val="00DD2BC7"/>
    <w:rsid w:val="00DE2408"/>
    <w:rsid w:val="00DF67D9"/>
    <w:rsid w:val="00E34E7A"/>
    <w:rsid w:val="00E376C8"/>
    <w:rsid w:val="00E459D7"/>
    <w:rsid w:val="00E70C1D"/>
    <w:rsid w:val="00E87AF8"/>
    <w:rsid w:val="00E90BF2"/>
    <w:rsid w:val="00E9725F"/>
    <w:rsid w:val="00EA3230"/>
    <w:rsid w:val="00EB3392"/>
    <w:rsid w:val="00EB6861"/>
    <w:rsid w:val="00ED7E05"/>
    <w:rsid w:val="00EE10AE"/>
    <w:rsid w:val="00EE736E"/>
    <w:rsid w:val="00EF2730"/>
    <w:rsid w:val="00EF6B0F"/>
    <w:rsid w:val="00F117A6"/>
    <w:rsid w:val="00F13D61"/>
    <w:rsid w:val="00F25D56"/>
    <w:rsid w:val="00F46941"/>
    <w:rsid w:val="00F475FB"/>
    <w:rsid w:val="00F506C3"/>
    <w:rsid w:val="00F52D29"/>
    <w:rsid w:val="00F71FC8"/>
    <w:rsid w:val="00F94477"/>
    <w:rsid w:val="00FA45F7"/>
    <w:rsid w:val="00FC6171"/>
    <w:rsid w:val="00FC6D11"/>
    <w:rsid w:val="00FD6651"/>
    <w:rsid w:val="00FD6D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10E35D"/>
  <w15:docId w15:val="{E3674774-FDD1-44F0-9F1C-C5E8977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3F"/>
    <w:pPr>
      <w:spacing w:after="200" w:line="276" w:lineRule="auto"/>
    </w:pPr>
    <w:rPr>
      <w:rFonts w:eastAsiaTheme="minorHAnsi"/>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CB0"/>
    <w:pPr>
      <w:tabs>
        <w:tab w:val="center" w:pos="4252"/>
        <w:tab w:val="right" w:pos="8504"/>
      </w:tabs>
    </w:pPr>
  </w:style>
  <w:style w:type="character" w:customStyle="1" w:styleId="EncabezadoCar">
    <w:name w:val="Encabezado Car"/>
    <w:basedOn w:val="Fuentedeprrafopredeter"/>
    <w:link w:val="Encabezado"/>
    <w:uiPriority w:val="99"/>
    <w:rsid w:val="00BD7CB0"/>
  </w:style>
  <w:style w:type="paragraph" w:styleId="Piedepgina">
    <w:name w:val="footer"/>
    <w:basedOn w:val="Normal"/>
    <w:link w:val="PiedepginaCar"/>
    <w:uiPriority w:val="99"/>
    <w:unhideWhenUsed/>
    <w:rsid w:val="00BD7CB0"/>
    <w:pPr>
      <w:tabs>
        <w:tab w:val="center" w:pos="4252"/>
        <w:tab w:val="right" w:pos="8504"/>
      </w:tabs>
    </w:pPr>
  </w:style>
  <w:style w:type="character" w:customStyle="1" w:styleId="PiedepginaCar">
    <w:name w:val="Pie de página Car"/>
    <w:basedOn w:val="Fuentedeprrafopredeter"/>
    <w:link w:val="Piedepgina"/>
    <w:uiPriority w:val="99"/>
    <w:rsid w:val="00BD7CB0"/>
  </w:style>
  <w:style w:type="paragraph" w:styleId="Textodeglobo">
    <w:name w:val="Balloon Text"/>
    <w:basedOn w:val="Normal"/>
    <w:link w:val="TextodegloboCar"/>
    <w:uiPriority w:val="99"/>
    <w:semiHidden/>
    <w:unhideWhenUsed/>
    <w:rsid w:val="00BD7CB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7CB0"/>
    <w:rPr>
      <w:rFonts w:ascii="Lucida Grande" w:hAnsi="Lucida Grande" w:cs="Lucida Grande"/>
      <w:sz w:val="18"/>
      <w:szCs w:val="18"/>
    </w:rPr>
  </w:style>
  <w:style w:type="paragraph" w:styleId="Prrafodelista">
    <w:name w:val="List Paragraph"/>
    <w:basedOn w:val="Normal"/>
    <w:uiPriority w:val="34"/>
    <w:qFormat/>
    <w:rsid w:val="00BE262C"/>
    <w:pPr>
      <w:ind w:left="720"/>
      <w:contextualSpacing/>
    </w:pPr>
  </w:style>
  <w:style w:type="paragraph" w:styleId="Textonotapie">
    <w:name w:val="footnote text"/>
    <w:aliases w:val="Texto nota pie Car Car Car,Texto nota pie Car Car C"/>
    <w:basedOn w:val="Normal"/>
    <w:link w:val="TextonotapieCar"/>
    <w:semiHidden/>
    <w:unhideWhenUsed/>
    <w:rsid w:val="00BE262C"/>
    <w:pPr>
      <w:spacing w:after="0" w:line="240" w:lineRule="auto"/>
    </w:pPr>
    <w:rPr>
      <w:sz w:val="20"/>
      <w:szCs w:val="20"/>
    </w:rPr>
  </w:style>
  <w:style w:type="character" w:customStyle="1" w:styleId="TextonotapieCar">
    <w:name w:val="Texto nota pie Car"/>
    <w:aliases w:val="Texto nota pie Car Car Car Car1,Texto nota pie Car Car C Car1"/>
    <w:basedOn w:val="Fuentedeprrafopredeter"/>
    <w:link w:val="Textonotapie"/>
    <w:uiPriority w:val="99"/>
    <w:semiHidden/>
    <w:rsid w:val="00BE262C"/>
    <w:rPr>
      <w:rFonts w:eastAsiaTheme="minorHAnsi"/>
      <w:sz w:val="20"/>
      <w:szCs w:val="20"/>
      <w:lang w:val="es-CO" w:eastAsia="en-US"/>
    </w:rPr>
  </w:style>
  <w:style w:type="character" w:styleId="Refdenotaalpie">
    <w:name w:val="footnote reference"/>
    <w:basedOn w:val="Fuentedeprrafopredeter"/>
    <w:semiHidden/>
    <w:unhideWhenUsed/>
    <w:rsid w:val="00BE262C"/>
    <w:rPr>
      <w:vertAlign w:val="superscript"/>
    </w:rPr>
  </w:style>
  <w:style w:type="character" w:styleId="Nmerodepgina">
    <w:name w:val="page number"/>
    <w:basedOn w:val="Fuentedeprrafopredeter"/>
    <w:uiPriority w:val="99"/>
    <w:semiHidden/>
    <w:unhideWhenUsed/>
    <w:rsid w:val="00D77D67"/>
  </w:style>
  <w:style w:type="character" w:customStyle="1" w:styleId="TextonotapieCar1">
    <w:name w:val="Texto nota pie Car1"/>
    <w:aliases w:val="Texto nota pie Car Car Car Car,Texto nota pie Car Car C Car,Texto nota pie Car Car"/>
    <w:basedOn w:val="Fuentedeprrafopredeter"/>
    <w:semiHidden/>
    <w:rsid w:val="00933615"/>
    <w:rPr>
      <w:rFonts w:ascii="Arial" w:hAnsi="Arial" w:cs="Arial"/>
      <w:lang w:val="es-ES" w:eastAsia="es-ES" w:bidi="ar-SA"/>
    </w:rPr>
  </w:style>
  <w:style w:type="character" w:styleId="Textodelmarcadordeposicin">
    <w:name w:val="Placeholder Text"/>
    <w:basedOn w:val="Fuentedeprrafopredeter"/>
    <w:uiPriority w:val="99"/>
    <w:semiHidden/>
    <w:rsid w:val="00750166"/>
    <w:rPr>
      <w:color w:val="808080"/>
    </w:rPr>
  </w:style>
  <w:style w:type="paragraph" w:styleId="Textoindependiente">
    <w:name w:val="Body Text"/>
    <w:basedOn w:val="Normal"/>
    <w:link w:val="TextoindependienteCar"/>
    <w:rsid w:val="008363C2"/>
    <w:pPr>
      <w:spacing w:after="0" w:line="240" w:lineRule="auto"/>
      <w:jc w:val="center"/>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8363C2"/>
    <w:rPr>
      <w:rFonts w:ascii="Arial" w:eastAsia="Times New Roman" w:hAnsi="Arial" w:cs="Times New Roman"/>
      <w:szCs w:val="20"/>
      <w:lang w:val="es-ES"/>
    </w:rPr>
  </w:style>
  <w:style w:type="character" w:customStyle="1" w:styleId="Estilo3">
    <w:name w:val="Estilo3"/>
    <w:basedOn w:val="Fuentedeprrafopredeter"/>
    <w:uiPriority w:val="1"/>
    <w:rsid w:val="000E7E21"/>
    <w:rPr>
      <w:rFonts w:ascii="Century Gothic" w:hAnsi="Century Gothic" w:hint="default"/>
      <w:b/>
      <w:bCs w:val="0"/>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1891">
      <w:bodyDiv w:val="1"/>
      <w:marLeft w:val="0"/>
      <w:marRight w:val="0"/>
      <w:marTop w:val="0"/>
      <w:marBottom w:val="0"/>
      <w:divBdr>
        <w:top w:val="none" w:sz="0" w:space="0" w:color="auto"/>
        <w:left w:val="none" w:sz="0" w:space="0" w:color="auto"/>
        <w:bottom w:val="none" w:sz="0" w:space="0" w:color="auto"/>
        <w:right w:val="none" w:sz="0" w:space="0" w:color="auto"/>
      </w:divBdr>
    </w:div>
    <w:div w:id="355351838">
      <w:bodyDiv w:val="1"/>
      <w:marLeft w:val="0"/>
      <w:marRight w:val="0"/>
      <w:marTop w:val="0"/>
      <w:marBottom w:val="0"/>
      <w:divBdr>
        <w:top w:val="none" w:sz="0" w:space="0" w:color="auto"/>
        <w:left w:val="none" w:sz="0" w:space="0" w:color="auto"/>
        <w:bottom w:val="none" w:sz="0" w:space="0" w:color="auto"/>
        <w:right w:val="none" w:sz="0" w:space="0" w:color="auto"/>
      </w:divBdr>
    </w:div>
    <w:div w:id="474640698">
      <w:bodyDiv w:val="1"/>
      <w:marLeft w:val="0"/>
      <w:marRight w:val="0"/>
      <w:marTop w:val="0"/>
      <w:marBottom w:val="0"/>
      <w:divBdr>
        <w:top w:val="none" w:sz="0" w:space="0" w:color="auto"/>
        <w:left w:val="none" w:sz="0" w:space="0" w:color="auto"/>
        <w:bottom w:val="none" w:sz="0" w:space="0" w:color="auto"/>
        <w:right w:val="none" w:sz="0" w:space="0" w:color="auto"/>
      </w:divBdr>
    </w:div>
    <w:div w:id="483816919">
      <w:bodyDiv w:val="1"/>
      <w:marLeft w:val="0"/>
      <w:marRight w:val="0"/>
      <w:marTop w:val="0"/>
      <w:marBottom w:val="0"/>
      <w:divBdr>
        <w:top w:val="none" w:sz="0" w:space="0" w:color="auto"/>
        <w:left w:val="none" w:sz="0" w:space="0" w:color="auto"/>
        <w:bottom w:val="none" w:sz="0" w:space="0" w:color="auto"/>
        <w:right w:val="none" w:sz="0" w:space="0" w:color="auto"/>
      </w:divBdr>
    </w:div>
    <w:div w:id="903833292">
      <w:bodyDiv w:val="1"/>
      <w:marLeft w:val="0"/>
      <w:marRight w:val="0"/>
      <w:marTop w:val="0"/>
      <w:marBottom w:val="0"/>
      <w:divBdr>
        <w:top w:val="none" w:sz="0" w:space="0" w:color="auto"/>
        <w:left w:val="none" w:sz="0" w:space="0" w:color="auto"/>
        <w:bottom w:val="none" w:sz="0" w:space="0" w:color="auto"/>
        <w:right w:val="none" w:sz="0" w:space="0" w:color="auto"/>
      </w:divBdr>
    </w:div>
    <w:div w:id="1703087765">
      <w:bodyDiv w:val="1"/>
      <w:marLeft w:val="0"/>
      <w:marRight w:val="0"/>
      <w:marTop w:val="0"/>
      <w:marBottom w:val="0"/>
      <w:divBdr>
        <w:top w:val="none" w:sz="0" w:space="0" w:color="auto"/>
        <w:left w:val="none" w:sz="0" w:space="0" w:color="auto"/>
        <w:bottom w:val="none" w:sz="0" w:space="0" w:color="auto"/>
        <w:right w:val="none" w:sz="0" w:space="0" w:color="auto"/>
      </w:divBdr>
    </w:div>
    <w:div w:id="1914855005">
      <w:bodyDiv w:val="1"/>
      <w:marLeft w:val="0"/>
      <w:marRight w:val="0"/>
      <w:marTop w:val="0"/>
      <w:marBottom w:val="0"/>
      <w:divBdr>
        <w:top w:val="none" w:sz="0" w:space="0" w:color="auto"/>
        <w:left w:val="none" w:sz="0" w:space="0" w:color="auto"/>
        <w:bottom w:val="none" w:sz="0" w:space="0" w:color="auto"/>
        <w:right w:val="none" w:sz="0" w:space="0" w:color="auto"/>
      </w:divBdr>
    </w:div>
    <w:div w:id="2064139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80532a8b-6cc5-4221-8a8d-b21dcf9ffe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9E9B461079946B4D3104817BE4D80" ma:contentTypeVersion="13" ma:contentTypeDescription="Create a new document." ma:contentTypeScope="" ma:versionID="795941433772133966e30ac4948f85af">
  <xsd:schema xmlns:xsd="http://www.w3.org/2001/XMLSchema" xmlns:xs="http://www.w3.org/2001/XMLSchema" xmlns:p="http://schemas.microsoft.com/office/2006/metadata/properties" xmlns:ns3="80532a8b-6cc5-4221-8a8d-b21dcf9ffe50" xmlns:ns4="a1e53a4e-1cb1-4fdc-ac8d-b55c0c864a2c" targetNamespace="http://schemas.microsoft.com/office/2006/metadata/properties" ma:root="true" ma:fieldsID="77193c1a7dc1b63b3e6ef136d64ac26c" ns3:_="" ns4:_="">
    <xsd:import namespace="80532a8b-6cc5-4221-8a8d-b21dcf9ffe50"/>
    <xsd:import namespace="a1e53a4e-1cb1-4fdc-ac8d-b55c0c864a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32a8b-6cc5-4221-8a8d-b21dcf9ffe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e53a4e-1cb1-4fdc-ac8d-b55c0c864a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D4900-C402-43D0-AAFF-69549AD582E6}">
  <ds:schemaRefs>
    <ds:schemaRef ds:uri="http://schemas.openxmlformats.org/officeDocument/2006/bibliography"/>
  </ds:schemaRefs>
</ds:datastoreItem>
</file>

<file path=customXml/itemProps2.xml><?xml version="1.0" encoding="utf-8"?>
<ds:datastoreItem xmlns:ds="http://schemas.openxmlformats.org/officeDocument/2006/customXml" ds:itemID="{08EDFD2E-6252-4EA8-8394-9534EF5BEB5F}">
  <ds:schemaRefs>
    <ds:schemaRef ds:uri="http://schemas.microsoft.com/office/2006/documentManagement/types"/>
    <ds:schemaRef ds:uri="http://purl.org/dc/elements/1.1/"/>
    <ds:schemaRef ds:uri="80532a8b-6cc5-4221-8a8d-b21dcf9ffe50"/>
    <ds:schemaRef ds:uri="http://purl.org/dc/terms/"/>
    <ds:schemaRef ds:uri="http://www.w3.org/XML/1998/namespace"/>
    <ds:schemaRef ds:uri="a1e53a4e-1cb1-4fdc-ac8d-b55c0c864a2c"/>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72A3082-04AD-4D47-AF83-2DBF04AF3131}">
  <ds:schemaRefs>
    <ds:schemaRef ds:uri="http://schemas.microsoft.com/sharepoint/v3/contenttype/forms"/>
  </ds:schemaRefs>
</ds:datastoreItem>
</file>

<file path=customXml/itemProps4.xml><?xml version="1.0" encoding="utf-8"?>
<ds:datastoreItem xmlns:ds="http://schemas.openxmlformats.org/officeDocument/2006/customXml" ds:itemID="{8CAFEB90-71D2-495B-8207-9BA73FFC6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32a8b-6cc5-4221-8a8d-b21dcf9ffe50"/>
    <ds:schemaRef ds:uri="a1e53a4e-1cb1-4fdc-ac8d-b55c0c864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La Equidad</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 Maldonado</dc:creator>
  <cp:lastModifiedBy>Juan Pablo Medina Campiño</cp:lastModifiedBy>
  <cp:revision>2</cp:revision>
  <cp:lastPrinted>2022-01-16T05:49:00Z</cp:lastPrinted>
  <dcterms:created xsi:type="dcterms:W3CDTF">2024-07-10T14:57:00Z</dcterms:created>
  <dcterms:modified xsi:type="dcterms:W3CDTF">2024-07-10T14:57:00Z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0x010100EFB9E9B461079946B4D3104817BE4D80</vt:lpwstr>
  </property>
</Properties>
</file>