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E6E9A" w14:textId="271205C8" w:rsidR="00B9243D" w:rsidRDefault="0021541C" w:rsidP="0021541C">
      <w:pPr>
        <w:jc w:val="center"/>
      </w:pPr>
      <w:r w:rsidRPr="0021541C">
        <w:rPr>
          <w:noProof/>
        </w:rPr>
        <w:drawing>
          <wp:inline distT="0" distB="0" distL="0" distR="0" wp14:anchorId="538C4B9C" wp14:editId="2E7DB192">
            <wp:extent cx="2124075" cy="1847850"/>
            <wp:effectExtent l="0" t="0" r="9525" b="0"/>
            <wp:docPr id="1301900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AB9F" w14:textId="77777777" w:rsidR="00E91732" w:rsidRDefault="00E91732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ARMEN CECILIA CORTÉS SÁNCHEZ</w:t>
      </w:r>
    </w:p>
    <w:p w14:paraId="3A76BFCA" w14:textId="77777777" w:rsidR="00E91732" w:rsidRDefault="00E91732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Magistrada</w:t>
      </w:r>
    </w:p>
    <w:p w14:paraId="0CD530F0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EE82626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8A877BB" w14:textId="2B0C72AC" w:rsidR="00E91732" w:rsidRDefault="00E91732" w:rsidP="00E9173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 xml:space="preserve">REFERENCIA: </w:t>
      </w:r>
      <w:r w:rsidR="00385356"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EJECUTIVO LABORAL</w:t>
      </w:r>
    </w:p>
    <w:p w14:paraId="7206287B" w14:textId="1797F57F" w:rsidR="00E91732" w:rsidRDefault="00E91732" w:rsidP="00E91732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 xml:space="preserve">RADICACIÓN: </w:t>
      </w:r>
      <w:r w:rsidR="00385356"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>11001 31 05 015 2021 00086 01</w:t>
      </w:r>
    </w:p>
    <w:p w14:paraId="714BF815" w14:textId="3BB1C7C7" w:rsidR="00E91732" w:rsidRDefault="00E91732" w:rsidP="00E9173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 xml:space="preserve">DEMANDANTE: </w:t>
      </w:r>
      <w:r w:rsidR="00385356"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MARIA CRISTINA MONTAÑO ACHURY</w:t>
      </w:r>
    </w:p>
    <w:p w14:paraId="0A793225" w14:textId="2E49F170" w:rsidR="00E91732" w:rsidRDefault="00E91732" w:rsidP="00E9173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 xml:space="preserve">DEMANDADO: </w:t>
      </w:r>
      <w:r w:rsidR="00385356"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COLPENSIONES Y OTROS</w:t>
      </w:r>
    </w:p>
    <w:p w14:paraId="29B1B30B" w14:textId="550FCFDA" w:rsidR="00E91732" w:rsidRDefault="00E91732" w:rsidP="00E9173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 xml:space="preserve">ASUNTO: </w:t>
      </w:r>
      <w:r w:rsidR="00385356">
        <w:rPr>
          <w:rFonts w:ascii="BookmanOldStyle,Bold" w:hAnsi="BookmanOldStyle,Bold" w:cs="BookmanOldStyle,Bold"/>
          <w:b/>
          <w:bCs/>
          <w:color w:val="000000"/>
          <w:kern w:val="0"/>
          <w:sz w:val="20"/>
          <w:szCs w:val="2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Admite recurso de apelación auto. Corre traslado para alegar de</w:t>
      </w:r>
      <w:r w:rsidR="00385356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conclusión</w:t>
      </w:r>
    </w:p>
    <w:p w14:paraId="2612DA98" w14:textId="77777777" w:rsidR="00385356" w:rsidRDefault="00385356" w:rsidP="00E91732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212E6306" w14:textId="5AA5CF69" w:rsidR="00E91732" w:rsidRDefault="00E91732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AUTO</w:t>
      </w:r>
    </w:p>
    <w:p w14:paraId="339D9B0A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0B998F3C" w14:textId="3C58BED4" w:rsidR="00E91732" w:rsidRDefault="00E91732" w:rsidP="0038535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Bogotá D.C., seis (6) de junio de dos mil veinticuatro (2.024).</w:t>
      </w:r>
    </w:p>
    <w:p w14:paraId="17AD7C26" w14:textId="77777777" w:rsidR="00385356" w:rsidRDefault="00385356" w:rsidP="00E9173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64FE5B07" w14:textId="55B9EA7B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De conformidad con lo dispuesto en la Ley 2213 de 2022 y previo a proferir la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decisión que en derecho corresponda, el TRIBUNAL SUPERIOR DE BOGOTÁ 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>–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 SALA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LABORAL</w:t>
      </w:r>
    </w:p>
    <w:p w14:paraId="5DEDCD27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0CF703D9" w14:textId="75808150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RESUELVE:</w:t>
      </w:r>
    </w:p>
    <w:p w14:paraId="7A52BD65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5B030DCC" w14:textId="4DF4AA26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PRIMERO: </w:t>
      </w:r>
      <w:r>
        <w:rPr>
          <w:rFonts w:ascii="BookmanOldStyle" w:hAnsi="BookmanOldStyle" w:cs="BookmanOldStyle"/>
          <w:color w:val="000000"/>
          <w:kern w:val="0"/>
          <w:lang w:val="es-CO"/>
        </w:rPr>
        <w:t>Agotado el examen preliminar del expediente, en los términos del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artículo 82 del CPTSS, modificado por el artículo 13 de la Ley 1149 de 2007, se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ADMITE el recurso de apelación interpuesto por la demandante y por Colpensiones.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</w:p>
    <w:p w14:paraId="5E6D211F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</w:p>
    <w:p w14:paraId="1F352FBE" w14:textId="77777777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Una vez ejecutoriada la presente decisión, se ordena:</w:t>
      </w:r>
    </w:p>
    <w:p w14:paraId="44E1A2B7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2A4AE98C" w14:textId="3708113C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SEGUNDO: </w:t>
      </w:r>
      <w:r>
        <w:rPr>
          <w:rFonts w:ascii="BookmanOldStyle" w:hAnsi="BookmanOldStyle" w:cs="BookmanOldStyle"/>
          <w:color w:val="000000"/>
          <w:kern w:val="0"/>
          <w:lang w:val="es-CO"/>
        </w:rPr>
        <w:t>CORRER TRASLADO a las partes por el término común de cinco (5)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días siguientes a la notificación por estado del auto, para que presenten alegatos de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conclusión por escrito, si a bien lo tienen.</w:t>
      </w:r>
    </w:p>
    <w:p w14:paraId="79CFA7BE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77F42A37" w14:textId="50D3C714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TERCERO: </w:t>
      </w:r>
      <w:r>
        <w:rPr>
          <w:rFonts w:ascii="BookmanOldStyle" w:hAnsi="BookmanOldStyle" w:cs="BookmanOldStyle"/>
          <w:color w:val="000000"/>
          <w:kern w:val="0"/>
          <w:lang w:val="es-CO"/>
        </w:rPr>
        <w:t>Vencido el término anterior, regresen las diligencias al Despacho para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proceder a dictar la decisión que en derecho corresponda. Las partes deben estar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atentas a la notificación.</w:t>
      </w:r>
    </w:p>
    <w:p w14:paraId="2D8E2A17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4DAF0C42" w14:textId="332087E1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FF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CUARTO: </w:t>
      </w:r>
      <w:r>
        <w:rPr>
          <w:rFonts w:ascii="BookmanOldStyle" w:hAnsi="BookmanOldStyle" w:cs="BookmanOldStyle"/>
          <w:color w:val="000000"/>
          <w:kern w:val="0"/>
          <w:lang w:val="es-CO"/>
        </w:rPr>
        <w:t>A efectos de dar cumplimiento a lo ordenado en el presente auto se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ordena a los apoderados judiciales remitir, si a bien lo tienen, su escrito de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alegaciones únicamente al correo electrónico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lang w:val="es-CO"/>
        </w:rPr>
        <w:t>secsltribsupbta@cendoj.ramajudicial.gov.co</w:t>
      </w:r>
    </w:p>
    <w:p w14:paraId="4242140C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035E5ADB" w14:textId="5512A1D3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lastRenderedPageBreak/>
        <w:t xml:space="preserve">QUINTO: </w:t>
      </w:r>
      <w:r>
        <w:rPr>
          <w:rFonts w:ascii="BookmanOldStyle" w:hAnsi="BookmanOldStyle" w:cs="BookmanOldStyle"/>
          <w:color w:val="000000"/>
          <w:kern w:val="0"/>
          <w:lang w:val="es-CO"/>
        </w:rPr>
        <w:t>Se requiere a los apoderados actualizar sus datos de contacto y dirección</w:t>
      </w:r>
      <w:r w:rsidR="00385356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de correo electrónico.</w:t>
      </w:r>
    </w:p>
    <w:p w14:paraId="69481896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55D041D3" w14:textId="0DE421FD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NOTIFÍQUESE y CÚMPLASE</w:t>
      </w:r>
    </w:p>
    <w:p w14:paraId="24796BDD" w14:textId="77777777" w:rsidR="00385356" w:rsidRDefault="00385356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317A1352" w14:textId="74E58703" w:rsidR="00E91732" w:rsidRDefault="00E91732" w:rsidP="00385356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CARMEN CECILIA CORTÉS SÁNCHEZ</w:t>
      </w:r>
    </w:p>
    <w:p w14:paraId="5E0F2861" w14:textId="3343F832" w:rsidR="004345DB" w:rsidRDefault="00E91732" w:rsidP="00385356">
      <w:pPr>
        <w:jc w:val="both"/>
      </w:pPr>
      <w:r>
        <w:rPr>
          <w:rFonts w:ascii="BookmanOldStyle" w:hAnsi="BookmanOldStyle" w:cs="BookmanOldStyle"/>
          <w:color w:val="000000"/>
          <w:kern w:val="0"/>
          <w:lang w:val="es-CO"/>
        </w:rPr>
        <w:t>Magistrada</w:t>
      </w:r>
    </w:p>
    <w:sectPr w:rsidR="00434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1C"/>
    <w:rsid w:val="00132079"/>
    <w:rsid w:val="0021541C"/>
    <w:rsid w:val="00385356"/>
    <w:rsid w:val="004345DB"/>
    <w:rsid w:val="00737460"/>
    <w:rsid w:val="00B9243D"/>
    <w:rsid w:val="00DA03DC"/>
    <w:rsid w:val="00E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7D3"/>
  <w15:chartTrackingRefBased/>
  <w15:docId w15:val="{FF3F5340-1FB5-4948-A30A-CF000E8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2024-06-14T19:38:00Z</dcterms:created>
  <dcterms:modified xsi:type="dcterms:W3CDTF">2024-06-14T19:41:00Z</dcterms:modified>
</cp:coreProperties>
</file>