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ECEA8" w14:textId="77777777" w:rsidR="00355578" w:rsidRDefault="00355578" w:rsidP="003B01DA">
      <w:pPr>
        <w:jc w:val="both"/>
        <w:rPr>
          <w:b/>
          <w:bCs/>
        </w:rPr>
      </w:pPr>
    </w:p>
    <w:p w14:paraId="38B7BBCE" w14:textId="077D3CB6" w:rsidR="009F3994" w:rsidRDefault="009F3994" w:rsidP="003B01DA">
      <w:pPr>
        <w:jc w:val="both"/>
      </w:pPr>
      <w:r w:rsidRPr="009F3994">
        <w:rPr>
          <w:b/>
          <w:bCs/>
        </w:rPr>
        <w:t>Inicio diligencia</w:t>
      </w:r>
      <w:r>
        <w:rPr>
          <w:b/>
          <w:bCs/>
        </w:rPr>
        <w:t>:</w:t>
      </w:r>
      <w:r>
        <w:t xml:space="preserve"> 8:30 am</w:t>
      </w:r>
      <w:r w:rsidR="00355578">
        <w:t>.</w:t>
      </w:r>
    </w:p>
    <w:p w14:paraId="2B167919" w14:textId="58074869" w:rsidR="009F3994" w:rsidRPr="009F3994" w:rsidRDefault="009F3994" w:rsidP="003B01DA">
      <w:pPr>
        <w:jc w:val="both"/>
        <w:rPr>
          <w:b/>
          <w:bCs/>
        </w:rPr>
      </w:pPr>
      <w:r w:rsidRPr="009F3994">
        <w:rPr>
          <w:b/>
          <w:bCs/>
        </w:rPr>
        <w:t>Intervinientes</w:t>
      </w:r>
      <w:r>
        <w:rPr>
          <w:b/>
          <w:bCs/>
        </w:rPr>
        <w:t>:</w:t>
      </w:r>
    </w:p>
    <w:p w14:paraId="15ABBEF6" w14:textId="4CD49CA9" w:rsidR="009F3994" w:rsidRDefault="009F3994" w:rsidP="003B01DA">
      <w:pPr>
        <w:pStyle w:val="Prrafodelista"/>
        <w:numPr>
          <w:ilvl w:val="0"/>
          <w:numId w:val="1"/>
        </w:numPr>
        <w:jc w:val="both"/>
      </w:pPr>
      <w:r>
        <w:t>Apoderado parte demandante Adriana Patricia Moreno Ramos</w:t>
      </w:r>
      <w:r w:rsidR="003B01DA">
        <w:t>.</w:t>
      </w:r>
    </w:p>
    <w:p w14:paraId="6B87189D" w14:textId="138ACC03" w:rsidR="009F3994" w:rsidRDefault="009F3994" w:rsidP="003B01DA">
      <w:pPr>
        <w:pStyle w:val="Prrafodelista"/>
        <w:numPr>
          <w:ilvl w:val="0"/>
          <w:numId w:val="1"/>
        </w:numPr>
        <w:jc w:val="both"/>
      </w:pPr>
      <w:r>
        <w:t>Apoderado INVIAS Rafael Enrique Oramas Molina</w:t>
      </w:r>
      <w:r w:rsidR="003B01DA">
        <w:t>.</w:t>
      </w:r>
    </w:p>
    <w:p w14:paraId="5456AF9F" w14:textId="4EC14B55" w:rsidR="009F3994" w:rsidRDefault="009F3994" w:rsidP="003B01DA">
      <w:pPr>
        <w:pStyle w:val="Prrafodelista"/>
        <w:numPr>
          <w:ilvl w:val="0"/>
          <w:numId w:val="1"/>
        </w:numPr>
        <w:jc w:val="both"/>
      </w:pPr>
      <w:r>
        <w:t>Apoderado Previsora Cristian Camilo Salazar Reyes</w:t>
      </w:r>
      <w:r w:rsidR="003B01DA">
        <w:t>.</w:t>
      </w:r>
    </w:p>
    <w:p w14:paraId="1BB6FE8A" w14:textId="6873D737" w:rsidR="009F3994" w:rsidRDefault="009F3994" w:rsidP="003B01DA">
      <w:pPr>
        <w:pStyle w:val="Prrafodelista"/>
        <w:numPr>
          <w:ilvl w:val="0"/>
          <w:numId w:val="1"/>
        </w:numPr>
        <w:jc w:val="both"/>
      </w:pPr>
      <w:r>
        <w:t xml:space="preserve">Apoderada AXA </w:t>
      </w:r>
      <w:proofErr w:type="spellStart"/>
      <w:r>
        <w:t>Maria</w:t>
      </w:r>
      <w:proofErr w:type="spellEnd"/>
      <w:r>
        <w:t xml:space="preserve"> José Peñaranda Álvarez</w:t>
      </w:r>
      <w:r w:rsidR="003B01DA">
        <w:t>.</w:t>
      </w:r>
    </w:p>
    <w:p w14:paraId="19A6F175" w14:textId="3F1442EE" w:rsidR="009F3994" w:rsidRDefault="009F3994" w:rsidP="003B01DA">
      <w:pPr>
        <w:pStyle w:val="Prrafodelista"/>
        <w:numPr>
          <w:ilvl w:val="0"/>
          <w:numId w:val="1"/>
        </w:numPr>
        <w:jc w:val="both"/>
      </w:pPr>
      <w:r>
        <w:t>Procuraduría Martha Leonor Ferreira</w:t>
      </w:r>
      <w:r w:rsidR="003B01DA">
        <w:t>.</w:t>
      </w:r>
    </w:p>
    <w:p w14:paraId="42316B8F" w14:textId="6D87EA41" w:rsidR="009F3994" w:rsidRDefault="009F3994" w:rsidP="003B01DA">
      <w:pPr>
        <w:jc w:val="both"/>
      </w:pPr>
      <w:r>
        <w:t>Se procede a reconocer poder para actuar en las diligencias a todos los apoderados que concurrieron y no se encontraban</w:t>
      </w:r>
      <w:r w:rsidR="009809A7">
        <w:t xml:space="preserve"> reconocidos.</w:t>
      </w:r>
    </w:p>
    <w:p w14:paraId="43214C8B" w14:textId="3D9ABD05" w:rsidR="009F3994" w:rsidRDefault="009F3994" w:rsidP="003B01DA">
      <w:pPr>
        <w:jc w:val="both"/>
        <w:rPr>
          <w:b/>
          <w:bCs/>
        </w:rPr>
      </w:pPr>
      <w:r>
        <w:rPr>
          <w:b/>
          <w:bCs/>
        </w:rPr>
        <w:t>Saneamiento:</w:t>
      </w:r>
    </w:p>
    <w:p w14:paraId="31EAAA06" w14:textId="18BB2CC2" w:rsidR="009F3994" w:rsidRPr="009809A7" w:rsidRDefault="009809A7" w:rsidP="003B01DA">
      <w:pPr>
        <w:jc w:val="both"/>
      </w:pPr>
      <w:r>
        <w:t>Sin observaciones por parte de los apoderados asistentes o el Despacho, de modo que se procede a continuar con la diligencia.</w:t>
      </w:r>
    </w:p>
    <w:p w14:paraId="40D2058A" w14:textId="49AE7689" w:rsidR="009F3994" w:rsidRDefault="009F3994" w:rsidP="003B01DA">
      <w:pPr>
        <w:jc w:val="both"/>
        <w:rPr>
          <w:b/>
          <w:bCs/>
        </w:rPr>
      </w:pPr>
      <w:r>
        <w:rPr>
          <w:b/>
          <w:bCs/>
        </w:rPr>
        <w:t>Excepciones previas:</w:t>
      </w:r>
    </w:p>
    <w:p w14:paraId="0538049E" w14:textId="64CA9D81" w:rsidR="009F3994" w:rsidRPr="009809A7" w:rsidRDefault="009809A7" w:rsidP="003B01DA">
      <w:pPr>
        <w:jc w:val="both"/>
      </w:pPr>
      <w:r w:rsidRPr="009809A7">
        <w:t xml:space="preserve">Se habían decidido previamente en audiencia </w:t>
      </w:r>
      <w:r>
        <w:t>anterior, en ese sentido se procede a la siguiente etapa.</w:t>
      </w:r>
    </w:p>
    <w:p w14:paraId="75C58EC3" w14:textId="4C09427E" w:rsidR="009F3994" w:rsidRDefault="009F3994" w:rsidP="003B01DA">
      <w:pPr>
        <w:jc w:val="both"/>
        <w:rPr>
          <w:b/>
          <w:bCs/>
        </w:rPr>
      </w:pPr>
      <w:r>
        <w:rPr>
          <w:b/>
          <w:bCs/>
        </w:rPr>
        <w:t>Fijación del litigio:</w:t>
      </w:r>
    </w:p>
    <w:p w14:paraId="54420C41" w14:textId="77777777" w:rsidR="009809A7" w:rsidRDefault="009809A7" w:rsidP="003B01DA">
      <w:pPr>
        <w:jc w:val="both"/>
      </w:pPr>
      <w:r>
        <w:t>Determinar si se configuran los elementos para configurar la responsabilidad de la demandada por las lesiones que sufrió el señor Humberto Zúñiga el 22 de mayo del 2016.</w:t>
      </w:r>
    </w:p>
    <w:p w14:paraId="7F8624EB" w14:textId="07587829" w:rsidR="009F3994" w:rsidRDefault="009809A7" w:rsidP="003B01DA">
      <w:pPr>
        <w:jc w:val="both"/>
      </w:pPr>
      <w:r>
        <w:t>Verificar si conforme a lo anterior es procedente condenar a la demandada y a las aseguradoras a responder patrimonialmente</w:t>
      </w:r>
      <w:r w:rsidR="003B01DA">
        <w:t>.</w:t>
      </w:r>
    </w:p>
    <w:p w14:paraId="11D9AA3E" w14:textId="692388A4" w:rsidR="009809A7" w:rsidRPr="009809A7" w:rsidRDefault="009809A7" w:rsidP="003B01DA">
      <w:pPr>
        <w:jc w:val="both"/>
      </w:pPr>
      <w:r>
        <w:t xml:space="preserve">Verificar si se configura alguna causal eximente de la responsabilidad. </w:t>
      </w:r>
    </w:p>
    <w:p w14:paraId="45659EEB" w14:textId="04DCFDB9" w:rsidR="009F3994" w:rsidRDefault="009F3994" w:rsidP="003B01DA">
      <w:pPr>
        <w:jc w:val="both"/>
        <w:rPr>
          <w:b/>
          <w:bCs/>
        </w:rPr>
      </w:pPr>
      <w:r>
        <w:rPr>
          <w:b/>
          <w:bCs/>
        </w:rPr>
        <w:t>Conciliación:</w:t>
      </w:r>
    </w:p>
    <w:p w14:paraId="00FC15C1" w14:textId="46262CA4" w:rsidR="009F3994" w:rsidRPr="009809A7" w:rsidRDefault="009809A7" w:rsidP="003B01DA">
      <w:pPr>
        <w:jc w:val="both"/>
      </w:pPr>
      <w:r w:rsidRPr="009809A7">
        <w:t>Se declara fallido el intento conciliatorio de conformidad con manifestación efectuada por el apoderado de INVIAS.</w:t>
      </w:r>
    </w:p>
    <w:p w14:paraId="305B7449" w14:textId="4F155605" w:rsidR="009F3994" w:rsidRDefault="009F3994" w:rsidP="003B01DA">
      <w:pPr>
        <w:jc w:val="both"/>
        <w:rPr>
          <w:b/>
          <w:bCs/>
        </w:rPr>
      </w:pPr>
      <w:r>
        <w:rPr>
          <w:b/>
          <w:bCs/>
        </w:rPr>
        <w:t>Pruebas decretadas:</w:t>
      </w:r>
    </w:p>
    <w:p w14:paraId="742B0F4C" w14:textId="610D45E5" w:rsidR="009F3994" w:rsidRDefault="009809A7" w:rsidP="003B01DA">
      <w:pPr>
        <w:pStyle w:val="Prrafodelista"/>
        <w:numPr>
          <w:ilvl w:val="0"/>
          <w:numId w:val="1"/>
        </w:numPr>
        <w:jc w:val="both"/>
      </w:pPr>
      <w:r w:rsidRPr="009809A7">
        <w:t>Copia auténtica registros civiles de los demandantes.</w:t>
      </w:r>
    </w:p>
    <w:p w14:paraId="797B27B5" w14:textId="68066C3F" w:rsidR="009809A7" w:rsidRDefault="009809A7" w:rsidP="003B01DA">
      <w:pPr>
        <w:pStyle w:val="Prrafodelista"/>
        <w:numPr>
          <w:ilvl w:val="0"/>
          <w:numId w:val="1"/>
        </w:numPr>
        <w:jc w:val="both"/>
      </w:pPr>
      <w:r>
        <w:t>Historia clínica de Humberto Zúñiga</w:t>
      </w:r>
      <w:r w:rsidR="003B01DA">
        <w:t>.</w:t>
      </w:r>
    </w:p>
    <w:p w14:paraId="318B2348" w14:textId="5B5071E7" w:rsidR="009809A7" w:rsidRDefault="009809A7" w:rsidP="003B01DA">
      <w:pPr>
        <w:pStyle w:val="Prrafodelista"/>
        <w:numPr>
          <w:ilvl w:val="0"/>
          <w:numId w:val="1"/>
        </w:numPr>
        <w:jc w:val="both"/>
      </w:pPr>
      <w:r>
        <w:t>Copia documentos de motocicleta involucrada en el accidente.</w:t>
      </w:r>
    </w:p>
    <w:p w14:paraId="6B519C07" w14:textId="1AB3978B" w:rsidR="009809A7" w:rsidRDefault="009809A7" w:rsidP="003B01DA">
      <w:pPr>
        <w:pStyle w:val="Prrafodelista"/>
        <w:numPr>
          <w:ilvl w:val="0"/>
          <w:numId w:val="1"/>
        </w:numPr>
        <w:jc w:val="both"/>
      </w:pPr>
      <w:r>
        <w:lastRenderedPageBreak/>
        <w:t>Copia del derecho de petición dirigido a Policía, Inspector de tránsito y Transporte.</w:t>
      </w:r>
    </w:p>
    <w:p w14:paraId="4EA5094F" w14:textId="5973A54C" w:rsidR="009809A7" w:rsidRDefault="009809A7" w:rsidP="003B01DA">
      <w:pPr>
        <w:pStyle w:val="Prrafodelista"/>
        <w:numPr>
          <w:ilvl w:val="0"/>
          <w:numId w:val="1"/>
        </w:numPr>
        <w:jc w:val="both"/>
      </w:pPr>
      <w:r>
        <w:t>Copia informe de policía</w:t>
      </w:r>
      <w:r w:rsidR="003B01DA">
        <w:t>.</w:t>
      </w:r>
    </w:p>
    <w:p w14:paraId="14DF9C3C" w14:textId="44992A7A" w:rsidR="009809A7" w:rsidRDefault="009809A7" w:rsidP="003B01DA">
      <w:pPr>
        <w:pStyle w:val="Prrafodelista"/>
        <w:numPr>
          <w:ilvl w:val="0"/>
          <w:numId w:val="1"/>
        </w:numPr>
        <w:jc w:val="both"/>
      </w:pPr>
      <w:r>
        <w:t>Copia registro novedades de la estación de policía</w:t>
      </w:r>
      <w:r w:rsidR="003B01DA">
        <w:t>.</w:t>
      </w:r>
    </w:p>
    <w:p w14:paraId="680889EA" w14:textId="77777777" w:rsidR="00A2723E" w:rsidRDefault="009809A7" w:rsidP="003B01DA">
      <w:pPr>
        <w:pStyle w:val="Prrafodelista"/>
        <w:numPr>
          <w:ilvl w:val="0"/>
          <w:numId w:val="1"/>
        </w:numPr>
        <w:jc w:val="both"/>
      </w:pPr>
      <w:r>
        <w:t>Copia respuesta derecho de petición por parte de la policía nacional.</w:t>
      </w:r>
    </w:p>
    <w:p w14:paraId="229FE75C" w14:textId="4924388F" w:rsidR="009809A7" w:rsidRDefault="009809A7" w:rsidP="003B01DA">
      <w:pPr>
        <w:pStyle w:val="Prrafodelista"/>
        <w:numPr>
          <w:ilvl w:val="0"/>
          <w:numId w:val="1"/>
        </w:numPr>
        <w:jc w:val="both"/>
      </w:pPr>
      <w:r>
        <w:t>Dictamen médico de pérdida de capacidad laboral</w:t>
      </w:r>
      <w:r>
        <w:t xml:space="preserve"> </w:t>
      </w:r>
      <w:r w:rsidR="00A2723E">
        <w:t>(</w:t>
      </w:r>
      <w:r>
        <w:t xml:space="preserve">no cumple los requisitos establecidos en el </w:t>
      </w:r>
      <w:r w:rsidR="00A2723E">
        <w:t xml:space="preserve">226 </w:t>
      </w:r>
      <w:r>
        <w:t>CGP</w:t>
      </w:r>
      <w:r w:rsidR="00A2723E">
        <w:t xml:space="preserve">, </w:t>
      </w:r>
      <w:r w:rsidR="00A2723E">
        <w:rPr>
          <w:u w:val="single"/>
        </w:rPr>
        <w:t xml:space="preserve">se debe realizar contradicción en audiencia, </w:t>
      </w:r>
      <w:r w:rsidR="00A2723E">
        <w:t>antes de la audiencia la parte demandante debe aportar los documentos faltantes en el dictamen).</w:t>
      </w:r>
    </w:p>
    <w:p w14:paraId="4938818E" w14:textId="62CDE4D2" w:rsidR="00A2723E" w:rsidRDefault="00A2723E" w:rsidP="003B01DA">
      <w:pPr>
        <w:pStyle w:val="Prrafodelista"/>
        <w:numPr>
          <w:ilvl w:val="0"/>
          <w:numId w:val="1"/>
        </w:numPr>
        <w:jc w:val="both"/>
      </w:pPr>
      <w:r>
        <w:t>Las testimoniales solicitadas por la parte demandante, sin embargo</w:t>
      </w:r>
      <w:r w:rsidR="003B01DA">
        <w:t>,</w:t>
      </w:r>
      <w:r>
        <w:t xml:space="preserve"> no se accede a la solicitud de comisionar a otro Despacho a realizarlas, ello en virtud de la posibilidad de que los testigos concurran virtualmente a la diligencia.</w:t>
      </w:r>
    </w:p>
    <w:p w14:paraId="15AF10C3" w14:textId="2D2DEB72" w:rsidR="003B01DA" w:rsidRDefault="003B01DA" w:rsidP="003B01DA">
      <w:pPr>
        <w:pStyle w:val="Prrafodelista"/>
        <w:numPr>
          <w:ilvl w:val="0"/>
          <w:numId w:val="1"/>
        </w:numPr>
        <w:jc w:val="both"/>
      </w:pPr>
      <w:r>
        <w:t>Póliza MAPFRE.</w:t>
      </w:r>
    </w:p>
    <w:p w14:paraId="55C9415D" w14:textId="1C7A975C" w:rsidR="003B01DA" w:rsidRDefault="003B01DA" w:rsidP="003B01DA">
      <w:pPr>
        <w:pStyle w:val="Prrafodelista"/>
        <w:numPr>
          <w:ilvl w:val="0"/>
          <w:numId w:val="1"/>
        </w:numPr>
        <w:jc w:val="both"/>
      </w:pPr>
      <w:r>
        <w:t>Oficio al RUNT.</w:t>
      </w:r>
    </w:p>
    <w:p w14:paraId="446D9E43" w14:textId="0C29180D" w:rsidR="003B01DA" w:rsidRDefault="003B01DA" w:rsidP="003B01DA">
      <w:pPr>
        <w:pStyle w:val="Prrafodelista"/>
        <w:numPr>
          <w:ilvl w:val="0"/>
          <w:numId w:val="1"/>
        </w:numPr>
        <w:jc w:val="both"/>
      </w:pPr>
      <w:r>
        <w:t>Póliza AXA.</w:t>
      </w:r>
    </w:p>
    <w:p w14:paraId="5B032696" w14:textId="011020FB" w:rsidR="00A2723E" w:rsidRDefault="003B01DA" w:rsidP="003B01DA">
      <w:pPr>
        <w:pStyle w:val="Prrafodelista"/>
        <w:numPr>
          <w:ilvl w:val="0"/>
          <w:numId w:val="1"/>
        </w:numPr>
        <w:jc w:val="both"/>
      </w:pPr>
      <w:r>
        <w:t>Interrogatorio de parte demandante.</w:t>
      </w:r>
    </w:p>
    <w:p w14:paraId="2929FE6C" w14:textId="2685668A" w:rsidR="00A2723E" w:rsidRDefault="00A2723E" w:rsidP="003B01DA">
      <w:pPr>
        <w:jc w:val="both"/>
      </w:pPr>
      <w:r>
        <w:rPr>
          <w:b/>
          <w:bCs/>
        </w:rPr>
        <w:t>Pruebas d</w:t>
      </w:r>
      <w:r w:rsidRPr="00A2723E">
        <w:rPr>
          <w:b/>
          <w:bCs/>
        </w:rPr>
        <w:t>enegadas</w:t>
      </w:r>
      <w:r>
        <w:t xml:space="preserve">: </w:t>
      </w:r>
    </w:p>
    <w:p w14:paraId="5AE4C668" w14:textId="48F6EB6A" w:rsidR="00A2723E" w:rsidRDefault="00A2723E" w:rsidP="003B01DA">
      <w:pPr>
        <w:pStyle w:val="Prrafodelista"/>
        <w:numPr>
          <w:ilvl w:val="0"/>
          <w:numId w:val="1"/>
        </w:numPr>
        <w:jc w:val="both"/>
      </w:pPr>
      <w:r>
        <w:t xml:space="preserve">Con fundamento en el artículo 173 CGP no se accede a oficiar a las entidades públicas solicitadas por la parte demandante por no haberse acreditado agotamiento de trámites tendientes a su consecución. </w:t>
      </w:r>
    </w:p>
    <w:p w14:paraId="51216077" w14:textId="47F6E572" w:rsidR="00A2723E" w:rsidRDefault="00A2723E" w:rsidP="003B01DA">
      <w:pPr>
        <w:pStyle w:val="Prrafodelista"/>
        <w:numPr>
          <w:ilvl w:val="0"/>
          <w:numId w:val="1"/>
        </w:numPr>
        <w:jc w:val="both"/>
      </w:pPr>
      <w:r>
        <w:t>Testimonios solicitados por INVIAS</w:t>
      </w:r>
      <w:r>
        <w:t>, como quiera que el apoderado indicó que “no los puede conseguir”.</w:t>
      </w:r>
    </w:p>
    <w:p w14:paraId="2FDCFD0C" w14:textId="61F9B57F" w:rsidR="003B01DA" w:rsidRDefault="003B01DA" w:rsidP="003B01DA">
      <w:pPr>
        <w:pStyle w:val="Prrafodelista"/>
        <w:numPr>
          <w:ilvl w:val="0"/>
          <w:numId w:val="1"/>
        </w:numPr>
        <w:jc w:val="both"/>
      </w:pPr>
      <w:r>
        <w:t>Testimonio Santiago Rojas Buitrago</w:t>
      </w:r>
      <w:r>
        <w:t>, porque se aportó la póliza de MAPFRE</w:t>
      </w:r>
      <w:r w:rsidR="00355578">
        <w:t xml:space="preserve"> (no se presenta recurso por considerar que efectivamente no es una prueba necesaria al haberse aportado como documental el clausulado general y particular de la póliza)</w:t>
      </w:r>
      <w:r>
        <w:t>.</w:t>
      </w:r>
    </w:p>
    <w:p w14:paraId="6D027568" w14:textId="225FB5F7" w:rsidR="003B01DA" w:rsidRDefault="003B01DA" w:rsidP="003B01DA">
      <w:pPr>
        <w:pStyle w:val="Prrafodelista"/>
        <w:numPr>
          <w:ilvl w:val="0"/>
          <w:numId w:val="1"/>
        </w:numPr>
        <w:jc w:val="both"/>
      </w:pPr>
      <w:r>
        <w:t>Oficio al Ministerio de Transporte, por no cumplir con los requisitos del artículo 173 CGP (efectivamente en expediente no había constancia de radicación, por ello no se presenta recurso).</w:t>
      </w:r>
    </w:p>
    <w:p w14:paraId="2162E76E" w14:textId="29E2A0AF" w:rsidR="00A2723E" w:rsidRDefault="003B01DA" w:rsidP="003B01DA">
      <w:pPr>
        <w:pStyle w:val="Prrafodelista"/>
        <w:numPr>
          <w:ilvl w:val="0"/>
          <w:numId w:val="1"/>
        </w:numPr>
        <w:jc w:val="both"/>
      </w:pPr>
      <w:r>
        <w:t>Exhibición de documentos por parte de INVIAS, esto lo solicitó AXA; Se niega debido a que no se indicó la dependencia encargada de realizar dicha exhibición.</w:t>
      </w:r>
    </w:p>
    <w:p w14:paraId="6B17EF39" w14:textId="0FD02981" w:rsidR="003B01DA" w:rsidRDefault="00A2723E" w:rsidP="003B01DA">
      <w:pPr>
        <w:jc w:val="both"/>
      </w:pPr>
      <w:r>
        <w:t>Se inicia trámite sancionatorio numeral 3 artículo 60 a Ley 270 de 1996 contra funcionaria del INVIAS por no aportar antecedentes administrativos relacionados con los hechos de la demanda como prueba en el proceso. Se le otorgaron 5 días para descargos en incidente y 20 días para que aporte los antecedentes.</w:t>
      </w:r>
    </w:p>
    <w:p w14:paraId="71F9560E" w14:textId="244D6F1E" w:rsidR="004C3AC5" w:rsidRPr="004C3AC5" w:rsidRDefault="004C3AC5" w:rsidP="003B01DA">
      <w:pPr>
        <w:jc w:val="both"/>
        <w:rPr>
          <w:b/>
          <w:bCs/>
        </w:rPr>
      </w:pPr>
      <w:r>
        <w:rPr>
          <w:b/>
          <w:bCs/>
        </w:rPr>
        <w:lastRenderedPageBreak/>
        <w:t>-Recursos presentados</w:t>
      </w:r>
      <w:r w:rsidR="00355578">
        <w:rPr>
          <w:b/>
          <w:bCs/>
        </w:rPr>
        <w:t xml:space="preserve"> respecto de la etapa probatoria</w:t>
      </w:r>
      <w:r>
        <w:rPr>
          <w:b/>
          <w:bCs/>
        </w:rPr>
        <w:t>:</w:t>
      </w:r>
    </w:p>
    <w:p w14:paraId="242DF5A2" w14:textId="226CBC80" w:rsidR="00F85A16" w:rsidRDefault="004C3AC5" w:rsidP="003B01DA">
      <w:pPr>
        <w:jc w:val="both"/>
      </w:pPr>
      <w:r w:rsidRPr="004C3AC5">
        <w:rPr>
          <w:b/>
          <w:bCs/>
        </w:rPr>
        <w:t>1.</w:t>
      </w:r>
      <w:r>
        <w:t xml:space="preserve"> </w:t>
      </w:r>
      <w:r w:rsidR="00F85A16">
        <w:t xml:space="preserve">INVIAS interpuso recurso (reposición y en subsidio apelación) respecto del trámite sancionatorio, al considerar que no aplican los antecedentes administrativos por tratarse de un hecho de la administración y no un contrato estatal. </w:t>
      </w:r>
    </w:p>
    <w:p w14:paraId="7A0C4FB0" w14:textId="77CC53EA" w:rsidR="004C3AC5" w:rsidRDefault="004C3AC5" w:rsidP="003B01DA">
      <w:pPr>
        <w:jc w:val="both"/>
      </w:pPr>
      <w:r>
        <w:t>Despacho manifestó que no procede apelación y, por otro lado, niega la reposición como quiera que el artículo 175 CPACA no hace referencia solo a los antecedentes de los actos administrativos, sino también a los hechos.</w:t>
      </w:r>
    </w:p>
    <w:p w14:paraId="450B5A0E" w14:textId="38470DB4" w:rsidR="00F85A16" w:rsidRDefault="004C3AC5" w:rsidP="003B01DA">
      <w:pPr>
        <w:jc w:val="both"/>
      </w:pPr>
      <w:r w:rsidRPr="004C3AC5">
        <w:rPr>
          <w:b/>
          <w:bCs/>
        </w:rPr>
        <w:t>2.</w:t>
      </w:r>
      <w:r>
        <w:t xml:space="preserve"> </w:t>
      </w:r>
      <w:r w:rsidR="00F85A16">
        <w:t xml:space="preserve">AXA presentó recurso </w:t>
      </w:r>
      <w:r w:rsidR="00F85A16">
        <w:t>(reposición</w:t>
      </w:r>
      <w:r w:rsidR="00F85A16">
        <w:t xml:space="preserve"> </w:t>
      </w:r>
      <w:r w:rsidR="00F85A16">
        <w:t>y en subsidio apelación</w:t>
      </w:r>
      <w:r w:rsidR="00F85A16">
        <w:t>)</w:t>
      </w:r>
      <w:r w:rsidR="00F85A16">
        <w:t xml:space="preserve"> </w:t>
      </w:r>
      <w:r w:rsidR="00F85A16">
        <w:t xml:space="preserve">respecto de negación de la exhibición de los documentos por parte de INVIAS como quiera que no </w:t>
      </w:r>
      <w:proofErr w:type="gramStart"/>
      <w:r w:rsidR="00F85A16">
        <w:t>posee</w:t>
      </w:r>
      <w:proofErr w:type="gramEnd"/>
      <w:r w:rsidR="00F85A16">
        <w:t xml:space="preserve"> la aseguradora información específica respecto de cuáles son las dependencias </w:t>
      </w:r>
      <w:r>
        <w:t>encargadas de exhibir los documentos dentro de la entidad.</w:t>
      </w:r>
    </w:p>
    <w:p w14:paraId="0AE83A07" w14:textId="3E5E5339" w:rsidR="004C3AC5" w:rsidRDefault="004C3AC5" w:rsidP="003B01DA">
      <w:pPr>
        <w:jc w:val="both"/>
      </w:pPr>
      <w:r>
        <w:t>Despacho manifestó que no procede apelación y,</w:t>
      </w:r>
      <w:r>
        <w:t xml:space="preserve"> repone decisión en el sentido de indicar que la documentación que se solicitó por parte de la aseguradora, son los mismos antecedentes administrativos.</w:t>
      </w:r>
    </w:p>
    <w:p w14:paraId="24CC55D0" w14:textId="58403307" w:rsidR="004C3AC5" w:rsidRPr="00355578" w:rsidRDefault="004C3AC5" w:rsidP="003B01DA">
      <w:pPr>
        <w:jc w:val="both"/>
      </w:pPr>
      <w:r>
        <w:rPr>
          <w:b/>
          <w:bCs/>
        </w:rPr>
        <w:t>Terminación de la audiencia:</w:t>
      </w:r>
      <w:r w:rsidR="00355578">
        <w:rPr>
          <w:b/>
          <w:bCs/>
        </w:rPr>
        <w:t xml:space="preserve"> </w:t>
      </w:r>
      <w:r w:rsidR="00355578">
        <w:t>9:32 am.</w:t>
      </w:r>
    </w:p>
    <w:p w14:paraId="4494D344" w14:textId="59B0665C" w:rsidR="004C3AC5" w:rsidRPr="004C3AC5" w:rsidRDefault="004C3AC5" w:rsidP="003B01DA">
      <w:pPr>
        <w:jc w:val="both"/>
      </w:pPr>
      <w:r>
        <w:rPr>
          <w:b/>
          <w:bCs/>
        </w:rPr>
        <w:t xml:space="preserve">Fecha audiencia de pruebas: </w:t>
      </w:r>
      <w:r>
        <w:t xml:space="preserve">11 de julio de 2024 a las 8:30 am, </w:t>
      </w:r>
      <w:proofErr w:type="gramStart"/>
      <w:r>
        <w:t>link</w:t>
      </w:r>
      <w:proofErr w:type="gramEnd"/>
      <w:r>
        <w:t xml:space="preserve"> de acceso quedará incluido en el acta de audiencia inicial.</w:t>
      </w:r>
    </w:p>
    <w:p w14:paraId="5C525C4C" w14:textId="29783484" w:rsidR="003B01DA" w:rsidRPr="003B01DA" w:rsidRDefault="003B01DA" w:rsidP="003B01DA">
      <w:pPr>
        <w:jc w:val="both"/>
        <w:rPr>
          <w:u w:val="single"/>
        </w:rPr>
      </w:pPr>
      <w:r w:rsidRPr="003B01DA">
        <w:rPr>
          <w:b/>
          <w:bCs/>
          <w:u w:val="single"/>
        </w:rPr>
        <w:t xml:space="preserve">Tareas pendientes: </w:t>
      </w:r>
      <w:r w:rsidRPr="003B01DA">
        <w:rPr>
          <w:u w:val="single"/>
        </w:rPr>
        <w:t xml:space="preserve">Oficio al RUNT </w:t>
      </w:r>
      <w:r w:rsidRPr="003B01DA">
        <w:rPr>
          <w:u w:val="single"/>
        </w:rPr>
        <w:t>a cargo de MAPFRE, se concedió un término de 3 días para su realización.</w:t>
      </w:r>
    </w:p>
    <w:p w14:paraId="3397A99B" w14:textId="36430362" w:rsidR="003B01DA" w:rsidRPr="009809A7" w:rsidRDefault="00F85A16" w:rsidP="003B01DA">
      <w:pPr>
        <w:jc w:val="both"/>
      </w:pPr>
      <w:r>
        <w:t xml:space="preserve"> </w:t>
      </w:r>
    </w:p>
    <w:sectPr w:rsidR="003B01DA" w:rsidRPr="009809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B4475"/>
    <w:multiLevelType w:val="hybridMultilevel"/>
    <w:tmpl w:val="D44AD928"/>
    <w:lvl w:ilvl="0" w:tplc="CB228FD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126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94"/>
    <w:rsid w:val="00355578"/>
    <w:rsid w:val="003B01DA"/>
    <w:rsid w:val="004C3AC5"/>
    <w:rsid w:val="006C4327"/>
    <w:rsid w:val="009809A7"/>
    <w:rsid w:val="009F3994"/>
    <w:rsid w:val="00A2723E"/>
    <w:rsid w:val="00F8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4B61A"/>
  <w15:chartTrackingRefBased/>
  <w15:docId w15:val="{BFEEC386-94D8-419D-BBE1-7CCD2EA5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39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3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39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39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39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39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39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39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39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39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39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39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399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399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39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399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39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39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39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3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39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F39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3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399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399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399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3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399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39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718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Kathalina Carpetta Mejia</dc:creator>
  <cp:keywords/>
  <dc:description/>
  <cp:lastModifiedBy>Kathalina Carpetta Mejia</cp:lastModifiedBy>
  <cp:revision>1</cp:revision>
  <dcterms:created xsi:type="dcterms:W3CDTF">2024-05-21T13:30:00Z</dcterms:created>
  <dcterms:modified xsi:type="dcterms:W3CDTF">2024-05-21T14:35:00Z</dcterms:modified>
</cp:coreProperties>
</file>