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159D6" w14:textId="77777777" w:rsidR="005E372E" w:rsidRPr="00284427" w:rsidRDefault="005E372E" w:rsidP="005E372E">
      <w:pPr>
        <w:spacing w:line="360" w:lineRule="auto"/>
        <w:rPr>
          <w:rFonts w:ascii="Arial" w:hAnsi="Arial" w:cs="Arial"/>
          <w:b/>
        </w:rPr>
      </w:pPr>
      <w:bookmarkStart w:id="0" w:name="_Hlk197983751"/>
      <w:r>
        <w:rPr>
          <w:b/>
        </w:rPr>
        <w:t>Señores:</w:t>
      </w:r>
    </w:p>
    <w:p w14:paraId="605047EC" w14:textId="77777777" w:rsidR="005E372E" w:rsidRPr="00284427" w:rsidRDefault="005E372E" w:rsidP="005E372E">
      <w:pPr>
        <w:spacing w:line="360" w:lineRule="auto"/>
        <w:rPr>
          <w:rFonts w:ascii="Arial" w:hAnsi="Arial" w:cs="Arial"/>
          <w:b/>
        </w:rPr>
      </w:pPr>
      <w:r w:rsidRPr="00284427">
        <w:rPr>
          <w:rFonts w:ascii="Arial" w:hAnsi="Arial" w:cs="Arial"/>
          <w:b/>
        </w:rPr>
        <w:t>JUZGADO PRIMERO (1°) ADMINISTRATIVO ORAL DEL CIRCUITO DE BUGA (VALLE)</w:t>
      </w:r>
    </w:p>
    <w:p w14:paraId="02E41922" w14:textId="77777777" w:rsidR="005E372E" w:rsidRPr="00284427" w:rsidRDefault="005E372E" w:rsidP="005E372E">
      <w:pPr>
        <w:spacing w:line="360" w:lineRule="auto"/>
        <w:rPr>
          <w:rFonts w:ascii="Arial" w:hAnsi="Arial" w:cs="Arial"/>
          <w:b/>
        </w:rPr>
      </w:pPr>
      <w:hyperlink r:id="rId8" w:history="1">
        <w:r w:rsidRPr="00284427">
          <w:rPr>
            <w:rStyle w:val="Hipervnculo"/>
            <w:rFonts w:ascii="Arial" w:hAnsi="Arial" w:cs="Arial"/>
            <w:b/>
          </w:rPr>
          <w:t>J01adtivobuga@cendoj.ramajudicial.gov.co</w:t>
        </w:r>
      </w:hyperlink>
      <w:r w:rsidRPr="00284427">
        <w:rPr>
          <w:rFonts w:ascii="Arial" w:hAnsi="Arial" w:cs="Arial"/>
          <w:b/>
        </w:rPr>
        <w:t xml:space="preserve"> </w:t>
      </w:r>
    </w:p>
    <w:p w14:paraId="03A4CC27" w14:textId="77777777" w:rsidR="005E372E" w:rsidRPr="00284427" w:rsidRDefault="005E372E" w:rsidP="005E372E">
      <w:pPr>
        <w:spacing w:line="360" w:lineRule="auto"/>
        <w:rPr>
          <w:rFonts w:ascii="Arial" w:hAnsi="Arial" w:cs="Arial"/>
          <w:b/>
        </w:rPr>
      </w:pPr>
      <w:r w:rsidRPr="00284427">
        <w:rPr>
          <w:rFonts w:ascii="Arial" w:hAnsi="Arial" w:cs="Arial"/>
          <w:b/>
        </w:rPr>
        <w:t xml:space="preserve">E. </w:t>
      </w:r>
      <w:r w:rsidRPr="00284427">
        <w:rPr>
          <w:rFonts w:ascii="Arial" w:hAnsi="Arial" w:cs="Arial"/>
          <w:b/>
        </w:rPr>
        <w:tab/>
        <w:t xml:space="preserve">S. </w:t>
      </w:r>
      <w:r w:rsidRPr="00284427">
        <w:rPr>
          <w:rFonts w:ascii="Arial" w:hAnsi="Arial" w:cs="Arial"/>
          <w:b/>
        </w:rPr>
        <w:tab/>
        <w:t xml:space="preserve">D. </w:t>
      </w:r>
    </w:p>
    <w:p w14:paraId="64389A62" w14:textId="77777777" w:rsidR="005E372E" w:rsidRPr="00284427" w:rsidRDefault="005E372E" w:rsidP="005E372E">
      <w:pPr>
        <w:spacing w:line="360" w:lineRule="auto"/>
        <w:rPr>
          <w:rFonts w:ascii="Arial" w:hAnsi="Arial" w:cs="Arial"/>
          <w:b/>
        </w:rPr>
      </w:pPr>
    </w:p>
    <w:p w14:paraId="6A87847F" w14:textId="77777777" w:rsidR="005E372E" w:rsidRPr="00284427" w:rsidRDefault="005E372E" w:rsidP="005E372E">
      <w:pPr>
        <w:spacing w:line="360" w:lineRule="auto"/>
        <w:rPr>
          <w:rFonts w:ascii="Arial" w:hAnsi="Arial" w:cs="Arial"/>
          <w:color w:val="0D0D0D"/>
        </w:rPr>
      </w:pPr>
      <w:r w:rsidRPr="00284427">
        <w:rPr>
          <w:rFonts w:ascii="Arial" w:hAnsi="Arial" w:cs="Arial"/>
          <w:b/>
          <w:color w:val="0D0D0D"/>
        </w:rPr>
        <w:t xml:space="preserve">RADICACIÓN: </w:t>
      </w:r>
      <w:r w:rsidRPr="00284427">
        <w:rPr>
          <w:rFonts w:ascii="Arial" w:hAnsi="Arial" w:cs="Arial"/>
          <w:color w:val="0D0D0D"/>
        </w:rPr>
        <w:t>76111-33-33-001-</w:t>
      </w:r>
      <w:r w:rsidRPr="00284427">
        <w:rPr>
          <w:rFonts w:ascii="Arial" w:hAnsi="Arial" w:cs="Arial"/>
          <w:b/>
          <w:color w:val="0D0D0D"/>
          <w:u w:val="single"/>
        </w:rPr>
        <w:t>2019-00290</w:t>
      </w:r>
      <w:r w:rsidRPr="00284427">
        <w:rPr>
          <w:rFonts w:ascii="Arial" w:hAnsi="Arial" w:cs="Arial"/>
          <w:color w:val="0D0D0D"/>
        </w:rPr>
        <w:t>-00</w:t>
      </w:r>
    </w:p>
    <w:p w14:paraId="6BF2E40F" w14:textId="77777777" w:rsidR="005E372E" w:rsidRPr="00284427" w:rsidRDefault="005E372E" w:rsidP="005E372E">
      <w:pPr>
        <w:spacing w:line="360" w:lineRule="auto"/>
        <w:rPr>
          <w:rFonts w:ascii="Arial" w:hAnsi="Arial" w:cs="Arial"/>
          <w:color w:val="0D0D0D"/>
        </w:rPr>
      </w:pPr>
      <w:r w:rsidRPr="00284427">
        <w:rPr>
          <w:rFonts w:ascii="Arial" w:hAnsi="Arial" w:cs="Arial"/>
          <w:b/>
          <w:color w:val="0D0D0D"/>
        </w:rPr>
        <w:t>DEMANDANTES:</w:t>
      </w:r>
      <w:r w:rsidRPr="00284427">
        <w:rPr>
          <w:rFonts w:ascii="Arial" w:hAnsi="Arial" w:cs="Arial"/>
          <w:color w:val="0D0D0D"/>
        </w:rPr>
        <w:t xml:space="preserve"> MARGARITA JURADO GIRALDO Y OTROS</w:t>
      </w:r>
    </w:p>
    <w:p w14:paraId="6024112D" w14:textId="77777777" w:rsidR="005E372E" w:rsidRPr="00284427" w:rsidRDefault="005E372E" w:rsidP="005E372E">
      <w:pPr>
        <w:spacing w:line="360" w:lineRule="auto"/>
        <w:rPr>
          <w:rFonts w:ascii="Arial" w:hAnsi="Arial" w:cs="Arial"/>
          <w:color w:val="0D0D0D"/>
        </w:rPr>
      </w:pPr>
      <w:r w:rsidRPr="00284427">
        <w:rPr>
          <w:rFonts w:ascii="Arial" w:hAnsi="Arial" w:cs="Arial"/>
          <w:b/>
          <w:color w:val="0D0D0D"/>
        </w:rPr>
        <w:t>DEMANDADOS:</w:t>
      </w:r>
      <w:r w:rsidRPr="00284427">
        <w:rPr>
          <w:rFonts w:ascii="Arial" w:hAnsi="Arial" w:cs="Arial"/>
          <w:color w:val="0D0D0D"/>
        </w:rPr>
        <w:t xml:space="preserve"> INVIAS Y OTROS</w:t>
      </w:r>
    </w:p>
    <w:p w14:paraId="62B3E3C1" w14:textId="77777777" w:rsidR="005E372E" w:rsidRPr="00284427" w:rsidRDefault="005E372E" w:rsidP="005E372E">
      <w:pPr>
        <w:spacing w:line="360" w:lineRule="auto"/>
        <w:rPr>
          <w:rFonts w:ascii="Arial" w:hAnsi="Arial" w:cs="Arial"/>
          <w:color w:val="0D0D0D"/>
        </w:rPr>
      </w:pPr>
      <w:r w:rsidRPr="00284427">
        <w:rPr>
          <w:rFonts w:ascii="Arial" w:hAnsi="Arial" w:cs="Arial"/>
          <w:b/>
          <w:color w:val="0D0D0D"/>
        </w:rPr>
        <w:t>MEDIO DE CONTROL:</w:t>
      </w:r>
      <w:r w:rsidRPr="00284427">
        <w:rPr>
          <w:rFonts w:ascii="Arial" w:hAnsi="Arial" w:cs="Arial"/>
          <w:color w:val="0D0D0D"/>
        </w:rPr>
        <w:t xml:space="preserve"> REPARACIÓN DIRECTA</w:t>
      </w:r>
    </w:p>
    <w:p w14:paraId="2A355F59" w14:textId="77777777" w:rsidR="005E372E" w:rsidRPr="00284427" w:rsidRDefault="005E372E" w:rsidP="005E372E">
      <w:pPr>
        <w:spacing w:line="360" w:lineRule="auto"/>
        <w:rPr>
          <w:rFonts w:ascii="Arial" w:hAnsi="Arial" w:cs="Arial"/>
          <w:color w:val="0D0D0D"/>
        </w:rPr>
      </w:pPr>
      <w:r w:rsidRPr="00284427">
        <w:rPr>
          <w:rFonts w:ascii="Arial" w:hAnsi="Arial" w:cs="Arial"/>
          <w:b/>
          <w:color w:val="0D0D0D"/>
        </w:rPr>
        <w:t xml:space="preserve">LLAMADO EN GARANTÍA: </w:t>
      </w:r>
      <w:r w:rsidRPr="00284427">
        <w:rPr>
          <w:rFonts w:ascii="Arial" w:hAnsi="Arial" w:cs="Arial"/>
          <w:color w:val="0D0D0D"/>
        </w:rPr>
        <w:t xml:space="preserve">MAPFRE SEGUROS GENERALES DE COLOMBIA S.A. </w:t>
      </w:r>
    </w:p>
    <w:p w14:paraId="1EE917A4" w14:textId="77777777" w:rsidR="00B35CF3" w:rsidRPr="00284427" w:rsidRDefault="00B35CF3" w:rsidP="00BD7F61">
      <w:pPr>
        <w:spacing w:line="360" w:lineRule="auto"/>
        <w:jc w:val="both"/>
        <w:rPr>
          <w:rFonts w:ascii="Arial" w:eastAsiaTheme="minorEastAsia" w:hAnsi="Arial" w:cs="Arial"/>
          <w:lang w:eastAsia="es-CO"/>
        </w:rPr>
      </w:pPr>
    </w:p>
    <w:p w14:paraId="27B6A50F" w14:textId="77777777" w:rsidR="00B35CF3" w:rsidRPr="00284427" w:rsidRDefault="00B35CF3" w:rsidP="00BD7F61">
      <w:pPr>
        <w:widowControl/>
        <w:adjustRightInd w:val="0"/>
        <w:rPr>
          <w:rFonts w:ascii="Arial" w:eastAsiaTheme="minorHAnsi" w:hAnsi="Arial" w:cs="Arial"/>
          <w:color w:val="000000"/>
          <w:sz w:val="24"/>
          <w:szCs w:val="24"/>
          <w:lang w:val="es-CO"/>
        </w:rPr>
      </w:pPr>
    </w:p>
    <w:p w14:paraId="3CC38A47" w14:textId="687D4AE8" w:rsidR="00D96DE8" w:rsidRPr="00284427" w:rsidRDefault="00B35CF3" w:rsidP="00D96DE8">
      <w:pPr>
        <w:spacing w:line="360" w:lineRule="auto"/>
        <w:jc w:val="both"/>
        <w:rPr>
          <w:rFonts w:ascii="Arial" w:hAnsi="Arial" w:cs="Arial"/>
        </w:rPr>
      </w:pPr>
      <w:r w:rsidRPr="00284427">
        <w:rPr>
          <w:rFonts w:ascii="Arial" w:eastAsiaTheme="minorHAnsi" w:hAnsi="Arial" w:cs="Arial"/>
          <w:b/>
          <w:bCs/>
          <w:color w:val="000000"/>
          <w:lang w:val="es-CO"/>
        </w:rPr>
        <w:t>GUSTAVO ALBERTO HERRERA ÁVILA</w:t>
      </w:r>
      <w:r w:rsidRPr="00284427">
        <w:rPr>
          <w:rFonts w:ascii="Arial" w:eastAsiaTheme="minorHAnsi" w:hAnsi="Arial" w:cs="Arial"/>
          <w:color w:val="000000"/>
          <w:lang w:val="es-CO"/>
        </w:rPr>
        <w:t>, identificado con cédula de ciudadanía No.19.395.114</w:t>
      </w:r>
      <w:r w:rsidR="001960FD" w:rsidRPr="00284427">
        <w:rPr>
          <w:rFonts w:ascii="Arial" w:eastAsiaTheme="minorHAnsi" w:hAnsi="Arial" w:cs="Arial"/>
          <w:color w:val="000000"/>
          <w:lang w:val="es-CO"/>
        </w:rPr>
        <w:t xml:space="preserve"> </w:t>
      </w:r>
      <w:r w:rsidRPr="00284427">
        <w:rPr>
          <w:rFonts w:ascii="Arial" w:eastAsiaTheme="minorHAnsi" w:hAnsi="Arial" w:cs="Arial"/>
          <w:color w:val="000000"/>
          <w:lang w:val="es-CO"/>
        </w:rPr>
        <w:t xml:space="preserve">de Bogotá, abogado en ejercicio, portador de la Tarjeta Profesional No. 39.116 del C. S. de la J., actuando en mi calidad de apoderado </w:t>
      </w:r>
      <w:r w:rsidR="005E372E" w:rsidRPr="00284427">
        <w:rPr>
          <w:rFonts w:ascii="Arial" w:eastAsiaTheme="minorHAnsi" w:hAnsi="Arial" w:cs="Arial"/>
          <w:color w:val="000000"/>
          <w:lang w:val="es-CO"/>
        </w:rPr>
        <w:t xml:space="preserve">general </w:t>
      </w:r>
      <w:r w:rsidRPr="00284427">
        <w:rPr>
          <w:rFonts w:ascii="Arial" w:eastAsiaTheme="minorHAnsi" w:hAnsi="Arial" w:cs="Arial"/>
          <w:color w:val="000000"/>
          <w:lang w:val="es-CO"/>
        </w:rPr>
        <w:t xml:space="preserve">de </w:t>
      </w:r>
      <w:bookmarkStart w:id="1" w:name="_Hlk197983764"/>
      <w:bookmarkEnd w:id="0"/>
      <w:r w:rsidR="004E7B1F" w:rsidRPr="00284427">
        <w:rPr>
          <w:rFonts w:ascii="Arial" w:hAnsi="Arial" w:cs="Arial"/>
          <w:b/>
        </w:rPr>
        <w:t xml:space="preserve">MAPFRE SEGUROS GENERALES DE COLOMBIA S.A </w:t>
      </w:r>
      <w:r w:rsidRPr="00284427">
        <w:rPr>
          <w:rFonts w:ascii="Arial" w:eastAsiaTheme="minorHAnsi" w:hAnsi="Arial" w:cs="Arial"/>
          <w:color w:val="000000"/>
          <w:lang w:val="es-CO"/>
        </w:rPr>
        <w:t xml:space="preserve">mediante el presente escrito procedo a </w:t>
      </w:r>
      <w:r w:rsidRPr="00284427">
        <w:rPr>
          <w:rFonts w:ascii="Arial" w:eastAsiaTheme="minorHAnsi" w:hAnsi="Arial" w:cs="Arial"/>
          <w:b/>
          <w:bCs/>
          <w:color w:val="000000"/>
          <w:lang w:val="es-CO"/>
        </w:rPr>
        <w:t xml:space="preserve">REASUMIR </w:t>
      </w:r>
      <w:r w:rsidRPr="00284427">
        <w:rPr>
          <w:rFonts w:ascii="Arial" w:eastAsiaTheme="minorHAnsi" w:hAnsi="Arial" w:cs="Arial"/>
          <w:color w:val="000000"/>
          <w:lang w:val="es-CO"/>
        </w:rPr>
        <w:t xml:space="preserve">el poder a mi conferido en el proceso de la referencia, y a presentar dentro del término legal, los </w:t>
      </w:r>
      <w:r w:rsidRPr="00284427">
        <w:rPr>
          <w:rFonts w:ascii="Arial" w:eastAsiaTheme="minorHAnsi" w:hAnsi="Arial" w:cs="Arial"/>
          <w:b/>
          <w:bCs/>
          <w:color w:val="000000"/>
          <w:lang w:val="es-CO"/>
        </w:rPr>
        <w:t xml:space="preserve">ALEGATOS DE CONCLUSIÓN; </w:t>
      </w:r>
      <w:r w:rsidRPr="00284427">
        <w:rPr>
          <w:rFonts w:ascii="Arial" w:eastAsiaTheme="minorHAnsi" w:hAnsi="Arial" w:cs="Arial"/>
          <w:color w:val="000000"/>
          <w:lang w:val="es-CO"/>
        </w:rPr>
        <w:t xml:space="preserve">solicitando desde ya, </w:t>
      </w:r>
      <w:r w:rsidR="00D96DE8" w:rsidRPr="00284427">
        <w:rPr>
          <w:rFonts w:ascii="Arial" w:hAnsi="Arial" w:cs="Arial"/>
        </w:rPr>
        <w:t>se profiera sentencia favorable</w:t>
      </w:r>
      <w:r w:rsidR="00D96DE8" w:rsidRPr="00284427">
        <w:rPr>
          <w:rFonts w:ascii="Arial" w:hAnsi="Arial" w:cs="Arial"/>
          <w:b/>
        </w:rPr>
        <w:t xml:space="preserve"> </w:t>
      </w:r>
      <w:r w:rsidR="00D96DE8" w:rsidRPr="00284427">
        <w:rPr>
          <w:rFonts w:ascii="Arial" w:hAnsi="Arial" w:cs="Arial"/>
        </w:rPr>
        <w:t xml:space="preserve">a los intereses de mi representada, </w:t>
      </w:r>
      <w:r w:rsidR="00D96DE8" w:rsidRPr="00284427">
        <w:rPr>
          <w:rFonts w:ascii="Arial" w:hAnsi="Arial" w:cs="Arial"/>
          <w:lang w:val="es-CO"/>
        </w:rPr>
        <w:t>desestimando las pretensiones de la parte actora y declarando probada las excepciones propuestas al momento de contestar la demanda y el llamamiento en garantía:</w:t>
      </w:r>
    </w:p>
    <w:p w14:paraId="46F414BA" w14:textId="349C9E22" w:rsidR="00194DAC" w:rsidRPr="00284427" w:rsidRDefault="00194DAC" w:rsidP="00BD7F61">
      <w:pPr>
        <w:spacing w:line="360" w:lineRule="auto"/>
        <w:jc w:val="both"/>
        <w:rPr>
          <w:rFonts w:ascii="Arial" w:eastAsiaTheme="minorHAnsi" w:hAnsi="Arial" w:cs="Arial"/>
          <w:color w:val="000000"/>
        </w:rPr>
      </w:pPr>
    </w:p>
    <w:p w14:paraId="09927A08" w14:textId="77777777" w:rsidR="00626AB9" w:rsidRPr="00284427" w:rsidRDefault="00626AB9" w:rsidP="00BD7F61">
      <w:pPr>
        <w:spacing w:line="360" w:lineRule="auto"/>
        <w:jc w:val="both"/>
        <w:rPr>
          <w:rFonts w:ascii="Arial" w:hAnsi="Arial" w:cs="Arial"/>
        </w:rPr>
      </w:pPr>
    </w:p>
    <w:p w14:paraId="3BC0CF3A" w14:textId="77777777" w:rsidR="00626AB9" w:rsidRPr="00284427" w:rsidRDefault="00626AB9" w:rsidP="00BD7F61">
      <w:pPr>
        <w:spacing w:line="360" w:lineRule="auto"/>
        <w:jc w:val="center"/>
        <w:rPr>
          <w:rFonts w:ascii="Arial" w:hAnsi="Arial" w:cs="Arial"/>
          <w:b/>
          <w:bCs/>
          <w:u w:val="single"/>
        </w:rPr>
      </w:pPr>
      <w:r w:rsidRPr="00284427">
        <w:rPr>
          <w:rFonts w:ascii="Arial" w:hAnsi="Arial" w:cs="Arial"/>
          <w:b/>
          <w:bCs/>
          <w:u w:val="single"/>
        </w:rPr>
        <w:t xml:space="preserve">CAPÍTULO I.   OPORTUNIDAD </w:t>
      </w:r>
      <w:r w:rsidRPr="00284427">
        <w:rPr>
          <w:rFonts w:ascii="Arial" w:hAnsi="Arial" w:cs="Arial"/>
          <w:b/>
          <w:bCs/>
          <w:u w:val="single"/>
          <w:lang w:val="es-CO"/>
        </w:rPr>
        <w:t>PARA PRESENTAR ALEGATOS.</w:t>
      </w:r>
    </w:p>
    <w:p w14:paraId="6EDAC8FF" w14:textId="77777777" w:rsidR="00626AB9" w:rsidRPr="00284427" w:rsidRDefault="00626AB9" w:rsidP="00BD7F61">
      <w:pPr>
        <w:spacing w:line="360" w:lineRule="auto"/>
        <w:jc w:val="both"/>
        <w:rPr>
          <w:rFonts w:ascii="Arial" w:hAnsi="Arial" w:cs="Arial"/>
        </w:rPr>
      </w:pPr>
    </w:p>
    <w:p w14:paraId="5A5DD22D" w14:textId="571A5B03" w:rsidR="00626AB9" w:rsidRPr="00284427" w:rsidRDefault="00D96DE8" w:rsidP="00BD7F61">
      <w:pPr>
        <w:pStyle w:val="Default"/>
        <w:spacing w:line="360" w:lineRule="auto"/>
        <w:ind w:right="-2"/>
        <w:jc w:val="both"/>
        <w:rPr>
          <w:rFonts w:eastAsia="Arial"/>
          <w:color w:val="auto"/>
          <w:sz w:val="22"/>
          <w:szCs w:val="22"/>
          <w:lang w:val="es-ES"/>
        </w:rPr>
      </w:pPr>
      <w:r w:rsidRPr="00284427">
        <w:rPr>
          <w:color w:val="auto"/>
          <w:sz w:val="22"/>
          <w:szCs w:val="22"/>
          <w:lang w:val="es-ES"/>
        </w:rPr>
        <w:t xml:space="preserve">En audiencia de pruebas llevada a cabo el día </w:t>
      </w:r>
      <w:r w:rsidR="00C6292F" w:rsidRPr="00284427">
        <w:rPr>
          <w:color w:val="auto"/>
          <w:sz w:val="22"/>
          <w:szCs w:val="22"/>
          <w:lang w:val="es-ES"/>
        </w:rPr>
        <w:t xml:space="preserve">19 de junio de </w:t>
      </w:r>
      <w:r w:rsidR="0057139D" w:rsidRPr="00284427">
        <w:rPr>
          <w:color w:val="auto"/>
          <w:sz w:val="22"/>
          <w:szCs w:val="22"/>
          <w:lang w:val="es-ES"/>
        </w:rPr>
        <w:t>2025</w:t>
      </w:r>
      <w:r w:rsidRPr="00284427">
        <w:rPr>
          <w:color w:val="auto"/>
          <w:sz w:val="22"/>
          <w:szCs w:val="22"/>
          <w:lang w:val="es-ES"/>
        </w:rPr>
        <w:t xml:space="preserve">, el </w:t>
      </w:r>
      <w:r w:rsidR="00C6292F" w:rsidRPr="00284427">
        <w:rPr>
          <w:color w:val="auto"/>
          <w:sz w:val="22"/>
          <w:szCs w:val="22"/>
          <w:lang w:val="es-ES"/>
        </w:rPr>
        <w:t xml:space="preserve">Juzgado Primero (1°) Administrativo Oral Del Circuito De Buga (Valle) </w:t>
      </w:r>
      <w:r w:rsidRPr="00284427">
        <w:rPr>
          <w:color w:val="auto"/>
          <w:sz w:val="22"/>
          <w:szCs w:val="22"/>
          <w:lang w:val="es-ES"/>
        </w:rPr>
        <w:t xml:space="preserve">clausuró la etapa probatoria en el presente proceso, y </w:t>
      </w:r>
      <w:r w:rsidR="00626AB9" w:rsidRPr="00284427">
        <w:rPr>
          <w:color w:val="auto"/>
          <w:sz w:val="22"/>
          <w:szCs w:val="22"/>
          <w:lang w:val="es-ES"/>
        </w:rPr>
        <w:t>ordenó</w:t>
      </w:r>
      <w:r w:rsidRPr="00284427">
        <w:rPr>
          <w:color w:val="auto"/>
          <w:sz w:val="22"/>
          <w:szCs w:val="22"/>
          <w:lang w:val="es-ES"/>
        </w:rPr>
        <w:t xml:space="preserve"> correr traslado por</w:t>
      </w:r>
      <w:r w:rsidR="00626AB9" w:rsidRPr="00284427">
        <w:rPr>
          <w:color w:val="auto"/>
          <w:sz w:val="22"/>
          <w:szCs w:val="22"/>
          <w:lang w:val="es-ES"/>
        </w:rPr>
        <w:t xml:space="preserve"> el termino conjunto de 10 días para que las partes presenten Alegatos de Merito en Primera instancia </w:t>
      </w:r>
      <w:r w:rsidR="00626AB9" w:rsidRPr="00284427">
        <w:rPr>
          <w:rFonts w:eastAsia="Arial"/>
          <w:color w:val="auto"/>
          <w:sz w:val="22"/>
          <w:szCs w:val="22"/>
          <w:lang w:val="es-ES"/>
        </w:rPr>
        <w:t xml:space="preserve">conforme a lo previsto por el artículo 181 del CPACA. En ese sentido, dicho término transcurrió los días </w:t>
      </w:r>
      <w:r w:rsidR="00B305B9" w:rsidRPr="00284427">
        <w:rPr>
          <w:rFonts w:eastAsia="Arial"/>
          <w:color w:val="auto"/>
          <w:sz w:val="22"/>
          <w:szCs w:val="22"/>
          <w:lang w:val="es-ES"/>
        </w:rPr>
        <w:t xml:space="preserve">20, 24, 25, 26, 27 de junio y 01, 02, 03, 04 y </w:t>
      </w:r>
      <w:r w:rsidR="00B305B9" w:rsidRPr="00284427">
        <w:rPr>
          <w:rFonts w:eastAsia="Arial"/>
          <w:b/>
          <w:bCs/>
          <w:color w:val="auto"/>
          <w:sz w:val="22"/>
          <w:szCs w:val="22"/>
          <w:u w:val="single"/>
          <w:lang w:val="es-ES"/>
        </w:rPr>
        <w:t>07 de julio de 2025</w:t>
      </w:r>
      <w:r w:rsidRPr="00284427">
        <w:rPr>
          <w:rFonts w:eastAsia="Arial"/>
          <w:color w:val="auto"/>
          <w:sz w:val="22"/>
          <w:szCs w:val="22"/>
          <w:lang w:val="es-ES"/>
        </w:rPr>
        <w:t xml:space="preserve"> </w:t>
      </w:r>
      <w:r w:rsidR="00626AB9" w:rsidRPr="00284427">
        <w:rPr>
          <w:rFonts w:eastAsia="Arial"/>
          <w:color w:val="auto"/>
          <w:sz w:val="22"/>
          <w:szCs w:val="22"/>
          <w:lang w:val="es-ES"/>
        </w:rPr>
        <w:t>(los días</w:t>
      </w:r>
      <w:r w:rsidR="00B305B9" w:rsidRPr="00284427">
        <w:rPr>
          <w:rFonts w:eastAsia="Arial"/>
          <w:color w:val="auto"/>
          <w:sz w:val="22"/>
          <w:szCs w:val="22"/>
          <w:lang w:val="es-ES"/>
        </w:rPr>
        <w:t xml:space="preserve"> 21, 22, 23, 28, 29, 30 d</w:t>
      </w:r>
      <w:r w:rsidRPr="00284427">
        <w:rPr>
          <w:rFonts w:eastAsia="Arial"/>
          <w:color w:val="auto"/>
          <w:sz w:val="22"/>
          <w:szCs w:val="22"/>
          <w:lang w:val="es-ES"/>
        </w:rPr>
        <w:t xml:space="preserve">e junio </w:t>
      </w:r>
      <w:r w:rsidR="00B305B9" w:rsidRPr="00284427">
        <w:rPr>
          <w:rFonts w:eastAsia="Arial"/>
          <w:color w:val="auto"/>
          <w:sz w:val="22"/>
          <w:szCs w:val="22"/>
          <w:lang w:val="es-ES"/>
        </w:rPr>
        <w:t xml:space="preserve">y 05 y 06 de julio </w:t>
      </w:r>
      <w:r w:rsidR="00626AB9" w:rsidRPr="00284427">
        <w:rPr>
          <w:rFonts w:eastAsia="Arial"/>
          <w:color w:val="auto"/>
          <w:sz w:val="22"/>
          <w:szCs w:val="22"/>
          <w:lang w:val="es-ES"/>
        </w:rPr>
        <w:t xml:space="preserve">no se cuentan por ser días no hábiles), por lo que </w:t>
      </w:r>
      <w:r w:rsidR="00626AB9" w:rsidRPr="00284427">
        <w:rPr>
          <w:color w:val="auto"/>
          <w:sz w:val="22"/>
          <w:szCs w:val="22"/>
          <w:lang w:val="es-ES"/>
        </w:rPr>
        <w:t>se concluye que este escrito es presentado dentro del tiempo previsto para tal efecto.</w:t>
      </w:r>
    </w:p>
    <w:p w14:paraId="303FB82B" w14:textId="77777777" w:rsidR="00626AB9" w:rsidRDefault="00626AB9" w:rsidP="00BD7F61">
      <w:pPr>
        <w:spacing w:line="360" w:lineRule="auto"/>
        <w:rPr>
          <w:rFonts w:ascii="Arial" w:hAnsi="Arial" w:cs="Arial"/>
        </w:rPr>
      </w:pPr>
    </w:p>
    <w:p w14:paraId="6B34EE57" w14:textId="77777777" w:rsidR="00A10183" w:rsidRPr="00284427" w:rsidRDefault="00A10183" w:rsidP="00BD7F61">
      <w:pPr>
        <w:spacing w:line="360" w:lineRule="auto"/>
        <w:rPr>
          <w:rFonts w:ascii="Arial" w:hAnsi="Arial" w:cs="Arial"/>
        </w:rPr>
      </w:pPr>
    </w:p>
    <w:p w14:paraId="17890FD5" w14:textId="77777777" w:rsidR="00626AB9" w:rsidRPr="00284427" w:rsidRDefault="00626AB9" w:rsidP="00BD7F61">
      <w:pPr>
        <w:spacing w:line="360" w:lineRule="auto"/>
        <w:jc w:val="center"/>
        <w:rPr>
          <w:rFonts w:ascii="Arial" w:hAnsi="Arial" w:cs="Arial"/>
          <w:b/>
          <w:bCs/>
          <w:u w:val="single"/>
          <w:lang w:val="es-CO"/>
        </w:rPr>
      </w:pPr>
      <w:r w:rsidRPr="00284427">
        <w:rPr>
          <w:rFonts w:ascii="Arial" w:hAnsi="Arial" w:cs="Arial"/>
          <w:b/>
          <w:bCs/>
          <w:u w:val="single"/>
          <w:lang w:val="es-CO"/>
        </w:rPr>
        <w:t>CAPÍTULO II.   ASPECTO PREVIOS RELATIVOS A LA “IMPUTACIÓN”.</w:t>
      </w:r>
    </w:p>
    <w:p w14:paraId="0031196D" w14:textId="77777777" w:rsidR="00626AB9" w:rsidRPr="00284427" w:rsidRDefault="00626AB9" w:rsidP="00BD7F61">
      <w:pPr>
        <w:spacing w:line="360" w:lineRule="auto"/>
        <w:ind w:right="-2"/>
        <w:rPr>
          <w:rFonts w:ascii="Arial" w:hAnsi="Arial" w:cs="Arial"/>
          <w:b/>
          <w:bCs/>
          <w:u w:val="single"/>
          <w:lang w:val="es-CO"/>
        </w:rPr>
      </w:pPr>
    </w:p>
    <w:p w14:paraId="76A9232A" w14:textId="77777777" w:rsidR="00626AB9" w:rsidRPr="00284427" w:rsidRDefault="00626AB9" w:rsidP="00BD7F61">
      <w:pPr>
        <w:spacing w:line="360" w:lineRule="auto"/>
        <w:jc w:val="both"/>
        <w:rPr>
          <w:rFonts w:ascii="Arial" w:hAnsi="Arial" w:cs="Arial"/>
        </w:rPr>
      </w:pPr>
      <w:r w:rsidRPr="00284427">
        <w:rPr>
          <w:rFonts w:ascii="Arial" w:hAnsi="Arial" w:cs="Arial"/>
        </w:rPr>
        <w:t xml:space="preserve">Es importante precisar que el objeto del litigio aquí ventilado corresponde al fijado por el despacho en audiencia inicial, en los siguientes términos: </w:t>
      </w:r>
    </w:p>
    <w:p w14:paraId="51B707C8" w14:textId="77777777" w:rsidR="00626AB9" w:rsidRPr="00284427" w:rsidRDefault="00626AB9" w:rsidP="00BD7F61">
      <w:pPr>
        <w:spacing w:line="360" w:lineRule="auto"/>
        <w:jc w:val="both"/>
        <w:rPr>
          <w:rFonts w:ascii="Arial" w:hAnsi="Arial" w:cs="Arial"/>
          <w:sz w:val="20"/>
          <w:szCs w:val="20"/>
        </w:rPr>
      </w:pPr>
    </w:p>
    <w:p w14:paraId="2BC052A7" w14:textId="6E0C08F5" w:rsidR="00B305B9" w:rsidRPr="00284427" w:rsidRDefault="00B305B9" w:rsidP="00A10183">
      <w:pPr>
        <w:spacing w:line="276" w:lineRule="auto"/>
        <w:ind w:left="708"/>
        <w:jc w:val="both"/>
        <w:rPr>
          <w:rFonts w:ascii="Arial" w:hAnsi="Arial" w:cs="Arial"/>
          <w:i/>
          <w:iCs/>
          <w:sz w:val="20"/>
          <w:szCs w:val="20"/>
        </w:rPr>
      </w:pPr>
      <w:r w:rsidRPr="00284427">
        <w:rPr>
          <w:rFonts w:ascii="Arial" w:hAnsi="Arial" w:cs="Arial"/>
          <w:i/>
          <w:iCs/>
          <w:sz w:val="20"/>
          <w:szCs w:val="20"/>
        </w:rPr>
        <w:t xml:space="preserve">Se contrae a determinar si las entidades demandadas son administrativamente y patrimonialmente responsables del daño antijurídico alegado por la parte demandante que se concreta en la muerte del señor Jorge Enrique Benítez Diaz, por lo que considera falla en el servicio ante la inexistencia de iluminación artificial en el lugar en donde se presentó el accidente de tránsito ocurrido el día 3 de </w:t>
      </w:r>
      <w:r w:rsidRPr="00284427">
        <w:rPr>
          <w:rFonts w:ascii="Arial" w:hAnsi="Arial" w:cs="Arial"/>
          <w:i/>
          <w:iCs/>
          <w:sz w:val="20"/>
          <w:szCs w:val="20"/>
        </w:rPr>
        <w:lastRenderedPageBreak/>
        <w:t>diciembre de 2017, en la vía Cali - Andalucía Km 102 + 208 y si como consecuencia de ello, es menester ordenar a las demandadas resarcir los perjuicios materiales e inmateriales reclamados por</w:t>
      </w:r>
    </w:p>
    <w:p w14:paraId="79E45506" w14:textId="103D0EE2" w:rsidR="00B305B9" w:rsidRPr="00284427" w:rsidRDefault="00B305B9" w:rsidP="00A10183">
      <w:pPr>
        <w:spacing w:line="276" w:lineRule="auto"/>
        <w:ind w:left="708"/>
        <w:jc w:val="both"/>
        <w:rPr>
          <w:rFonts w:ascii="Arial" w:hAnsi="Arial" w:cs="Arial"/>
          <w:i/>
          <w:iCs/>
          <w:sz w:val="20"/>
          <w:szCs w:val="20"/>
        </w:rPr>
      </w:pPr>
      <w:r w:rsidRPr="00284427">
        <w:rPr>
          <w:rFonts w:ascii="Arial" w:hAnsi="Arial" w:cs="Arial"/>
          <w:i/>
          <w:iCs/>
          <w:sz w:val="20"/>
          <w:szCs w:val="20"/>
        </w:rPr>
        <w:t xml:space="preserve">los demandantes; o </w:t>
      </w:r>
      <w:proofErr w:type="gramStart"/>
      <w:r w:rsidRPr="00284427">
        <w:rPr>
          <w:rFonts w:ascii="Arial" w:hAnsi="Arial" w:cs="Arial"/>
          <w:i/>
          <w:iCs/>
          <w:sz w:val="20"/>
          <w:szCs w:val="20"/>
        </w:rPr>
        <w:t>si</w:t>
      </w:r>
      <w:proofErr w:type="gramEnd"/>
      <w:r w:rsidRPr="00284427">
        <w:rPr>
          <w:rFonts w:ascii="Arial" w:hAnsi="Arial" w:cs="Arial"/>
          <w:i/>
          <w:iCs/>
          <w:sz w:val="20"/>
          <w:szCs w:val="20"/>
        </w:rPr>
        <w:t xml:space="preserve"> por el contrario, se logran probar eximentes de responsabilidad como hecho de un tercero o culpa exclusiva de la víctima o inexistencia de nexo causal entre el hecho dañoso y las funciones atribuidas a las demandadas.</w:t>
      </w:r>
    </w:p>
    <w:p w14:paraId="2A5824C0" w14:textId="77777777" w:rsidR="00B305B9" w:rsidRPr="00284427" w:rsidRDefault="00B305B9" w:rsidP="00A10183">
      <w:pPr>
        <w:spacing w:line="276" w:lineRule="auto"/>
        <w:ind w:left="708"/>
        <w:jc w:val="both"/>
        <w:rPr>
          <w:rFonts w:ascii="Arial" w:hAnsi="Arial" w:cs="Arial"/>
          <w:i/>
          <w:iCs/>
          <w:sz w:val="20"/>
          <w:szCs w:val="20"/>
        </w:rPr>
      </w:pPr>
    </w:p>
    <w:p w14:paraId="2F473363" w14:textId="77777777" w:rsidR="00B305B9" w:rsidRPr="00284427" w:rsidRDefault="00B305B9" w:rsidP="00A10183">
      <w:pPr>
        <w:spacing w:line="276" w:lineRule="auto"/>
        <w:ind w:left="708"/>
        <w:jc w:val="both"/>
        <w:rPr>
          <w:rFonts w:ascii="Arial" w:hAnsi="Arial" w:cs="Arial"/>
          <w:i/>
          <w:iCs/>
          <w:sz w:val="20"/>
          <w:szCs w:val="20"/>
        </w:rPr>
      </w:pPr>
      <w:r w:rsidRPr="00284427">
        <w:rPr>
          <w:rFonts w:ascii="Arial" w:hAnsi="Arial" w:cs="Arial"/>
          <w:i/>
          <w:iCs/>
          <w:sz w:val="20"/>
          <w:szCs w:val="20"/>
        </w:rPr>
        <w:t>Una vez determinado lo anterior y de salir avante la pretensión principal del demandante en contra de</w:t>
      </w:r>
    </w:p>
    <w:p w14:paraId="480B04D3" w14:textId="29E348E8" w:rsidR="00B305B9" w:rsidRPr="00284427" w:rsidRDefault="00B305B9" w:rsidP="00A10183">
      <w:pPr>
        <w:spacing w:line="276" w:lineRule="auto"/>
        <w:ind w:left="708"/>
        <w:jc w:val="both"/>
        <w:rPr>
          <w:rFonts w:ascii="Arial" w:hAnsi="Arial" w:cs="Arial"/>
          <w:i/>
          <w:iCs/>
          <w:sz w:val="20"/>
          <w:szCs w:val="20"/>
        </w:rPr>
      </w:pPr>
      <w:r w:rsidRPr="00284427">
        <w:rPr>
          <w:rFonts w:ascii="Arial" w:hAnsi="Arial" w:cs="Arial"/>
          <w:i/>
          <w:iCs/>
          <w:sz w:val="20"/>
          <w:szCs w:val="20"/>
        </w:rPr>
        <w:t>INVIAS, debe resolverse si su llamada en garantía MAPFRE SEGUROS GENERALES DE COLOMBIA S.A. está obligada a contribuir en el pago de la condena que le fuere impuesta en virtud</w:t>
      </w:r>
    </w:p>
    <w:p w14:paraId="69C4F089" w14:textId="77777777" w:rsidR="00B305B9" w:rsidRPr="00284427" w:rsidRDefault="00B305B9" w:rsidP="00A10183">
      <w:pPr>
        <w:spacing w:line="276" w:lineRule="auto"/>
        <w:ind w:left="708"/>
        <w:jc w:val="both"/>
        <w:rPr>
          <w:rFonts w:ascii="Arial" w:hAnsi="Arial" w:cs="Arial"/>
          <w:i/>
          <w:iCs/>
          <w:sz w:val="20"/>
          <w:szCs w:val="20"/>
        </w:rPr>
      </w:pPr>
      <w:r w:rsidRPr="00284427">
        <w:rPr>
          <w:rFonts w:ascii="Arial" w:hAnsi="Arial" w:cs="Arial"/>
          <w:i/>
          <w:iCs/>
          <w:sz w:val="20"/>
          <w:szCs w:val="20"/>
        </w:rPr>
        <w:t>del vínculo contractual existente con su llamante, en materia de las coberturas y límites establecidos</w:t>
      </w:r>
    </w:p>
    <w:p w14:paraId="76C006D7" w14:textId="0DD9529F" w:rsidR="00F76838" w:rsidRPr="00284427" w:rsidRDefault="00B305B9" w:rsidP="00A10183">
      <w:pPr>
        <w:spacing w:line="276" w:lineRule="auto"/>
        <w:ind w:left="708"/>
        <w:jc w:val="both"/>
        <w:rPr>
          <w:rFonts w:ascii="Arial" w:hAnsi="Arial" w:cs="Arial"/>
          <w:i/>
          <w:iCs/>
          <w:sz w:val="20"/>
          <w:szCs w:val="20"/>
        </w:rPr>
      </w:pPr>
      <w:r w:rsidRPr="00284427">
        <w:rPr>
          <w:rFonts w:ascii="Arial" w:hAnsi="Arial" w:cs="Arial"/>
          <w:i/>
          <w:iCs/>
          <w:sz w:val="20"/>
          <w:szCs w:val="20"/>
        </w:rPr>
        <w:t>en los respectivos contratos</w:t>
      </w:r>
      <w:r w:rsidR="008475E2" w:rsidRPr="00284427">
        <w:rPr>
          <w:rFonts w:ascii="Arial" w:hAnsi="Arial" w:cs="Arial"/>
          <w:i/>
          <w:iCs/>
          <w:sz w:val="20"/>
          <w:szCs w:val="20"/>
        </w:rPr>
        <w:t>.</w:t>
      </w:r>
      <w:r w:rsidR="00F76838" w:rsidRPr="00284427">
        <w:rPr>
          <w:rFonts w:ascii="Arial" w:hAnsi="Arial" w:cs="Arial"/>
          <w:i/>
          <w:iCs/>
          <w:sz w:val="20"/>
          <w:szCs w:val="20"/>
        </w:rPr>
        <w:t>”</w:t>
      </w:r>
      <w:r w:rsidR="00D42061" w:rsidRPr="00284427">
        <w:rPr>
          <w:rStyle w:val="Refdenotaalpie"/>
          <w:rFonts w:ascii="Arial" w:hAnsi="Arial" w:cs="Arial"/>
          <w:i/>
          <w:iCs/>
          <w:sz w:val="20"/>
          <w:szCs w:val="20"/>
        </w:rPr>
        <w:footnoteReference w:id="1"/>
      </w:r>
    </w:p>
    <w:bookmarkEnd w:id="1"/>
    <w:p w14:paraId="29B0AD7E" w14:textId="77777777" w:rsidR="008475E2" w:rsidRPr="00284427" w:rsidRDefault="008475E2" w:rsidP="00BD7F61">
      <w:pPr>
        <w:spacing w:line="360" w:lineRule="auto"/>
        <w:rPr>
          <w:rFonts w:ascii="Arial" w:hAnsi="Arial" w:cs="Arial"/>
        </w:rPr>
      </w:pPr>
    </w:p>
    <w:p w14:paraId="545EB659" w14:textId="77777777" w:rsidR="00CE6F86" w:rsidRPr="00284427" w:rsidRDefault="00CE6F86" w:rsidP="00BD7F61">
      <w:pPr>
        <w:spacing w:line="360" w:lineRule="auto"/>
        <w:rPr>
          <w:rFonts w:ascii="Arial" w:hAnsi="Arial" w:cs="Arial"/>
        </w:rPr>
      </w:pPr>
    </w:p>
    <w:p w14:paraId="5D1606FF" w14:textId="137DB259" w:rsidR="00CE6F86" w:rsidRPr="00284427" w:rsidRDefault="00CE6F86" w:rsidP="00CE6F86">
      <w:pPr>
        <w:spacing w:line="360" w:lineRule="auto"/>
        <w:jc w:val="center"/>
        <w:rPr>
          <w:rFonts w:ascii="Arial" w:hAnsi="Arial" w:cs="Arial"/>
          <w:b/>
          <w:bCs/>
          <w:lang w:val="es-CO"/>
        </w:rPr>
      </w:pPr>
      <w:r w:rsidRPr="00284427">
        <w:rPr>
          <w:rFonts w:ascii="Arial" w:hAnsi="Arial" w:cs="Arial"/>
          <w:b/>
          <w:bCs/>
          <w:lang w:val="es-CO"/>
        </w:rPr>
        <w:t xml:space="preserve">CUESTIÓN PREVIA: </w:t>
      </w:r>
      <w:r w:rsidR="00716200">
        <w:rPr>
          <w:rFonts w:ascii="Arial" w:hAnsi="Arial" w:cs="Arial"/>
          <w:b/>
          <w:bCs/>
          <w:lang w:val="es-CO"/>
        </w:rPr>
        <w:t>INEFICACIA</w:t>
      </w:r>
      <w:r w:rsidR="00716200" w:rsidRPr="00284427">
        <w:rPr>
          <w:rFonts w:ascii="Arial" w:hAnsi="Arial" w:cs="Arial"/>
          <w:b/>
          <w:bCs/>
          <w:lang w:val="es-CO"/>
        </w:rPr>
        <w:t xml:space="preserve"> </w:t>
      </w:r>
      <w:r w:rsidRPr="00284427">
        <w:rPr>
          <w:rFonts w:ascii="Arial" w:hAnsi="Arial" w:cs="Arial"/>
          <w:b/>
          <w:bCs/>
          <w:lang w:val="es-CO"/>
        </w:rPr>
        <w:t>DEL LLAMAMIENTO EN GARANTÍA POR NOTIFICACIÓN EXTEMPORÁNEA.</w:t>
      </w:r>
    </w:p>
    <w:p w14:paraId="060902FE" w14:textId="77777777" w:rsidR="00CE6F86" w:rsidRPr="00CE6F86" w:rsidRDefault="00CE6F86" w:rsidP="00CE6F86">
      <w:pPr>
        <w:spacing w:line="360" w:lineRule="auto"/>
        <w:rPr>
          <w:rFonts w:ascii="Arial" w:hAnsi="Arial" w:cs="Arial"/>
          <w:b/>
          <w:bCs/>
          <w:lang w:val="es-CO"/>
        </w:rPr>
      </w:pPr>
    </w:p>
    <w:p w14:paraId="31174CDD" w14:textId="2C19D819" w:rsidR="00CE6F86" w:rsidRPr="00284427" w:rsidRDefault="00CE6F86" w:rsidP="00284427">
      <w:pPr>
        <w:spacing w:line="360" w:lineRule="auto"/>
        <w:jc w:val="both"/>
        <w:rPr>
          <w:rFonts w:ascii="Arial" w:hAnsi="Arial" w:cs="Arial"/>
          <w:lang w:val="es-CO"/>
        </w:rPr>
      </w:pPr>
      <w:r w:rsidRPr="00CE6F86">
        <w:rPr>
          <w:rFonts w:ascii="Arial" w:hAnsi="Arial" w:cs="Arial"/>
          <w:lang w:val="es-CO"/>
        </w:rPr>
        <w:t xml:space="preserve">Antes de abordar el fondo del asunto, es pertinente </w:t>
      </w:r>
      <w:r w:rsidR="006F387E" w:rsidRPr="00284427">
        <w:rPr>
          <w:rFonts w:ascii="Arial" w:hAnsi="Arial" w:cs="Arial"/>
          <w:lang w:val="es-CO"/>
        </w:rPr>
        <w:t>reiterar, tal como se hizo desde el escrito de contestación de demanda,</w:t>
      </w:r>
      <w:r w:rsidRPr="00CE6F86">
        <w:rPr>
          <w:rFonts w:ascii="Arial" w:hAnsi="Arial" w:cs="Arial"/>
          <w:lang w:val="es-CO"/>
        </w:rPr>
        <w:t xml:space="preserve"> que en el presente proceso se ha configurado el fenómeno de la</w:t>
      </w:r>
      <w:r w:rsidR="006F387E" w:rsidRPr="00284427">
        <w:rPr>
          <w:rFonts w:ascii="Arial" w:hAnsi="Arial" w:cs="Arial"/>
          <w:lang w:val="es-CO"/>
        </w:rPr>
        <w:t xml:space="preserve"> </w:t>
      </w:r>
      <w:r w:rsidRPr="00CE6F86">
        <w:rPr>
          <w:rFonts w:ascii="Arial" w:hAnsi="Arial" w:cs="Arial"/>
          <w:lang w:val="es-CO"/>
        </w:rPr>
        <w:t>ineficacia del llamamiento en garantía realizado por el INVIAS contra Mapfre Seguros Generales de Colombia S.A., al no haberse cumplido el término legal para notificar personalmente el auto que lo admitió, según lo dispuesto en el artículo 66 del Código General del Proceso.</w:t>
      </w:r>
    </w:p>
    <w:p w14:paraId="404864E9" w14:textId="77777777" w:rsidR="006F387E" w:rsidRPr="00CE6F86" w:rsidRDefault="006F387E" w:rsidP="00284427">
      <w:pPr>
        <w:spacing w:line="360" w:lineRule="auto"/>
        <w:jc w:val="both"/>
        <w:rPr>
          <w:rFonts w:ascii="Arial" w:hAnsi="Arial" w:cs="Arial"/>
          <w:lang w:val="es-CO"/>
        </w:rPr>
      </w:pPr>
    </w:p>
    <w:p w14:paraId="3E0A17AC" w14:textId="1A0B1569" w:rsidR="00CE6F86" w:rsidRPr="00284427" w:rsidRDefault="00CE6F86" w:rsidP="00284427">
      <w:pPr>
        <w:spacing w:line="360" w:lineRule="auto"/>
        <w:jc w:val="both"/>
        <w:rPr>
          <w:rFonts w:ascii="Arial" w:hAnsi="Arial" w:cs="Arial"/>
          <w:b/>
          <w:bCs/>
          <w:i/>
          <w:iCs/>
          <w:u w:val="single"/>
          <w:lang w:val="es-CO"/>
        </w:rPr>
      </w:pPr>
      <w:r w:rsidRPr="00CE6F86">
        <w:rPr>
          <w:rFonts w:ascii="Arial" w:hAnsi="Arial" w:cs="Arial"/>
          <w:lang w:val="es-CO"/>
        </w:rPr>
        <w:t>La citada disposición establece de manera expresa:</w:t>
      </w:r>
      <w:r w:rsidR="006F387E" w:rsidRPr="00284427">
        <w:rPr>
          <w:rFonts w:ascii="Arial" w:hAnsi="Arial" w:cs="Arial"/>
          <w:lang w:val="es-CO"/>
        </w:rPr>
        <w:t xml:space="preserve"> </w:t>
      </w:r>
      <w:r w:rsidRPr="00CE6F86">
        <w:rPr>
          <w:rFonts w:ascii="Arial" w:hAnsi="Arial" w:cs="Arial"/>
          <w:i/>
          <w:iCs/>
          <w:lang w:val="es-CO"/>
        </w:rPr>
        <w:t xml:space="preserve">“Si el juez halla procedente el llamamiento, ordenará notificar personalmente al convocado y correrle traslado del escrito por el término de la demanda inicial. </w:t>
      </w:r>
      <w:r w:rsidRPr="00CE6F86">
        <w:rPr>
          <w:rFonts w:ascii="Arial" w:hAnsi="Arial" w:cs="Arial"/>
          <w:b/>
          <w:bCs/>
          <w:i/>
          <w:iCs/>
          <w:u w:val="single"/>
          <w:lang w:val="es-CO"/>
        </w:rPr>
        <w:t>Si la notificación no se logra dentro de los seis (6) meses siguientes, el llamamiento será ineficaz.”</w:t>
      </w:r>
    </w:p>
    <w:p w14:paraId="7A9D249E" w14:textId="77777777" w:rsidR="006F387E" w:rsidRPr="00CE6F86" w:rsidRDefault="006F387E" w:rsidP="00284427">
      <w:pPr>
        <w:spacing w:line="360" w:lineRule="auto"/>
        <w:jc w:val="both"/>
        <w:rPr>
          <w:rFonts w:ascii="Arial" w:hAnsi="Arial" w:cs="Arial"/>
          <w:lang w:val="es-CO"/>
        </w:rPr>
      </w:pPr>
    </w:p>
    <w:p w14:paraId="243AEAEB" w14:textId="77777777" w:rsidR="00CE6F86" w:rsidRPr="00284427" w:rsidRDefault="00CE6F86" w:rsidP="00284427">
      <w:pPr>
        <w:spacing w:line="360" w:lineRule="auto"/>
        <w:jc w:val="both"/>
        <w:rPr>
          <w:rFonts w:ascii="Arial" w:hAnsi="Arial" w:cs="Arial"/>
          <w:lang w:val="es-CO"/>
        </w:rPr>
      </w:pPr>
      <w:r w:rsidRPr="00CE6F86">
        <w:rPr>
          <w:rFonts w:ascii="Arial" w:hAnsi="Arial" w:cs="Arial"/>
          <w:lang w:val="es-CO"/>
        </w:rPr>
        <w:t xml:space="preserve">En este expediente, el llamamiento en garantía fue admitido mediante </w:t>
      </w:r>
      <w:r w:rsidRPr="00CE6F86">
        <w:rPr>
          <w:rFonts w:ascii="Arial" w:hAnsi="Arial" w:cs="Arial"/>
          <w:b/>
          <w:bCs/>
          <w:lang w:val="es-CO"/>
        </w:rPr>
        <w:t>Auto Interlocutorio No. 568 del 19 de julio de 2021</w:t>
      </w:r>
      <w:r w:rsidRPr="00CE6F86">
        <w:rPr>
          <w:rFonts w:ascii="Arial" w:hAnsi="Arial" w:cs="Arial"/>
          <w:lang w:val="es-CO"/>
        </w:rPr>
        <w:t xml:space="preserve">, notificado ese mismo día. Sin embargo, la notificación personal a mi representada, Mapfre Seguros Generales de Colombia S.A., </w:t>
      </w:r>
      <w:r w:rsidRPr="00CE6F86">
        <w:rPr>
          <w:rFonts w:ascii="Arial" w:hAnsi="Arial" w:cs="Arial"/>
          <w:b/>
          <w:bCs/>
          <w:lang w:val="es-CO"/>
        </w:rPr>
        <w:t>solo se surtió hasta el 24 de julio de 2023</w:t>
      </w:r>
      <w:r w:rsidRPr="00CE6F86">
        <w:rPr>
          <w:rFonts w:ascii="Arial" w:hAnsi="Arial" w:cs="Arial"/>
          <w:lang w:val="es-CO"/>
        </w:rPr>
        <w:t xml:space="preserve">, es decir, </w:t>
      </w:r>
      <w:r w:rsidRPr="00CE6F86">
        <w:rPr>
          <w:rFonts w:ascii="Arial" w:hAnsi="Arial" w:cs="Arial"/>
          <w:b/>
          <w:bCs/>
          <w:lang w:val="es-CO"/>
        </w:rPr>
        <w:t>dos años y cinco días después</w:t>
      </w:r>
      <w:r w:rsidRPr="00CE6F86">
        <w:rPr>
          <w:rFonts w:ascii="Arial" w:hAnsi="Arial" w:cs="Arial"/>
          <w:lang w:val="es-CO"/>
        </w:rPr>
        <w:t xml:space="preserve"> de la fecha en que se profirió y notificó el referido auto. Dicha actuación se llevó a cabo mediante correo electrónico enviado a la dirección institucional de la aseguradora (</w:t>
      </w:r>
      <w:r w:rsidRPr="00CE6F86">
        <w:rPr>
          <w:rFonts w:ascii="Arial" w:hAnsi="Arial" w:cs="Arial"/>
          <w:i/>
          <w:iCs/>
          <w:lang w:val="es-CO"/>
        </w:rPr>
        <w:t>njudiciales@mapfre.com.co</w:t>
      </w:r>
      <w:r w:rsidRPr="00CE6F86">
        <w:rPr>
          <w:rFonts w:ascii="Arial" w:hAnsi="Arial" w:cs="Arial"/>
          <w:lang w:val="es-CO"/>
        </w:rPr>
        <w:t>) por parte del Juzgado Primero Administrativo de Buga.</w:t>
      </w:r>
    </w:p>
    <w:p w14:paraId="477C4538" w14:textId="77777777" w:rsidR="00284427" w:rsidRPr="00284427" w:rsidRDefault="00284427" w:rsidP="00284427">
      <w:pPr>
        <w:spacing w:line="360" w:lineRule="auto"/>
        <w:jc w:val="both"/>
        <w:rPr>
          <w:rFonts w:ascii="Arial" w:hAnsi="Arial" w:cs="Arial"/>
          <w:lang w:val="es-CO"/>
        </w:rPr>
      </w:pPr>
    </w:p>
    <w:p w14:paraId="112E1F0A" w14:textId="2674B97A" w:rsidR="006F387E" w:rsidRPr="00284427" w:rsidRDefault="006F387E" w:rsidP="00284427">
      <w:pPr>
        <w:spacing w:line="360" w:lineRule="auto"/>
        <w:jc w:val="both"/>
        <w:rPr>
          <w:rFonts w:ascii="Arial" w:hAnsi="Arial" w:cs="Arial"/>
          <w:lang w:val="es-CO"/>
        </w:rPr>
      </w:pPr>
      <w:r w:rsidRPr="00284427">
        <w:rPr>
          <w:rFonts w:ascii="Arial" w:hAnsi="Arial" w:cs="Arial"/>
          <w:lang w:val="es-CO"/>
        </w:rPr>
        <w:t>Tal como se observa y se dejó constancia:</w:t>
      </w:r>
    </w:p>
    <w:p w14:paraId="7558C339" w14:textId="77777777" w:rsidR="006F387E" w:rsidRPr="00284427" w:rsidRDefault="006F387E" w:rsidP="00284427">
      <w:pPr>
        <w:spacing w:line="360" w:lineRule="auto"/>
        <w:jc w:val="both"/>
        <w:rPr>
          <w:rFonts w:ascii="Arial" w:hAnsi="Arial" w:cs="Arial"/>
          <w:lang w:val="es-CO"/>
        </w:rPr>
      </w:pPr>
    </w:p>
    <w:p w14:paraId="4D85A99D" w14:textId="1BC8C859" w:rsidR="006F387E" w:rsidRPr="00CE6F86" w:rsidRDefault="006F387E" w:rsidP="00284427">
      <w:pPr>
        <w:spacing w:line="360" w:lineRule="auto"/>
        <w:jc w:val="center"/>
        <w:rPr>
          <w:rFonts w:ascii="Arial" w:hAnsi="Arial" w:cs="Arial"/>
          <w:lang w:val="es-CO"/>
        </w:rPr>
      </w:pPr>
      <w:r w:rsidRPr="00284427">
        <w:rPr>
          <w:rFonts w:ascii="Arial" w:hAnsi="Arial" w:cs="Arial"/>
          <w:noProof/>
        </w:rPr>
        <w:lastRenderedPageBreak/>
        <w:drawing>
          <wp:inline distT="0" distB="0" distL="0" distR="0" wp14:anchorId="00BACFC9" wp14:editId="5052A468">
            <wp:extent cx="3393318" cy="3186167"/>
            <wp:effectExtent l="152400" t="152400" r="360045" b="357505"/>
            <wp:docPr id="218332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32407" name=""/>
                    <pic:cNvPicPr/>
                  </pic:nvPicPr>
                  <pic:blipFill>
                    <a:blip r:embed="rId9"/>
                    <a:stretch>
                      <a:fillRect/>
                    </a:stretch>
                  </pic:blipFill>
                  <pic:spPr>
                    <a:xfrm>
                      <a:off x="0" y="0"/>
                      <a:ext cx="3404848" cy="3196993"/>
                    </a:xfrm>
                    <a:prstGeom prst="rect">
                      <a:avLst/>
                    </a:prstGeom>
                    <a:ln>
                      <a:noFill/>
                    </a:ln>
                    <a:effectLst>
                      <a:outerShdw blurRad="292100" dist="139700" dir="2700000" algn="tl" rotWithShape="0">
                        <a:srgbClr val="333333">
                          <a:alpha val="65000"/>
                        </a:srgbClr>
                      </a:outerShdw>
                    </a:effectLst>
                  </pic:spPr>
                </pic:pic>
              </a:graphicData>
            </a:graphic>
          </wp:inline>
        </w:drawing>
      </w:r>
    </w:p>
    <w:p w14:paraId="0352ED27" w14:textId="6B8E2AA2" w:rsidR="00CE6F86" w:rsidRPr="00284427" w:rsidRDefault="00CE6F86" w:rsidP="00284427">
      <w:pPr>
        <w:spacing w:line="360" w:lineRule="auto"/>
        <w:jc w:val="both"/>
        <w:rPr>
          <w:rFonts w:ascii="Arial" w:hAnsi="Arial" w:cs="Arial"/>
          <w:lang w:val="es-CO"/>
        </w:rPr>
      </w:pPr>
      <w:r w:rsidRPr="00CE6F86">
        <w:rPr>
          <w:rFonts w:ascii="Arial" w:hAnsi="Arial" w:cs="Arial"/>
          <w:lang w:val="es-CO"/>
        </w:rPr>
        <w:t xml:space="preserve">Es evidente, entonces, que se superó con creces el término de seis (6) </w:t>
      </w:r>
      <w:r w:rsidR="00284427" w:rsidRPr="00284427">
        <w:rPr>
          <w:rFonts w:ascii="Arial" w:hAnsi="Arial" w:cs="Arial"/>
          <w:lang w:val="es-CO"/>
        </w:rPr>
        <w:t>meses previstos</w:t>
      </w:r>
      <w:r w:rsidRPr="00CE6F86">
        <w:rPr>
          <w:rFonts w:ascii="Arial" w:hAnsi="Arial" w:cs="Arial"/>
          <w:lang w:val="es-CO"/>
        </w:rPr>
        <w:t xml:space="preserve"> en la norma, lo que produce, de pleno derecho, la ineficacia del llamamiento en garantía.</w:t>
      </w:r>
    </w:p>
    <w:p w14:paraId="6F14B8CF" w14:textId="77777777" w:rsidR="006F387E" w:rsidRDefault="006F387E" w:rsidP="00284427">
      <w:pPr>
        <w:spacing w:line="360" w:lineRule="auto"/>
        <w:jc w:val="both"/>
        <w:rPr>
          <w:rFonts w:ascii="Arial" w:hAnsi="Arial" w:cs="Arial"/>
          <w:lang w:val="es-CO"/>
        </w:rPr>
      </w:pPr>
    </w:p>
    <w:p w14:paraId="769CE79C" w14:textId="25E231DE" w:rsidR="00712C4F" w:rsidRDefault="00712C4F" w:rsidP="00284427">
      <w:pPr>
        <w:spacing w:line="360" w:lineRule="auto"/>
        <w:jc w:val="both"/>
        <w:rPr>
          <w:rFonts w:ascii="Arial" w:hAnsi="Arial" w:cs="Arial"/>
          <w:lang w:val="es-CO"/>
        </w:rPr>
      </w:pPr>
      <w:r>
        <w:rPr>
          <w:rFonts w:ascii="Arial" w:hAnsi="Arial" w:cs="Arial"/>
          <w:lang w:val="es-CO"/>
        </w:rPr>
        <w:t>Cabe mencionar, que dentro del expediente existe una notificación realizada por el asegurado el 22 de julio de 2025, no obstante, tal notificación no puede ser tomada, en ningún caso, como notificación valida, en consideración a que la dicha notificación no cumple con los requisitos legales, al no incluir el escrito de demanda y los anexos de la misma, tal como se evidencia en la constancia de notificación:</w:t>
      </w:r>
    </w:p>
    <w:p w14:paraId="1B70D63F" w14:textId="77777777" w:rsidR="00712C4F" w:rsidRDefault="00712C4F" w:rsidP="00284427">
      <w:pPr>
        <w:spacing w:line="360" w:lineRule="auto"/>
        <w:jc w:val="both"/>
        <w:rPr>
          <w:rFonts w:ascii="Arial" w:hAnsi="Arial" w:cs="Arial"/>
          <w:lang w:val="es-CO"/>
        </w:rPr>
      </w:pPr>
    </w:p>
    <w:p w14:paraId="3F1F5AF1" w14:textId="1AB5E665" w:rsidR="00712C4F" w:rsidRDefault="00712C4F" w:rsidP="00284427">
      <w:pPr>
        <w:spacing w:line="360" w:lineRule="auto"/>
        <w:jc w:val="both"/>
        <w:rPr>
          <w:rFonts w:ascii="Arial" w:hAnsi="Arial" w:cs="Arial"/>
          <w:lang w:val="es-CO"/>
        </w:rPr>
      </w:pPr>
      <w:r w:rsidRPr="00712C4F">
        <w:rPr>
          <w:rFonts w:ascii="Arial" w:hAnsi="Arial" w:cs="Arial"/>
          <w:lang w:val="es-CO"/>
        </w:rPr>
        <w:drawing>
          <wp:inline distT="0" distB="0" distL="0" distR="0" wp14:anchorId="4F547CBE" wp14:editId="6FC4304E">
            <wp:extent cx="6116320" cy="2639060"/>
            <wp:effectExtent l="152400" t="152400" r="360680" b="370840"/>
            <wp:docPr id="13861750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75027" name=""/>
                    <pic:cNvPicPr/>
                  </pic:nvPicPr>
                  <pic:blipFill>
                    <a:blip r:embed="rId10"/>
                    <a:stretch>
                      <a:fillRect/>
                    </a:stretch>
                  </pic:blipFill>
                  <pic:spPr>
                    <a:xfrm>
                      <a:off x="0" y="0"/>
                      <a:ext cx="6116320" cy="2639060"/>
                    </a:xfrm>
                    <a:prstGeom prst="rect">
                      <a:avLst/>
                    </a:prstGeom>
                    <a:ln>
                      <a:noFill/>
                    </a:ln>
                    <a:effectLst>
                      <a:outerShdw blurRad="292100" dist="139700" dir="2700000" algn="tl" rotWithShape="0">
                        <a:srgbClr val="333333">
                          <a:alpha val="65000"/>
                        </a:srgbClr>
                      </a:outerShdw>
                    </a:effectLst>
                  </pic:spPr>
                </pic:pic>
              </a:graphicData>
            </a:graphic>
          </wp:inline>
        </w:drawing>
      </w:r>
    </w:p>
    <w:p w14:paraId="3ADDDAD6" w14:textId="77777777" w:rsidR="00C4603E" w:rsidRDefault="00712C4F" w:rsidP="00C4603E">
      <w:pPr>
        <w:spacing w:line="360" w:lineRule="auto"/>
        <w:jc w:val="both"/>
        <w:rPr>
          <w:rFonts w:ascii="Arial" w:hAnsi="Arial" w:cs="Arial"/>
          <w:b/>
          <w:bCs/>
          <w:lang w:val="es-CO"/>
        </w:rPr>
      </w:pPr>
      <w:r>
        <w:rPr>
          <w:rFonts w:ascii="Arial" w:hAnsi="Arial" w:cs="Arial"/>
          <w:lang w:val="es-CO"/>
        </w:rPr>
        <w:t xml:space="preserve">Lo anterior, contaría lo señalado por el </w:t>
      </w:r>
      <w:r w:rsidR="00C4603E" w:rsidRPr="00C4603E">
        <w:rPr>
          <w:rFonts w:ascii="Arial" w:hAnsi="Arial" w:cs="Arial"/>
          <w:b/>
          <w:bCs/>
          <w:lang w:val="es-CO"/>
        </w:rPr>
        <w:t>Artículo 199</w:t>
      </w:r>
      <w:r w:rsidR="00C4603E">
        <w:rPr>
          <w:rFonts w:ascii="Arial" w:hAnsi="Arial" w:cs="Arial"/>
          <w:b/>
          <w:bCs/>
          <w:lang w:val="es-CO"/>
        </w:rPr>
        <w:t xml:space="preserve"> de CPACA.: </w:t>
      </w:r>
    </w:p>
    <w:p w14:paraId="4B5C471D" w14:textId="77777777" w:rsidR="00C4603E" w:rsidRDefault="00C4603E" w:rsidP="00C4603E">
      <w:pPr>
        <w:spacing w:line="360" w:lineRule="auto"/>
        <w:jc w:val="both"/>
        <w:rPr>
          <w:rFonts w:ascii="Arial" w:hAnsi="Arial" w:cs="Arial"/>
          <w:b/>
          <w:bCs/>
          <w:lang w:val="es-CO"/>
        </w:rPr>
      </w:pPr>
    </w:p>
    <w:p w14:paraId="73A9B1F0" w14:textId="2DD312C1" w:rsidR="00C4603E" w:rsidRPr="00C4603E" w:rsidRDefault="00C4603E" w:rsidP="00C4603E">
      <w:pPr>
        <w:spacing w:line="360" w:lineRule="auto"/>
        <w:ind w:left="708"/>
        <w:jc w:val="both"/>
        <w:rPr>
          <w:rFonts w:ascii="Arial" w:hAnsi="Arial" w:cs="Arial"/>
          <w:b/>
          <w:bCs/>
          <w:i/>
          <w:iCs/>
          <w:lang w:val="es-CO"/>
        </w:rPr>
      </w:pPr>
      <w:r w:rsidRPr="00C4603E">
        <w:rPr>
          <w:rFonts w:ascii="Arial" w:hAnsi="Arial" w:cs="Arial"/>
          <w:b/>
          <w:bCs/>
          <w:i/>
          <w:iCs/>
          <w:lang w:val="es-CO"/>
        </w:rPr>
        <w:lastRenderedPageBreak/>
        <w:t>“</w:t>
      </w:r>
      <w:r w:rsidRPr="00C4603E">
        <w:rPr>
          <w:rFonts w:ascii="Arial" w:hAnsi="Arial" w:cs="Arial"/>
          <w:b/>
          <w:bCs/>
          <w:i/>
          <w:iCs/>
          <w:lang w:val="es-CO"/>
        </w:rPr>
        <w:t>Notificación personal del auto admisorio y del mandamiento de pago a entidades públicas, al ministerio público, a personas privadas que ejerzan funciones públicas y a particulares que deban estar inscritos en el registro mercantil</w:t>
      </w:r>
    </w:p>
    <w:p w14:paraId="501C3A0D" w14:textId="77777777" w:rsidR="00C4603E" w:rsidRPr="00C4603E" w:rsidRDefault="00C4603E" w:rsidP="00C4603E">
      <w:pPr>
        <w:spacing w:line="360" w:lineRule="auto"/>
        <w:ind w:left="708"/>
        <w:jc w:val="both"/>
        <w:rPr>
          <w:rFonts w:ascii="Arial" w:hAnsi="Arial" w:cs="Arial"/>
          <w:i/>
          <w:iCs/>
          <w:lang w:val="es-CO"/>
        </w:rPr>
      </w:pPr>
      <w:r w:rsidRPr="00C4603E">
        <w:rPr>
          <w:rFonts w:ascii="Arial" w:hAnsi="Arial" w:cs="Arial"/>
          <w:i/>
          <w:iCs/>
          <w:lang w:val="es-CO"/>
        </w:rPr>
        <w:t>Notificación personal del auto admisorio y del mandamiento ejecutivo a entidades públicas, al Ministerio Público, a personas privadas que ejerzan funciones públicas y a los particulares. El auto admisorio de la demanda y el mandamiento ejecutivo contra las entidades públicas y las personas privadas que ejerzan funciones públicas, se deben notificar personalmente a sus representantes legales o a quienes estos hayan delegado la facultad de recibir notificaciones, o directamente a las personas naturales, según el caso, y al Ministerio Público, mediante mensaje dirigido al buzón electrónico notificaciones judiciales a que se refiere el artículo 197 de este código. </w:t>
      </w:r>
    </w:p>
    <w:p w14:paraId="65EBD3EB" w14:textId="77777777" w:rsidR="00C4603E" w:rsidRPr="00C4603E" w:rsidRDefault="00C4603E" w:rsidP="00C4603E">
      <w:pPr>
        <w:spacing w:line="360" w:lineRule="auto"/>
        <w:ind w:left="708"/>
        <w:jc w:val="both"/>
        <w:rPr>
          <w:rFonts w:ascii="Arial" w:hAnsi="Arial" w:cs="Arial"/>
          <w:i/>
          <w:iCs/>
          <w:lang w:val="es-CO"/>
        </w:rPr>
      </w:pPr>
      <w:r w:rsidRPr="00C4603E">
        <w:rPr>
          <w:rFonts w:ascii="Arial" w:hAnsi="Arial" w:cs="Arial"/>
          <w:i/>
          <w:iCs/>
          <w:lang w:val="es-CO"/>
        </w:rPr>
        <w:t> </w:t>
      </w:r>
    </w:p>
    <w:p w14:paraId="232DDE5A" w14:textId="77777777" w:rsidR="00C4603E" w:rsidRPr="00C4603E" w:rsidRDefault="00C4603E" w:rsidP="00C4603E">
      <w:pPr>
        <w:spacing w:line="360" w:lineRule="auto"/>
        <w:ind w:left="708"/>
        <w:jc w:val="both"/>
        <w:rPr>
          <w:rFonts w:ascii="Arial" w:hAnsi="Arial" w:cs="Arial"/>
          <w:i/>
          <w:iCs/>
          <w:lang w:val="es-CO"/>
        </w:rPr>
      </w:pPr>
      <w:r w:rsidRPr="00C4603E">
        <w:rPr>
          <w:rFonts w:ascii="Arial" w:hAnsi="Arial" w:cs="Arial"/>
          <w:i/>
          <w:iCs/>
          <w:lang w:val="es-CO"/>
        </w:rPr>
        <w:t>A los particulares se les notificará el auto admisorio de la demanda al canal digital informado en la demanda. Los que estén inscritos en el registro mercantil o demás registros públicos obligatorios creados legalmente para recibir notificaciones judiciales, en el canal indicado en este. </w:t>
      </w:r>
    </w:p>
    <w:p w14:paraId="31B7DF77" w14:textId="77777777" w:rsidR="00C4603E" w:rsidRPr="00C4603E" w:rsidRDefault="00C4603E" w:rsidP="00C4603E">
      <w:pPr>
        <w:spacing w:line="360" w:lineRule="auto"/>
        <w:ind w:left="708"/>
        <w:jc w:val="both"/>
        <w:rPr>
          <w:rFonts w:ascii="Arial" w:hAnsi="Arial" w:cs="Arial"/>
          <w:i/>
          <w:iCs/>
          <w:lang w:val="es-CO"/>
        </w:rPr>
      </w:pPr>
      <w:r w:rsidRPr="00C4603E">
        <w:rPr>
          <w:rFonts w:ascii="Arial" w:hAnsi="Arial" w:cs="Arial"/>
          <w:i/>
          <w:iCs/>
          <w:lang w:val="es-CO"/>
        </w:rPr>
        <w:t> </w:t>
      </w:r>
    </w:p>
    <w:p w14:paraId="7604979E" w14:textId="0837BA32" w:rsidR="00C4603E" w:rsidRPr="00C4603E" w:rsidRDefault="00C4603E" w:rsidP="00C4603E">
      <w:pPr>
        <w:spacing w:line="360" w:lineRule="auto"/>
        <w:ind w:left="708"/>
        <w:jc w:val="both"/>
        <w:rPr>
          <w:rFonts w:ascii="Arial" w:hAnsi="Arial" w:cs="Arial"/>
          <w:i/>
          <w:iCs/>
          <w:lang w:val="es-CO"/>
        </w:rPr>
      </w:pPr>
      <w:r w:rsidRPr="00C4603E">
        <w:rPr>
          <w:rFonts w:ascii="Arial" w:hAnsi="Arial" w:cs="Arial"/>
          <w:i/>
          <w:iCs/>
          <w:lang w:val="es-CO"/>
        </w:rPr>
        <w:t xml:space="preserve">El mensaje deberá identificar la notificación que se realiza y contener copia electrónica de la providencia a notificar. Al Ministerio Público deberá anexársele </w:t>
      </w:r>
      <w:r w:rsidRPr="00C4603E">
        <w:rPr>
          <w:rFonts w:ascii="Arial" w:hAnsi="Arial" w:cs="Arial"/>
          <w:b/>
          <w:bCs/>
          <w:i/>
          <w:iCs/>
          <w:u w:val="single"/>
          <w:lang w:val="es-CO"/>
        </w:rPr>
        <w:t>copia de la demanda y sus anexos.</w:t>
      </w:r>
      <w:r w:rsidRPr="00C4603E">
        <w:rPr>
          <w:rFonts w:ascii="Arial" w:hAnsi="Arial" w:cs="Arial"/>
          <w:i/>
          <w:iCs/>
          <w:lang w:val="es-CO"/>
        </w:rPr>
        <w:t xml:space="preserve"> Se presumirá que el destinatario ha recibido la notificación cua</w:t>
      </w:r>
      <w:r w:rsidRPr="00C4603E">
        <w:rPr>
          <w:rFonts w:ascii="Arial" w:hAnsi="Arial" w:cs="Arial"/>
          <w:i/>
          <w:iCs/>
          <w:lang w:val="es-CO"/>
        </w:rPr>
        <w:t>n</w:t>
      </w:r>
      <w:r w:rsidRPr="00C4603E">
        <w:rPr>
          <w:rFonts w:ascii="Arial" w:hAnsi="Arial" w:cs="Arial"/>
          <w:i/>
          <w:iCs/>
          <w:lang w:val="es-CO"/>
        </w:rPr>
        <w:t xml:space="preserve">do el iniciador </w:t>
      </w:r>
      <w:proofErr w:type="spellStart"/>
      <w:r w:rsidRPr="00C4603E">
        <w:rPr>
          <w:rFonts w:ascii="Arial" w:hAnsi="Arial" w:cs="Arial"/>
          <w:i/>
          <w:iCs/>
          <w:lang w:val="es-CO"/>
        </w:rPr>
        <w:t>recepcione</w:t>
      </w:r>
      <w:proofErr w:type="spellEnd"/>
      <w:r w:rsidRPr="00C4603E">
        <w:rPr>
          <w:rFonts w:ascii="Arial" w:hAnsi="Arial" w:cs="Arial"/>
          <w:i/>
          <w:iCs/>
          <w:lang w:val="es-CO"/>
        </w:rPr>
        <w:t xml:space="preserve"> acuse de recibo o se pueda constatar por otro medio el acceso al mensaje electrónico por parte del destinatario. El secretario hará constar este hecho en el expediente.</w:t>
      </w:r>
      <w:r w:rsidRPr="00C4603E">
        <w:rPr>
          <w:rFonts w:ascii="Arial" w:hAnsi="Arial" w:cs="Arial"/>
          <w:i/>
          <w:iCs/>
          <w:lang w:val="es-CO"/>
        </w:rPr>
        <w:t>”</w:t>
      </w:r>
    </w:p>
    <w:p w14:paraId="7323B956" w14:textId="025F16CE" w:rsidR="00712C4F" w:rsidRDefault="00C4603E" w:rsidP="00284427">
      <w:pPr>
        <w:spacing w:line="360" w:lineRule="auto"/>
        <w:jc w:val="both"/>
        <w:rPr>
          <w:rFonts w:ascii="Arial" w:hAnsi="Arial" w:cs="Arial"/>
          <w:b/>
          <w:bCs/>
          <w:lang w:val="es-CO"/>
        </w:rPr>
      </w:pPr>
      <w:r>
        <w:rPr>
          <w:rFonts w:ascii="Arial" w:hAnsi="Arial" w:cs="Arial"/>
          <w:lang w:val="es-CO"/>
        </w:rPr>
        <w:t xml:space="preserve">Por lo que la única notificación que cumple con los requisitos dados por la ley, corresponde a la realizada por el Juzgado el </w:t>
      </w:r>
      <w:r w:rsidRPr="00CE6F86">
        <w:rPr>
          <w:rFonts w:ascii="Arial" w:hAnsi="Arial" w:cs="Arial"/>
          <w:b/>
          <w:bCs/>
          <w:lang w:val="es-CO"/>
        </w:rPr>
        <w:t>24 de julio de 2023</w:t>
      </w:r>
      <w:r>
        <w:rPr>
          <w:rFonts w:ascii="Arial" w:hAnsi="Arial" w:cs="Arial"/>
          <w:b/>
          <w:bCs/>
          <w:lang w:val="es-CO"/>
        </w:rPr>
        <w:t xml:space="preserve">, </w:t>
      </w:r>
      <w:r>
        <w:rPr>
          <w:rFonts w:ascii="Arial" w:hAnsi="Arial" w:cs="Arial"/>
          <w:lang w:val="es-CO"/>
        </w:rPr>
        <w:t xml:space="preserve">quienes, en respuesta a la indebida notificación realizada por el llamante, el juzgado decidió notificar en debida forma. Por lo que al haberse realizado la debida notificación el </w:t>
      </w:r>
      <w:r w:rsidRPr="00CE6F86">
        <w:rPr>
          <w:rFonts w:ascii="Arial" w:hAnsi="Arial" w:cs="Arial"/>
          <w:b/>
          <w:bCs/>
          <w:lang w:val="es-CO"/>
        </w:rPr>
        <w:t>24 de julio de 2023</w:t>
      </w:r>
      <w:r>
        <w:rPr>
          <w:rFonts w:ascii="Arial" w:hAnsi="Arial" w:cs="Arial"/>
          <w:b/>
          <w:bCs/>
          <w:lang w:val="es-CO"/>
        </w:rPr>
        <w:t xml:space="preserve">, resulta ineficaz el llamamiento en garantía. </w:t>
      </w:r>
    </w:p>
    <w:p w14:paraId="2489093A" w14:textId="77777777" w:rsidR="00C4603E" w:rsidRPr="00C4603E" w:rsidRDefault="00C4603E" w:rsidP="00284427">
      <w:pPr>
        <w:spacing w:line="360" w:lineRule="auto"/>
        <w:jc w:val="both"/>
        <w:rPr>
          <w:rFonts w:ascii="Arial" w:hAnsi="Arial" w:cs="Arial"/>
          <w:lang w:val="es-CO"/>
        </w:rPr>
      </w:pPr>
    </w:p>
    <w:p w14:paraId="56CD5FD1" w14:textId="49651372" w:rsidR="00CE6F86" w:rsidRPr="00284427" w:rsidRDefault="00CE6F86" w:rsidP="00284427">
      <w:pPr>
        <w:spacing w:line="360" w:lineRule="auto"/>
        <w:jc w:val="both"/>
        <w:rPr>
          <w:rFonts w:ascii="Arial" w:hAnsi="Arial" w:cs="Arial"/>
          <w:i/>
          <w:iCs/>
          <w:u w:val="single"/>
          <w:lang w:val="es-CO"/>
        </w:rPr>
      </w:pPr>
      <w:r w:rsidRPr="00CE6F86">
        <w:rPr>
          <w:rFonts w:ascii="Arial" w:hAnsi="Arial" w:cs="Arial"/>
          <w:lang w:val="es-CO"/>
        </w:rPr>
        <w:t>Este criterio ha sido reiteradamente respaldado por la jurisprudencia. En particular, el Consejo de Estado, en la acción de tutela radicada bajo el número 20001-23-33-000-2021-00392-01</w:t>
      </w:r>
      <w:r w:rsidR="00284427" w:rsidRPr="00284427">
        <w:rPr>
          <w:rStyle w:val="Refdenotaalpie"/>
          <w:rFonts w:ascii="Arial" w:hAnsi="Arial" w:cs="Arial"/>
          <w:lang w:val="es-CO"/>
        </w:rPr>
        <w:footnoteReference w:id="2"/>
      </w:r>
      <w:r w:rsidRPr="00CE6F86">
        <w:rPr>
          <w:rFonts w:ascii="Arial" w:hAnsi="Arial" w:cs="Arial"/>
          <w:lang w:val="es-CO"/>
        </w:rPr>
        <w:t>,</w:t>
      </w:r>
      <w:r w:rsidR="006F387E" w:rsidRPr="00284427">
        <w:rPr>
          <w:rFonts w:ascii="Arial" w:hAnsi="Arial" w:cs="Arial"/>
          <w:lang w:val="es-CO"/>
        </w:rPr>
        <w:t xml:space="preserve"> que</w:t>
      </w:r>
      <w:r w:rsidRPr="00CE6F86">
        <w:rPr>
          <w:rFonts w:ascii="Arial" w:hAnsi="Arial" w:cs="Arial"/>
          <w:lang w:val="es-CO"/>
        </w:rPr>
        <w:t xml:space="preserve"> sostuvo que la ineficacia se configura sin importar si la carga de la notificación recae sobre la autoridad judicial o sobre la parte interesada. En palabras del alto tribunal:</w:t>
      </w:r>
      <w:r w:rsidR="00284427" w:rsidRPr="00284427">
        <w:rPr>
          <w:rFonts w:ascii="Arial" w:hAnsi="Arial" w:cs="Arial"/>
          <w:lang w:val="es-CO"/>
        </w:rPr>
        <w:t xml:space="preserve"> </w:t>
      </w:r>
      <w:r w:rsidRPr="00CE6F86">
        <w:rPr>
          <w:rFonts w:ascii="Arial" w:hAnsi="Arial" w:cs="Arial"/>
          <w:i/>
          <w:iCs/>
          <w:u w:val="single"/>
          <w:lang w:val="es-CO"/>
        </w:rPr>
        <w:t>“…habrá lugar a tener por ineficaz el llamamiento en garantía si el mismo no se notifica personalmente dentro de los seis meses siguientes a la ejecutoria del auto que lo admitió, independientemente de quién tuviera esta actuación a su cargo.”</w:t>
      </w:r>
    </w:p>
    <w:p w14:paraId="23A39D5B" w14:textId="77777777" w:rsidR="00284427" w:rsidRPr="00CE6F86" w:rsidRDefault="00284427" w:rsidP="00284427">
      <w:pPr>
        <w:spacing w:line="360" w:lineRule="auto"/>
        <w:jc w:val="both"/>
        <w:rPr>
          <w:rFonts w:ascii="Arial" w:hAnsi="Arial" w:cs="Arial"/>
          <w:lang w:val="es-CO"/>
        </w:rPr>
      </w:pPr>
    </w:p>
    <w:p w14:paraId="4B989DF5" w14:textId="1563FF80" w:rsidR="00CE6F86" w:rsidRPr="00284427" w:rsidRDefault="00CE6F86" w:rsidP="00284427">
      <w:pPr>
        <w:spacing w:line="360" w:lineRule="auto"/>
        <w:jc w:val="both"/>
        <w:rPr>
          <w:rFonts w:ascii="Arial" w:hAnsi="Arial" w:cs="Arial"/>
          <w:lang w:val="es-CO"/>
        </w:rPr>
      </w:pPr>
      <w:r w:rsidRPr="00CE6F86">
        <w:rPr>
          <w:rFonts w:ascii="Arial" w:hAnsi="Arial" w:cs="Arial"/>
          <w:lang w:val="es-CO"/>
        </w:rPr>
        <w:t xml:space="preserve">En el mismo sentido, la Corte Constitucional, mediante Sentencia T-309 de 2022 (M.P. José Fernando Reyes Cuartas), confirmó que la falta de notificación dentro del plazo legal genera la </w:t>
      </w:r>
      <w:r w:rsidRPr="00CE6F86">
        <w:rPr>
          <w:rFonts w:ascii="Arial" w:hAnsi="Arial" w:cs="Arial"/>
          <w:lang w:val="es-CO"/>
        </w:rPr>
        <w:lastRenderedPageBreak/>
        <w:t>ineficacia del llamamiento, y que esta consecuencia opera con independencia del sujeto encargado de surtirla:</w:t>
      </w:r>
      <w:r w:rsidR="00284427" w:rsidRPr="00284427">
        <w:rPr>
          <w:rFonts w:ascii="Arial" w:hAnsi="Arial" w:cs="Arial"/>
          <w:lang w:val="es-CO"/>
        </w:rPr>
        <w:t xml:space="preserve"> </w:t>
      </w:r>
      <w:r w:rsidRPr="00CE6F86">
        <w:rPr>
          <w:rFonts w:ascii="Arial" w:hAnsi="Arial" w:cs="Arial"/>
          <w:i/>
          <w:iCs/>
          <w:u w:val="single"/>
          <w:lang w:val="es-CO"/>
        </w:rPr>
        <w:t>“…el llamado no estará obligado a comparecer al proceso cuando la notificación personal que debía recibir es inoportuna.”</w:t>
      </w:r>
      <w:r w:rsidR="00284427" w:rsidRPr="00284427">
        <w:rPr>
          <w:rFonts w:ascii="Arial" w:hAnsi="Arial" w:cs="Arial"/>
          <w:i/>
          <w:iCs/>
          <w:lang w:val="es-CO"/>
        </w:rPr>
        <w:t xml:space="preserve"> </w:t>
      </w:r>
      <w:r w:rsidRPr="00CE6F86">
        <w:rPr>
          <w:rFonts w:ascii="Arial" w:hAnsi="Arial" w:cs="Arial"/>
          <w:lang w:val="es-CO"/>
        </w:rPr>
        <w:t>Incluso, dicha providencia dispuso compulsar copias ante la Comisión Nacional de Disciplina Judicial para que se investigara la actuación del juzgado que omitió la notificación oportuna.</w:t>
      </w:r>
    </w:p>
    <w:p w14:paraId="0893DC2F" w14:textId="77777777" w:rsidR="00284427" w:rsidRPr="00CE6F86" w:rsidRDefault="00284427" w:rsidP="00284427">
      <w:pPr>
        <w:spacing w:line="360" w:lineRule="auto"/>
        <w:jc w:val="both"/>
        <w:rPr>
          <w:rFonts w:ascii="Arial" w:hAnsi="Arial" w:cs="Arial"/>
          <w:lang w:val="es-CO"/>
        </w:rPr>
      </w:pPr>
    </w:p>
    <w:p w14:paraId="4FA1EF6B" w14:textId="48C9515E" w:rsidR="00CE6F86" w:rsidRPr="00CE6F86" w:rsidRDefault="00284427" w:rsidP="00284427">
      <w:pPr>
        <w:spacing w:line="360" w:lineRule="auto"/>
        <w:jc w:val="both"/>
        <w:rPr>
          <w:rFonts w:ascii="Arial" w:hAnsi="Arial" w:cs="Arial"/>
          <w:lang w:val="es-CO"/>
        </w:rPr>
      </w:pPr>
      <w:r w:rsidRPr="00284427">
        <w:rPr>
          <w:rFonts w:ascii="Arial" w:hAnsi="Arial" w:cs="Arial"/>
          <w:lang w:val="es-CO"/>
        </w:rPr>
        <w:t xml:space="preserve">Considerando lo expuesto, </w:t>
      </w:r>
      <w:r w:rsidR="00CE6F86" w:rsidRPr="00CE6F86">
        <w:rPr>
          <w:rFonts w:ascii="Arial" w:hAnsi="Arial" w:cs="Arial"/>
          <w:lang w:val="es-CO"/>
        </w:rPr>
        <w:t xml:space="preserve">se solicita </w:t>
      </w:r>
      <w:r w:rsidRPr="00284427">
        <w:rPr>
          <w:rFonts w:ascii="Arial" w:hAnsi="Arial" w:cs="Arial"/>
          <w:lang w:val="es-CO"/>
        </w:rPr>
        <w:t xml:space="preserve">al despacho, para que, al momento de proferir sentencia de primera instancia, </w:t>
      </w:r>
      <w:r w:rsidR="00CE6F86" w:rsidRPr="00CE6F86">
        <w:rPr>
          <w:rFonts w:ascii="Arial" w:hAnsi="Arial" w:cs="Arial"/>
          <w:lang w:val="es-CO"/>
        </w:rPr>
        <w:t>declare la improcedencia del llamamiento en garantía formulado contra Mapfre Seguros Generales de Colombia S.A., al haberse configurado su ineficacia por extemporaneidad en la notificación, conforme al artículo 66 del CGP y a la jurisprudencia constitucional y contencioso-administrativa citada.</w:t>
      </w:r>
    </w:p>
    <w:p w14:paraId="76644FDD" w14:textId="77777777" w:rsidR="0004147F" w:rsidRDefault="0004147F" w:rsidP="00BD7F61">
      <w:pPr>
        <w:spacing w:line="360" w:lineRule="auto"/>
        <w:jc w:val="center"/>
        <w:rPr>
          <w:rFonts w:ascii="Arial" w:hAnsi="Arial" w:cs="Arial"/>
        </w:rPr>
      </w:pPr>
    </w:p>
    <w:p w14:paraId="526CAD1B" w14:textId="77777777" w:rsidR="00A10183" w:rsidRPr="00BD7F61" w:rsidRDefault="00A10183" w:rsidP="00BD7F61">
      <w:pPr>
        <w:spacing w:line="360" w:lineRule="auto"/>
        <w:jc w:val="center"/>
        <w:rPr>
          <w:rFonts w:ascii="Arial" w:hAnsi="Arial" w:cs="Arial"/>
        </w:rPr>
      </w:pPr>
    </w:p>
    <w:p w14:paraId="712C91DD" w14:textId="3777B0DC" w:rsidR="004D36C3" w:rsidRDefault="0004147F" w:rsidP="00BD7F61">
      <w:pPr>
        <w:pStyle w:val="Prrafodelista"/>
        <w:numPr>
          <w:ilvl w:val="0"/>
          <w:numId w:val="19"/>
        </w:numPr>
        <w:spacing w:line="360" w:lineRule="auto"/>
        <w:jc w:val="center"/>
        <w:rPr>
          <w:rFonts w:ascii="Arial" w:hAnsi="Arial" w:cs="Arial"/>
          <w:b/>
          <w:bCs/>
          <w:u w:val="single"/>
          <w:lang w:val="es-CO"/>
        </w:rPr>
      </w:pPr>
      <w:r w:rsidRPr="00BD7F61">
        <w:rPr>
          <w:rFonts w:ascii="Arial" w:hAnsi="Arial" w:cs="Arial"/>
          <w:b/>
          <w:bCs/>
          <w:u w:val="single"/>
          <w:lang w:val="es-CO"/>
        </w:rPr>
        <w:t>ALEGATOS</w:t>
      </w:r>
      <w:r w:rsidR="0013615F" w:rsidRPr="00BD7F61">
        <w:rPr>
          <w:rFonts w:ascii="Arial" w:hAnsi="Arial" w:cs="Arial"/>
          <w:b/>
          <w:bCs/>
          <w:u w:val="single"/>
          <w:lang w:val="es-CO"/>
        </w:rPr>
        <w:t xml:space="preserve"> DE MERITO</w:t>
      </w:r>
      <w:r w:rsidRPr="00BD7F61">
        <w:rPr>
          <w:rFonts w:ascii="Arial" w:hAnsi="Arial" w:cs="Arial"/>
          <w:b/>
          <w:bCs/>
          <w:u w:val="single"/>
          <w:lang w:val="es-CO"/>
        </w:rPr>
        <w:t xml:space="preserve"> FRENTE</w:t>
      </w:r>
      <w:r w:rsidR="0013615F" w:rsidRPr="00BD7F61">
        <w:rPr>
          <w:rFonts w:ascii="Arial" w:hAnsi="Arial" w:cs="Arial"/>
          <w:b/>
          <w:bCs/>
          <w:u w:val="single"/>
          <w:lang w:val="es-CO"/>
        </w:rPr>
        <w:t xml:space="preserve"> A LO PROBADO EN LA DEMANDA</w:t>
      </w:r>
    </w:p>
    <w:p w14:paraId="003BC61D" w14:textId="77777777" w:rsidR="00A10183" w:rsidRPr="00BD7F61" w:rsidRDefault="00A10183" w:rsidP="00A10183">
      <w:pPr>
        <w:pStyle w:val="Prrafodelista"/>
        <w:spacing w:line="360" w:lineRule="auto"/>
        <w:ind w:left="1080"/>
        <w:rPr>
          <w:rFonts w:ascii="Arial" w:hAnsi="Arial" w:cs="Arial"/>
          <w:b/>
          <w:bCs/>
          <w:u w:val="single"/>
          <w:lang w:val="es-CO"/>
        </w:rPr>
      </w:pPr>
    </w:p>
    <w:p w14:paraId="5C402CC3" w14:textId="77777777" w:rsidR="00322482" w:rsidRDefault="00322482" w:rsidP="00BD7F61">
      <w:pPr>
        <w:widowControl/>
        <w:adjustRightInd w:val="0"/>
        <w:rPr>
          <w:rFonts w:ascii="Arial" w:eastAsiaTheme="minorHAnsi" w:hAnsi="Arial" w:cs="Arial"/>
          <w:b/>
          <w:bCs/>
          <w:color w:val="000000"/>
          <w:lang w:val="es-CO"/>
        </w:rPr>
      </w:pPr>
    </w:p>
    <w:p w14:paraId="50B7A4E0" w14:textId="21C04134" w:rsidR="00431C77" w:rsidRDefault="00431C77" w:rsidP="00712C4F">
      <w:pPr>
        <w:pStyle w:val="Prrafodelista"/>
        <w:widowControl/>
        <w:numPr>
          <w:ilvl w:val="0"/>
          <w:numId w:val="41"/>
        </w:numPr>
        <w:adjustRightInd w:val="0"/>
        <w:jc w:val="both"/>
        <w:rPr>
          <w:rFonts w:ascii="Arial" w:eastAsiaTheme="minorHAnsi" w:hAnsi="Arial" w:cs="Arial"/>
          <w:b/>
          <w:bCs/>
          <w:color w:val="000000"/>
          <w:lang w:val="es-CO"/>
        </w:rPr>
      </w:pPr>
      <w:r>
        <w:rPr>
          <w:rFonts w:ascii="Arial" w:eastAsiaTheme="minorHAnsi" w:hAnsi="Arial" w:cs="Arial"/>
          <w:b/>
          <w:bCs/>
          <w:color w:val="000000"/>
          <w:lang w:val="es-CO"/>
        </w:rPr>
        <w:t xml:space="preserve">SE PROBÓ LA FALTA DE LEGITIMACIÓN EN LA CAUSA POR </w:t>
      </w:r>
      <w:r w:rsidR="00716200">
        <w:rPr>
          <w:rFonts w:ascii="Arial" w:eastAsiaTheme="minorHAnsi" w:hAnsi="Arial" w:cs="Arial"/>
          <w:b/>
          <w:bCs/>
          <w:color w:val="000000"/>
          <w:lang w:val="es-CO"/>
        </w:rPr>
        <w:t>P</w:t>
      </w:r>
      <w:r>
        <w:rPr>
          <w:rFonts w:ascii="Arial" w:eastAsiaTheme="minorHAnsi" w:hAnsi="Arial" w:cs="Arial"/>
          <w:b/>
          <w:bCs/>
          <w:color w:val="000000"/>
          <w:lang w:val="es-CO"/>
        </w:rPr>
        <w:t xml:space="preserve">ASIVA DEL </w:t>
      </w:r>
      <w:bookmarkStart w:id="2" w:name="_Hlk202458519"/>
      <w:r>
        <w:rPr>
          <w:rFonts w:ascii="Arial" w:eastAsiaTheme="minorHAnsi" w:hAnsi="Arial" w:cs="Arial"/>
          <w:b/>
          <w:bCs/>
          <w:color w:val="000000"/>
          <w:lang w:val="es-CO"/>
        </w:rPr>
        <w:t>INSTITUTO NACIONAL DE VÍAS (INVIAS)</w:t>
      </w:r>
      <w:r w:rsidR="00A10183">
        <w:rPr>
          <w:rFonts w:ascii="Arial" w:eastAsiaTheme="minorHAnsi" w:hAnsi="Arial" w:cs="Arial"/>
          <w:b/>
          <w:bCs/>
          <w:color w:val="000000"/>
          <w:lang w:val="es-CO"/>
        </w:rPr>
        <w:t>.</w:t>
      </w:r>
      <w:bookmarkEnd w:id="2"/>
    </w:p>
    <w:p w14:paraId="6EA60023" w14:textId="77777777" w:rsidR="00431C77" w:rsidRDefault="00431C77" w:rsidP="00431C77">
      <w:pPr>
        <w:widowControl/>
        <w:adjustRightInd w:val="0"/>
        <w:rPr>
          <w:rFonts w:ascii="Arial" w:eastAsiaTheme="minorHAnsi" w:hAnsi="Arial" w:cs="Arial"/>
          <w:b/>
          <w:bCs/>
          <w:color w:val="000000"/>
          <w:lang w:val="es-CO"/>
        </w:rPr>
      </w:pPr>
    </w:p>
    <w:p w14:paraId="46563BC4" w14:textId="066AC8E5" w:rsidR="00431C77" w:rsidRPr="00CA25F7" w:rsidRDefault="00CA25F7" w:rsidP="00431C77">
      <w:pPr>
        <w:widowControl/>
        <w:adjustRightInd w:val="0"/>
        <w:spacing w:line="360" w:lineRule="auto"/>
        <w:jc w:val="both"/>
        <w:rPr>
          <w:rFonts w:ascii="Arial" w:eastAsiaTheme="minorHAnsi" w:hAnsi="Arial" w:cs="Arial"/>
          <w:color w:val="000000"/>
          <w:lang w:val="es-CO"/>
        </w:rPr>
      </w:pPr>
      <w:r w:rsidRPr="00CA25F7">
        <w:rPr>
          <w:rFonts w:ascii="Arial" w:hAnsi="Arial" w:cs="Arial"/>
          <w:lang w:val="es-CO"/>
        </w:rPr>
        <w:t>Como se expuso de manera precisa en la contestación de la demanda y se demostró a lo largo del proceso</w:t>
      </w:r>
      <w:r w:rsidR="00431C77" w:rsidRPr="00431C77">
        <w:rPr>
          <w:rFonts w:ascii="Arial" w:eastAsiaTheme="minorHAnsi" w:hAnsi="Arial" w:cs="Arial"/>
          <w:color w:val="000000"/>
          <w:lang w:val="es-CO"/>
        </w:rPr>
        <w:t>, el Instituto Nacional de Vías – INVIAS carece de legitimación en la causa por pasiva, pues no ostenta ninguna competencia ni obligación legal relacionada con los hechos que dieron lugar al daño alegado por la parte demandante.</w:t>
      </w:r>
    </w:p>
    <w:p w14:paraId="3BB14B19" w14:textId="77777777" w:rsidR="00CA25F7" w:rsidRPr="00431C77" w:rsidRDefault="00CA25F7" w:rsidP="00431C77">
      <w:pPr>
        <w:widowControl/>
        <w:adjustRightInd w:val="0"/>
        <w:spacing w:line="360" w:lineRule="auto"/>
        <w:jc w:val="both"/>
        <w:rPr>
          <w:rFonts w:ascii="Arial" w:eastAsiaTheme="minorHAnsi" w:hAnsi="Arial" w:cs="Arial"/>
          <w:color w:val="000000"/>
          <w:lang w:val="es-CO"/>
        </w:rPr>
      </w:pPr>
    </w:p>
    <w:p w14:paraId="3CC7097D" w14:textId="77777777" w:rsidR="00CA25F7" w:rsidRDefault="00431C77" w:rsidP="00431C77">
      <w:pPr>
        <w:widowControl/>
        <w:adjustRightInd w:val="0"/>
        <w:spacing w:line="360" w:lineRule="auto"/>
        <w:jc w:val="both"/>
        <w:rPr>
          <w:rFonts w:ascii="Arial" w:eastAsiaTheme="minorHAnsi" w:hAnsi="Arial" w:cs="Arial"/>
          <w:color w:val="000000"/>
          <w:lang w:val="es-CO"/>
        </w:rPr>
      </w:pPr>
      <w:r w:rsidRPr="00431C77">
        <w:rPr>
          <w:rFonts w:ascii="Arial" w:eastAsiaTheme="minorHAnsi" w:hAnsi="Arial" w:cs="Arial"/>
          <w:color w:val="000000"/>
          <w:lang w:val="es-CO"/>
        </w:rPr>
        <w:t xml:space="preserve">Según lo expuesto en la demanda, la muerte del señor </w:t>
      </w:r>
      <w:r w:rsidR="00CA25F7" w:rsidRPr="00431C77">
        <w:rPr>
          <w:rFonts w:ascii="Arial" w:eastAsiaTheme="minorHAnsi" w:hAnsi="Arial" w:cs="Arial"/>
          <w:color w:val="000000"/>
          <w:lang w:val="es-CO"/>
        </w:rPr>
        <w:t xml:space="preserve">JORGE ENRIQUE BENÍTEZ DÍAZ (Q.E.P.D.) </w:t>
      </w:r>
      <w:r w:rsidRPr="00431C77">
        <w:rPr>
          <w:rFonts w:ascii="Arial" w:eastAsiaTheme="minorHAnsi" w:hAnsi="Arial" w:cs="Arial"/>
          <w:color w:val="000000"/>
          <w:lang w:val="es-CO"/>
        </w:rPr>
        <w:t>ocurrió como consecuencia de un accidente de tránsito en la vía Cali-Andalucía, kilómetro 102+208, a la altura del sector conocido como “parador de las gelatinas”, cuando la motocicleta que conducía fue colisionada por un vehículo tipo camión no identificado. La parte actora atribuye responsabilidad a las entidades demandadas por la presunta falta de iluminación en el lugar de los hechos.</w:t>
      </w:r>
      <w:r w:rsidR="00CA25F7">
        <w:rPr>
          <w:rFonts w:ascii="Arial" w:eastAsiaTheme="minorHAnsi" w:hAnsi="Arial" w:cs="Arial"/>
          <w:color w:val="000000"/>
          <w:lang w:val="es-CO"/>
        </w:rPr>
        <w:t xml:space="preserve"> </w:t>
      </w:r>
      <w:r w:rsidRPr="00431C77">
        <w:rPr>
          <w:rFonts w:ascii="Arial" w:eastAsiaTheme="minorHAnsi" w:hAnsi="Arial" w:cs="Arial"/>
          <w:color w:val="000000"/>
          <w:lang w:val="es-CO"/>
        </w:rPr>
        <w:t xml:space="preserve">No obstante, la imputación fáctica que se hace al INVIAS carece de sustento, por cuanto el Instituto no es responsable de garantizar la iluminación de las vías nacionales, como erradamente lo asume la parte actora. </w:t>
      </w:r>
    </w:p>
    <w:p w14:paraId="06DAB7F3" w14:textId="77777777" w:rsidR="00CA25F7" w:rsidRDefault="00CA25F7" w:rsidP="00431C77">
      <w:pPr>
        <w:widowControl/>
        <w:adjustRightInd w:val="0"/>
        <w:spacing w:line="360" w:lineRule="auto"/>
        <w:jc w:val="both"/>
        <w:rPr>
          <w:rFonts w:ascii="Arial" w:eastAsiaTheme="minorHAnsi" w:hAnsi="Arial" w:cs="Arial"/>
          <w:color w:val="000000"/>
          <w:lang w:val="es-CO"/>
        </w:rPr>
      </w:pPr>
    </w:p>
    <w:p w14:paraId="27DC0BA0" w14:textId="3AC35DE3" w:rsidR="00431C77" w:rsidRDefault="00431C77" w:rsidP="00431C77">
      <w:pPr>
        <w:widowControl/>
        <w:adjustRightInd w:val="0"/>
        <w:spacing w:line="360" w:lineRule="auto"/>
        <w:jc w:val="both"/>
        <w:rPr>
          <w:rFonts w:ascii="Arial" w:eastAsiaTheme="minorHAnsi" w:hAnsi="Arial" w:cs="Arial"/>
          <w:color w:val="000000"/>
          <w:lang w:val="es-CO"/>
        </w:rPr>
      </w:pPr>
      <w:r w:rsidRPr="00431C77">
        <w:rPr>
          <w:rFonts w:ascii="Arial" w:eastAsiaTheme="minorHAnsi" w:hAnsi="Arial" w:cs="Arial"/>
          <w:color w:val="000000"/>
          <w:lang w:val="es-CO"/>
        </w:rPr>
        <w:t>La competencia para la prestación del servicio de alumbrado público</w:t>
      </w:r>
      <w:r w:rsidR="00CA25F7" w:rsidRPr="00CA25F7">
        <w:rPr>
          <w:rFonts w:ascii="Arial" w:eastAsiaTheme="minorHAnsi" w:hAnsi="Arial" w:cs="Arial"/>
          <w:color w:val="000000"/>
          <w:lang w:val="es-CO"/>
        </w:rPr>
        <w:t xml:space="preserve">, </w:t>
      </w:r>
      <w:r w:rsidRPr="00431C77">
        <w:rPr>
          <w:rFonts w:ascii="Arial" w:eastAsiaTheme="minorHAnsi" w:hAnsi="Arial" w:cs="Arial"/>
          <w:color w:val="000000"/>
          <w:lang w:val="es-CO"/>
        </w:rPr>
        <w:t>incluido el mantenimiento del sistema de iluminación artificial en zonas rurales o urbanas</w:t>
      </w:r>
      <w:r w:rsidR="00CA25F7" w:rsidRPr="00CA25F7">
        <w:rPr>
          <w:rFonts w:ascii="Arial" w:eastAsiaTheme="minorHAnsi" w:hAnsi="Arial" w:cs="Arial"/>
          <w:color w:val="000000"/>
          <w:lang w:val="es-CO"/>
        </w:rPr>
        <w:t>,</w:t>
      </w:r>
      <w:r w:rsidRPr="00431C77">
        <w:rPr>
          <w:rFonts w:ascii="Arial" w:eastAsiaTheme="minorHAnsi" w:hAnsi="Arial" w:cs="Arial"/>
          <w:color w:val="000000"/>
          <w:lang w:val="es-CO"/>
        </w:rPr>
        <w:t xml:space="preserve"> recae de forma exclusiva sobre los municipios y distritos, conforme lo establecen los artículos 2.2.3.1.2 y 2.2.3.6.1.2 del Decreto 1073 de 2015 (Decreto Único Reglamentario del Sector Administrativo de Minas y Energía). Esta normativa define el alumbrado público como un servicio público no domiciliario inherente al servicio de energía eléctrica, cuya finalidad es proporcionar visibilidad en el espacio público para permitir el tránsito seguro.</w:t>
      </w:r>
    </w:p>
    <w:p w14:paraId="32D824BB" w14:textId="77777777" w:rsidR="00CA25F7" w:rsidRDefault="00CA25F7" w:rsidP="00431C77">
      <w:pPr>
        <w:widowControl/>
        <w:adjustRightInd w:val="0"/>
        <w:spacing w:line="360" w:lineRule="auto"/>
        <w:jc w:val="both"/>
        <w:rPr>
          <w:rFonts w:ascii="Arial" w:eastAsiaTheme="minorHAnsi" w:hAnsi="Arial" w:cs="Arial"/>
          <w:color w:val="000000"/>
          <w:lang w:val="es-CO"/>
        </w:rPr>
      </w:pPr>
    </w:p>
    <w:p w14:paraId="3FB6B9A3" w14:textId="2E362D58" w:rsidR="00431C77" w:rsidRDefault="00CA25F7" w:rsidP="00431C77">
      <w:pPr>
        <w:widowControl/>
        <w:adjustRightInd w:val="0"/>
        <w:spacing w:line="360" w:lineRule="auto"/>
        <w:jc w:val="both"/>
        <w:rPr>
          <w:rFonts w:ascii="Arial" w:eastAsiaTheme="minorHAnsi" w:hAnsi="Arial" w:cs="Arial"/>
          <w:color w:val="000000"/>
          <w:lang w:val="es-CO"/>
        </w:rPr>
      </w:pPr>
      <w:r>
        <w:rPr>
          <w:rFonts w:ascii="Arial" w:eastAsiaTheme="minorHAnsi" w:hAnsi="Arial" w:cs="Arial"/>
          <w:color w:val="000000"/>
          <w:lang w:val="es-CO"/>
        </w:rPr>
        <w:lastRenderedPageBreak/>
        <w:t xml:space="preserve">Aunado a ello, </w:t>
      </w:r>
      <w:r w:rsidR="00431C77" w:rsidRPr="00431C77">
        <w:rPr>
          <w:rFonts w:ascii="Arial" w:eastAsiaTheme="minorHAnsi" w:hAnsi="Arial" w:cs="Arial"/>
          <w:color w:val="000000"/>
          <w:lang w:val="es-CO"/>
        </w:rPr>
        <w:t>el artículo 68 de la Ley 1682 de 2013 autoriza expresamente a los municipios y distritos a proveer infraestructura adicional o alumbrado público en corredores viales nacionales o departamentales que atraviesen su territorio, incluso si no están a su cargo, siempre que medie la autorización de la entidad titular del corredor vial. En consecuencia, el deber de mantener iluminado el tramo donde ocurrió el accidente corresponde al Municipio de Andalucía, dentro de cuyo perímetro rural se ubica el lugar de los hechos.</w:t>
      </w:r>
    </w:p>
    <w:p w14:paraId="2C408ACB" w14:textId="77777777" w:rsidR="00CA25F7" w:rsidRPr="00431C77" w:rsidRDefault="00CA25F7" w:rsidP="00431C77">
      <w:pPr>
        <w:widowControl/>
        <w:adjustRightInd w:val="0"/>
        <w:spacing w:line="360" w:lineRule="auto"/>
        <w:jc w:val="both"/>
        <w:rPr>
          <w:rFonts w:ascii="Arial" w:eastAsiaTheme="minorHAnsi" w:hAnsi="Arial" w:cs="Arial"/>
          <w:color w:val="000000"/>
          <w:lang w:val="es-CO"/>
        </w:rPr>
      </w:pPr>
    </w:p>
    <w:p w14:paraId="5FFC8B1D" w14:textId="00AD466C" w:rsidR="00431C77" w:rsidRPr="003118DB" w:rsidRDefault="00CA25F7" w:rsidP="00431C77">
      <w:pPr>
        <w:widowControl/>
        <w:adjustRightInd w:val="0"/>
        <w:spacing w:line="360" w:lineRule="auto"/>
        <w:jc w:val="both"/>
        <w:rPr>
          <w:rFonts w:ascii="Arial" w:eastAsiaTheme="minorHAnsi" w:hAnsi="Arial" w:cs="Arial"/>
          <w:color w:val="000000"/>
          <w:lang w:val="es-CO"/>
        </w:rPr>
      </w:pPr>
      <w:r w:rsidRPr="003118DB">
        <w:rPr>
          <w:rFonts w:ascii="Arial" w:eastAsiaTheme="minorHAnsi" w:hAnsi="Arial" w:cs="Arial"/>
          <w:color w:val="000000"/>
          <w:lang w:val="es-CO"/>
        </w:rPr>
        <w:t>En este punto me es dable precisar, s</w:t>
      </w:r>
      <w:r w:rsidR="00431C77" w:rsidRPr="00431C77">
        <w:rPr>
          <w:rFonts w:ascii="Arial" w:eastAsiaTheme="minorHAnsi" w:hAnsi="Arial" w:cs="Arial"/>
          <w:color w:val="000000"/>
          <w:lang w:val="es-CO"/>
        </w:rPr>
        <w:t>obre la noción de legitimación en la causa, el Consejo de Estado ha señalado que esta constituye un presupuesto esencial para la prosperidad de las pretensiones. En el extremo pasivo, supone que el demandado debe tener una vinculación sustancial con el hecho generador del daño. No se trata de identificar al titular del derecho sustancial, sino a la persona que, materialmente, puede ser llamada a responder en juicio en virtud de su participación real en el hecho u omisión generadora del daño.</w:t>
      </w:r>
    </w:p>
    <w:p w14:paraId="6D9E5FC5" w14:textId="77777777" w:rsidR="00CA25F7" w:rsidRPr="00431C77" w:rsidRDefault="00CA25F7" w:rsidP="00431C77">
      <w:pPr>
        <w:widowControl/>
        <w:adjustRightInd w:val="0"/>
        <w:spacing w:line="360" w:lineRule="auto"/>
        <w:jc w:val="both"/>
        <w:rPr>
          <w:rFonts w:ascii="Arial" w:eastAsiaTheme="minorHAnsi" w:hAnsi="Arial" w:cs="Arial"/>
          <w:color w:val="000000"/>
          <w:lang w:val="es-CO"/>
        </w:rPr>
      </w:pPr>
    </w:p>
    <w:p w14:paraId="757B90C7" w14:textId="37FA9CAF" w:rsidR="00431C77" w:rsidRPr="003118DB" w:rsidRDefault="00431C77" w:rsidP="00431C77">
      <w:pPr>
        <w:widowControl/>
        <w:adjustRightInd w:val="0"/>
        <w:spacing w:line="360" w:lineRule="auto"/>
        <w:jc w:val="both"/>
        <w:rPr>
          <w:rFonts w:ascii="Arial" w:eastAsiaTheme="minorHAnsi" w:hAnsi="Arial" w:cs="Arial"/>
          <w:color w:val="000000"/>
          <w:lang w:val="es-CO"/>
        </w:rPr>
      </w:pPr>
      <w:r w:rsidRPr="00431C77">
        <w:rPr>
          <w:rFonts w:ascii="Arial" w:eastAsiaTheme="minorHAnsi" w:hAnsi="Arial" w:cs="Arial"/>
          <w:color w:val="000000"/>
          <w:lang w:val="es-CO"/>
        </w:rPr>
        <w:t>En el caso que nos ocupa, INVIAS no tuvo participación directa ni indirecta en los hechos que rodean el accidente, ni ostenta competencia alguna sobre el servicio de alumbrado público en ese tramo de la vía. Por tanto, no puede válidamente ser considerado como sujeto pasivo dentro de esta relación jurídico-procesal.</w:t>
      </w:r>
      <w:r w:rsidR="00CA25F7" w:rsidRPr="003118DB">
        <w:rPr>
          <w:rFonts w:ascii="Arial" w:eastAsiaTheme="minorHAnsi" w:hAnsi="Arial" w:cs="Arial"/>
          <w:color w:val="000000"/>
          <w:lang w:val="es-CO"/>
        </w:rPr>
        <w:t xml:space="preserve"> </w:t>
      </w:r>
      <w:r w:rsidRPr="00431C77">
        <w:rPr>
          <w:rFonts w:ascii="Arial" w:eastAsiaTheme="minorHAnsi" w:hAnsi="Arial" w:cs="Arial"/>
          <w:color w:val="000000"/>
          <w:lang w:val="es-CO"/>
        </w:rPr>
        <w:t>Adicionalmente, se debe resaltar que la vía Cali–Andalucía, en el tramo específico donde ocurrió el accidente, no se encuentra a cargo del INVIAS. Así lo demuestra el Convenio Interadministrativo No. 583 de 1992, suscrito entre el INVIAS y el Departamento del Valle del Cauca, mediante el cual este último asumió por su cuenta y riesgo la construcción, mantenimiento, explotación y operación de la carretera Cali–Cartago entre las abscisas K67+100 y K128+100, tramo que incluye el sitio exacto del accidente (KM 102+208).</w:t>
      </w:r>
      <w:r w:rsidR="00CA25F7" w:rsidRPr="003118DB">
        <w:rPr>
          <w:rFonts w:ascii="Arial" w:eastAsiaTheme="minorHAnsi" w:hAnsi="Arial" w:cs="Arial"/>
          <w:color w:val="000000"/>
          <w:lang w:val="es-CO"/>
        </w:rPr>
        <w:t xml:space="preserve"> </w:t>
      </w:r>
      <w:r w:rsidRPr="00431C77">
        <w:rPr>
          <w:rFonts w:ascii="Arial" w:eastAsiaTheme="minorHAnsi" w:hAnsi="Arial" w:cs="Arial"/>
          <w:color w:val="000000"/>
          <w:lang w:val="es-CO"/>
        </w:rPr>
        <w:t>Dicho convenio, aportado como prueba con el escrito de contestación a la demanda, estaba vigente para la época de los hechos, lo que implica que el Departamento del Valle del Cauca era el único ente competente para la conservación y mantenimiento de esa sección vial</w:t>
      </w:r>
      <w:r w:rsidR="00CA25F7" w:rsidRPr="003118DB">
        <w:rPr>
          <w:rFonts w:ascii="Arial" w:eastAsiaTheme="minorHAnsi" w:hAnsi="Arial" w:cs="Arial"/>
          <w:color w:val="000000"/>
          <w:lang w:val="es-CO"/>
        </w:rPr>
        <w:t xml:space="preserve">. </w:t>
      </w:r>
    </w:p>
    <w:p w14:paraId="25DC8075" w14:textId="77777777" w:rsidR="00CA25F7" w:rsidRPr="003118DB" w:rsidRDefault="00CA25F7" w:rsidP="00431C77">
      <w:pPr>
        <w:widowControl/>
        <w:adjustRightInd w:val="0"/>
        <w:spacing w:line="360" w:lineRule="auto"/>
        <w:jc w:val="both"/>
        <w:rPr>
          <w:rFonts w:ascii="Arial" w:eastAsiaTheme="minorHAnsi" w:hAnsi="Arial" w:cs="Arial"/>
          <w:color w:val="000000"/>
          <w:lang w:val="es-CO"/>
        </w:rPr>
      </w:pPr>
    </w:p>
    <w:p w14:paraId="20D1E5DB" w14:textId="646D1E41" w:rsidR="00CA25F7" w:rsidRPr="00431C77" w:rsidRDefault="00CA25F7" w:rsidP="00431C77">
      <w:pPr>
        <w:widowControl/>
        <w:adjustRightInd w:val="0"/>
        <w:spacing w:line="360" w:lineRule="auto"/>
        <w:jc w:val="both"/>
        <w:rPr>
          <w:rFonts w:ascii="Arial" w:eastAsiaTheme="minorHAnsi" w:hAnsi="Arial" w:cs="Arial"/>
          <w:color w:val="000000"/>
          <w:lang w:val="es-CO"/>
        </w:rPr>
      </w:pPr>
      <w:r w:rsidRPr="003118DB">
        <w:rPr>
          <w:rFonts w:ascii="Arial" w:eastAsiaTheme="minorHAnsi" w:hAnsi="Arial" w:cs="Arial"/>
          <w:color w:val="000000"/>
        </w:rPr>
        <w:t>Por lo tanto,</w:t>
      </w:r>
      <w:r w:rsidR="003118DB" w:rsidRPr="003118DB">
        <w:rPr>
          <w:rFonts w:ascii="Arial" w:eastAsiaTheme="minorHAnsi" w:hAnsi="Arial" w:cs="Arial"/>
          <w:color w:val="000000"/>
        </w:rPr>
        <w:t xml:space="preserve"> al </w:t>
      </w:r>
      <w:r w:rsidR="003118DB" w:rsidRPr="00431C77">
        <w:rPr>
          <w:rFonts w:ascii="Arial" w:eastAsiaTheme="minorHAnsi" w:hAnsi="Arial" w:cs="Arial"/>
          <w:color w:val="000000"/>
          <w:lang w:val="es-CO"/>
        </w:rPr>
        <w:t>Instituto Nacional de Vías – INVIAS</w:t>
      </w:r>
      <w:r w:rsidRPr="003118DB">
        <w:rPr>
          <w:rFonts w:ascii="Arial" w:eastAsiaTheme="minorHAnsi" w:hAnsi="Arial" w:cs="Arial"/>
          <w:color w:val="000000"/>
        </w:rPr>
        <w:t xml:space="preserve"> no le asiste legitimación en la causa por pasiva, razón por la cual el Despacho, al momento de proferir sentencia, deberá declarar dicha falta de legitimación y, en consecuencia, absolver tanto al INVIAS como a mi representada, Mapfre Seguros Generales de Colombia S.A., llamada en garantía dentro del proceso, negando en su totalidad las pretensiones de la demanda.</w:t>
      </w:r>
    </w:p>
    <w:p w14:paraId="413F95D1" w14:textId="77777777" w:rsidR="002721E8" w:rsidRDefault="002721E8" w:rsidP="00D6721B">
      <w:pPr>
        <w:spacing w:line="360" w:lineRule="auto"/>
        <w:jc w:val="both"/>
        <w:rPr>
          <w:rFonts w:ascii="Arial" w:hAnsi="Arial" w:cs="Arial"/>
          <w:lang w:val="es-CO"/>
        </w:rPr>
      </w:pPr>
    </w:p>
    <w:p w14:paraId="23320884" w14:textId="77777777" w:rsidR="00A10183" w:rsidRDefault="00A10183" w:rsidP="00D6721B">
      <w:pPr>
        <w:spacing w:line="360" w:lineRule="auto"/>
        <w:jc w:val="both"/>
        <w:rPr>
          <w:rFonts w:ascii="Arial" w:hAnsi="Arial" w:cs="Arial"/>
          <w:lang w:val="es-CO"/>
        </w:rPr>
      </w:pPr>
    </w:p>
    <w:p w14:paraId="307075EC" w14:textId="23BA9A0F" w:rsidR="002721E8" w:rsidRPr="00056B3F" w:rsidRDefault="00B56A7A" w:rsidP="002721E8">
      <w:pPr>
        <w:pStyle w:val="Prrafodelista"/>
        <w:numPr>
          <w:ilvl w:val="0"/>
          <w:numId w:val="41"/>
        </w:numPr>
        <w:spacing w:line="360" w:lineRule="auto"/>
        <w:jc w:val="both"/>
        <w:rPr>
          <w:rFonts w:ascii="Arial" w:hAnsi="Arial" w:cs="Arial"/>
          <w:b/>
          <w:bCs/>
          <w:lang w:val="es-CO"/>
        </w:rPr>
      </w:pPr>
      <w:r>
        <w:rPr>
          <w:rFonts w:ascii="Arial" w:hAnsi="Arial" w:cs="Arial"/>
          <w:b/>
          <w:bCs/>
          <w:lang w:val="es-CO"/>
        </w:rPr>
        <w:t xml:space="preserve">SE ACREDITÓ LA </w:t>
      </w:r>
      <w:r w:rsidR="002721E8" w:rsidRPr="00056B3F">
        <w:rPr>
          <w:rFonts w:ascii="Arial" w:hAnsi="Arial" w:cs="Arial"/>
          <w:b/>
          <w:bCs/>
          <w:lang w:val="es-CO"/>
        </w:rPr>
        <w:t xml:space="preserve">EXISTENCIA DEL HECHO DE UN TERCERO COMO EXIMENTE DE RESPONSABILIDAD. </w:t>
      </w:r>
    </w:p>
    <w:p w14:paraId="6568A0D2" w14:textId="77777777" w:rsidR="002721E8" w:rsidRPr="00E25191" w:rsidRDefault="002721E8" w:rsidP="002721E8">
      <w:pPr>
        <w:spacing w:line="360" w:lineRule="auto"/>
        <w:jc w:val="both"/>
        <w:rPr>
          <w:rFonts w:ascii="Arial" w:hAnsi="Arial" w:cs="Arial"/>
          <w:b/>
          <w:bCs/>
          <w:u w:val="single"/>
          <w:lang w:val="es-CO"/>
        </w:rPr>
      </w:pPr>
    </w:p>
    <w:p w14:paraId="14859A79" w14:textId="77777777" w:rsidR="003118DB" w:rsidRPr="00E25191" w:rsidRDefault="003118DB" w:rsidP="003118DB">
      <w:pPr>
        <w:spacing w:line="360" w:lineRule="auto"/>
        <w:jc w:val="both"/>
        <w:rPr>
          <w:rFonts w:ascii="Arial" w:hAnsi="Arial" w:cs="Arial"/>
          <w:lang w:val="es-CO"/>
        </w:rPr>
      </w:pPr>
      <w:r>
        <w:rPr>
          <w:rFonts w:ascii="Arial" w:hAnsi="Arial" w:cs="Arial"/>
          <w:lang w:val="es-CO"/>
        </w:rPr>
        <w:t>Según los hechos expuestos y las pruebas arrimadas y practicadas dentro del proceso, fue probado que l</w:t>
      </w:r>
      <w:r w:rsidRPr="0069313A">
        <w:rPr>
          <w:rFonts w:ascii="Arial" w:hAnsi="Arial" w:cs="Arial"/>
        </w:rPr>
        <w:t xml:space="preserve">a responsabilidad patrimonial del Estado no es imputable en este caso, porque el daño fue causado exclusivamente por el hecho imprevisible y autónomo de un tercero, sin conocimiento </w:t>
      </w:r>
      <w:r w:rsidRPr="0069313A">
        <w:rPr>
          <w:rFonts w:ascii="Arial" w:hAnsi="Arial" w:cs="Arial"/>
        </w:rPr>
        <w:lastRenderedPageBreak/>
        <w:t>previo del riesgo por parte</w:t>
      </w:r>
      <w:r>
        <w:rPr>
          <w:rFonts w:ascii="Arial" w:hAnsi="Arial" w:cs="Arial"/>
        </w:rPr>
        <w:t xml:space="preserve"> de los entes demandados. </w:t>
      </w:r>
      <w:r w:rsidRPr="00E25191">
        <w:rPr>
          <w:rFonts w:ascii="Arial" w:hAnsi="Arial" w:cs="Arial"/>
          <w:lang w:val="es-CO"/>
        </w:rPr>
        <w:t>La presente causal de exoneración parte de la premisa fundamental según la cual el daño ocasionado proviene directamente de la acción de un tercero completamente ajeno a las partes intervinientes en el proceso de responsabilidad, es decir, sin relación alguna con el sujeto contra el cual se dirige la acción resarcitoria.</w:t>
      </w:r>
    </w:p>
    <w:p w14:paraId="4CCDDFF3" w14:textId="77777777" w:rsidR="002721E8" w:rsidRPr="00E25191" w:rsidRDefault="002721E8" w:rsidP="002721E8">
      <w:pPr>
        <w:spacing w:line="360" w:lineRule="auto"/>
        <w:jc w:val="both"/>
        <w:rPr>
          <w:rFonts w:ascii="Arial" w:hAnsi="Arial" w:cs="Arial"/>
          <w:lang w:val="es-CO"/>
        </w:rPr>
      </w:pPr>
    </w:p>
    <w:p w14:paraId="11155E33" w14:textId="77777777" w:rsidR="002721E8" w:rsidRPr="00E25191" w:rsidRDefault="002721E8" w:rsidP="002721E8">
      <w:pPr>
        <w:spacing w:line="360" w:lineRule="auto"/>
        <w:jc w:val="both"/>
        <w:rPr>
          <w:rFonts w:ascii="Arial" w:hAnsi="Arial" w:cs="Arial"/>
          <w:lang w:val="es-CO"/>
        </w:rPr>
      </w:pPr>
      <w:r w:rsidRPr="00E25191">
        <w:rPr>
          <w:rFonts w:ascii="Arial" w:hAnsi="Arial" w:cs="Arial"/>
          <w:lang w:val="es-CO"/>
        </w:rPr>
        <w:t>Al respecto, la jurisprudencia del Consejo de Estado ha señalado:</w:t>
      </w:r>
    </w:p>
    <w:p w14:paraId="7BCB73BC" w14:textId="77777777" w:rsidR="002721E8" w:rsidRPr="001B3189" w:rsidRDefault="002721E8" w:rsidP="002721E8">
      <w:pPr>
        <w:spacing w:line="276" w:lineRule="auto"/>
        <w:jc w:val="both"/>
        <w:rPr>
          <w:rFonts w:ascii="Arial" w:hAnsi="Arial" w:cs="Arial"/>
          <w:sz w:val="20"/>
          <w:szCs w:val="20"/>
          <w:lang w:val="es-CO"/>
        </w:rPr>
      </w:pPr>
    </w:p>
    <w:p w14:paraId="4723EFC1" w14:textId="77777777" w:rsidR="002721E8" w:rsidRPr="001B3189" w:rsidRDefault="002721E8" w:rsidP="002721E8">
      <w:pPr>
        <w:spacing w:line="276" w:lineRule="auto"/>
        <w:ind w:left="708"/>
        <w:jc w:val="both"/>
        <w:rPr>
          <w:rFonts w:ascii="Arial" w:hAnsi="Arial" w:cs="Arial"/>
          <w:i/>
          <w:iCs/>
          <w:sz w:val="20"/>
          <w:szCs w:val="20"/>
          <w:lang w:val="es-CO"/>
        </w:rPr>
      </w:pPr>
      <w:r w:rsidRPr="001B3189">
        <w:rPr>
          <w:rFonts w:ascii="Arial" w:hAnsi="Arial" w:cs="Arial"/>
          <w:i/>
          <w:iCs/>
          <w:sz w:val="20"/>
          <w:szCs w:val="20"/>
          <w:lang w:val="es-CO"/>
        </w:rPr>
        <w:t>“En relación con la causal de exoneración consistente en el hecho de un tercero, la jurisprudencia de esta corporación ha señalado que la misma se configura siempre y cuando se demuestre que la circunstancia extraña es completamente ajena al servicio y que este último no se encuentra vinculado en manera alguna con la actuación de aquel, de manera que se produce la ruptura del nexo causal. Además, como ocurre tratándose de cualquier causa extraña, se ha sostenido que la misma debe revestir las características de imprevisibilidad e irresistibilidad antes anotadas.”</w:t>
      </w:r>
      <w:r w:rsidRPr="001B3189">
        <w:rPr>
          <w:rStyle w:val="Refdenotaalpie"/>
          <w:rFonts w:ascii="Arial" w:hAnsi="Arial" w:cs="Arial"/>
          <w:i/>
          <w:iCs/>
          <w:sz w:val="20"/>
          <w:szCs w:val="20"/>
          <w:lang w:val="es-CO"/>
        </w:rPr>
        <w:footnoteReference w:id="3"/>
      </w:r>
    </w:p>
    <w:p w14:paraId="48B18DB6" w14:textId="77777777" w:rsidR="002721E8" w:rsidRPr="00E25191" w:rsidRDefault="002721E8" w:rsidP="002721E8">
      <w:pPr>
        <w:spacing w:line="360" w:lineRule="auto"/>
        <w:jc w:val="both"/>
        <w:rPr>
          <w:rFonts w:ascii="Arial" w:hAnsi="Arial" w:cs="Arial"/>
          <w:lang w:val="es-CO"/>
        </w:rPr>
      </w:pPr>
    </w:p>
    <w:p w14:paraId="5E966DB6" w14:textId="77777777" w:rsidR="002721E8" w:rsidRPr="00E25191" w:rsidRDefault="002721E8" w:rsidP="002721E8">
      <w:pPr>
        <w:spacing w:line="360" w:lineRule="auto"/>
        <w:jc w:val="both"/>
        <w:rPr>
          <w:rFonts w:ascii="Arial" w:hAnsi="Arial" w:cs="Arial"/>
          <w:lang w:val="es-CO"/>
        </w:rPr>
      </w:pPr>
      <w:r w:rsidRPr="00E25191">
        <w:rPr>
          <w:rFonts w:ascii="Arial" w:hAnsi="Arial" w:cs="Arial"/>
          <w:lang w:val="es-CO"/>
        </w:rPr>
        <w:t xml:space="preserve">Así, para que el hecho de un tercero opere como causal exonerativa de responsabilidad, es indispensable que concurran las siguientes condiciones: </w:t>
      </w:r>
    </w:p>
    <w:p w14:paraId="4BFBBCDA" w14:textId="77777777" w:rsidR="002721E8" w:rsidRPr="00E25191" w:rsidRDefault="002721E8" w:rsidP="002721E8">
      <w:pPr>
        <w:spacing w:line="360" w:lineRule="auto"/>
        <w:jc w:val="both"/>
        <w:rPr>
          <w:rFonts w:ascii="Arial" w:hAnsi="Arial" w:cs="Arial"/>
          <w:lang w:val="es-CO"/>
        </w:rPr>
      </w:pPr>
    </w:p>
    <w:p w14:paraId="1388D9F4" w14:textId="77777777" w:rsidR="002721E8" w:rsidRPr="00E25191" w:rsidRDefault="002721E8" w:rsidP="002721E8">
      <w:pPr>
        <w:numPr>
          <w:ilvl w:val="0"/>
          <w:numId w:val="22"/>
        </w:numPr>
        <w:spacing w:line="360" w:lineRule="auto"/>
        <w:jc w:val="both"/>
        <w:rPr>
          <w:rFonts w:ascii="Arial" w:hAnsi="Arial" w:cs="Arial"/>
          <w:lang w:val="es-CO"/>
        </w:rPr>
      </w:pPr>
      <w:r w:rsidRPr="00E25191">
        <w:rPr>
          <w:rFonts w:ascii="Arial" w:hAnsi="Arial" w:cs="Arial"/>
          <w:b/>
          <w:bCs/>
          <w:lang w:val="es-CO"/>
        </w:rPr>
        <w:t>Que el hecho sea único, exclusivo y determinante en la producción del daño.</w:t>
      </w:r>
    </w:p>
    <w:p w14:paraId="041E288E" w14:textId="77777777" w:rsidR="002721E8" w:rsidRPr="00E25191" w:rsidRDefault="002721E8" w:rsidP="002721E8">
      <w:pPr>
        <w:numPr>
          <w:ilvl w:val="0"/>
          <w:numId w:val="22"/>
        </w:numPr>
        <w:spacing w:line="360" w:lineRule="auto"/>
        <w:jc w:val="both"/>
        <w:rPr>
          <w:rFonts w:ascii="Arial" w:hAnsi="Arial" w:cs="Arial"/>
          <w:lang w:val="es-CO"/>
        </w:rPr>
      </w:pPr>
      <w:r w:rsidRPr="00E25191">
        <w:rPr>
          <w:rFonts w:ascii="Arial" w:hAnsi="Arial" w:cs="Arial"/>
          <w:b/>
          <w:bCs/>
          <w:lang w:val="es-CO"/>
        </w:rPr>
        <w:t>Que dicho hecho haya sido imprevisible e irresistible para quien lo alega.</w:t>
      </w:r>
    </w:p>
    <w:p w14:paraId="14068AEF" w14:textId="77777777" w:rsidR="002721E8" w:rsidRPr="00E25191" w:rsidRDefault="002721E8" w:rsidP="002721E8">
      <w:pPr>
        <w:spacing w:line="360" w:lineRule="auto"/>
        <w:ind w:left="720"/>
        <w:jc w:val="both"/>
        <w:rPr>
          <w:rFonts w:ascii="Arial" w:hAnsi="Arial" w:cs="Arial"/>
          <w:lang w:val="es-CO"/>
        </w:rPr>
      </w:pPr>
    </w:p>
    <w:p w14:paraId="5255F323" w14:textId="77777777" w:rsidR="007164D1" w:rsidRDefault="007164D1" w:rsidP="007164D1">
      <w:pPr>
        <w:spacing w:line="360" w:lineRule="auto"/>
        <w:jc w:val="both"/>
        <w:rPr>
          <w:rFonts w:ascii="Arial" w:hAnsi="Arial" w:cs="Arial"/>
          <w:lang w:val="es-CO"/>
        </w:rPr>
      </w:pPr>
      <w:r w:rsidRPr="007164D1">
        <w:rPr>
          <w:rFonts w:ascii="Arial" w:hAnsi="Arial" w:cs="Arial"/>
          <w:lang w:val="es-CO"/>
        </w:rPr>
        <w:t>En consonancia con los principios que rigen la responsabilidad extracontractual del Estado, la jurisprudencia contenciosa ha sido reiterativa en señalar que el hecho exclusivo de un tercero puede erigirse como causal exonerativa de responsabilidad, siempre que reúna los elementos de exterioridad, imprevisibilidad e irresistibilidad, tal como lo ha sostenido de forma consistente la Sección Tercera del Consejo de Estado. Bajo este entendido, cuando el daño es causado por la conducta autónoma y violenta de un tercero ajeno al aparato estatal, sin que exista deber jurídico de previsión o control sobre dicha conducta, y cuando además se evidencia una reacción diligente por parte del Estado, no es posible imputar una falla del servicio.</w:t>
      </w:r>
    </w:p>
    <w:p w14:paraId="482BD89E" w14:textId="77777777" w:rsidR="007164D1" w:rsidRDefault="007164D1" w:rsidP="007164D1">
      <w:pPr>
        <w:spacing w:line="360" w:lineRule="auto"/>
        <w:jc w:val="both"/>
        <w:rPr>
          <w:rFonts w:ascii="Arial" w:hAnsi="Arial" w:cs="Arial"/>
          <w:lang w:val="es-CO"/>
        </w:rPr>
      </w:pPr>
    </w:p>
    <w:p w14:paraId="6CA888AE" w14:textId="7BAFD0A8" w:rsidR="004C7DCE" w:rsidRPr="004C7DCE" w:rsidRDefault="004C7DCE" w:rsidP="004C7DCE">
      <w:pPr>
        <w:spacing w:line="360" w:lineRule="auto"/>
        <w:jc w:val="both"/>
        <w:rPr>
          <w:rFonts w:ascii="Arial" w:hAnsi="Arial" w:cs="Arial"/>
          <w:lang w:val="es-CO"/>
        </w:rPr>
      </w:pPr>
      <w:r w:rsidRPr="004C7DCE">
        <w:rPr>
          <w:rFonts w:ascii="Arial" w:hAnsi="Arial" w:cs="Arial"/>
          <w:lang w:val="es-CO"/>
        </w:rPr>
        <w:t xml:space="preserve">Tal como se había señalado </w:t>
      </w:r>
      <w:r w:rsidRPr="004C7DCE">
        <w:rPr>
          <w:rFonts w:ascii="Arial" w:hAnsi="Arial" w:cs="Arial"/>
          <w:i/>
          <w:iCs/>
          <w:lang w:val="es-CO"/>
        </w:rPr>
        <w:t>ut supra,</w:t>
      </w:r>
      <w:r w:rsidRPr="004C7DCE">
        <w:rPr>
          <w:rFonts w:ascii="Arial" w:hAnsi="Arial" w:cs="Arial"/>
          <w:lang w:val="es-CO"/>
        </w:rPr>
        <w:t xml:space="preserve"> del análisis del material probatorio recaudado en el proceso, se desprende con claridad que el accidente de tránsito ocurrido el 3 de noviembre de 2017, en el que falleció el señor Jorge Enrique Benítez Díaz (Q.E.P.D.), tuvo como causa exclusiva y determinante la conducta imprudente de un tercero: el conductor de un vehículo tipo camión no identificado, que colisionó contra la motocicleta conducida por la víctima. Esta circunstancia constituye un hecho de un tercero, eximente de responsabilidad para el Estado y, en consecuencia, para el Instituto Nacional de Vías – INVIAS.</w:t>
      </w:r>
    </w:p>
    <w:p w14:paraId="3DD1C63C" w14:textId="77777777" w:rsidR="004C7DCE" w:rsidRPr="004C7DCE" w:rsidRDefault="004C7DCE" w:rsidP="004C7DCE">
      <w:pPr>
        <w:spacing w:line="360" w:lineRule="auto"/>
        <w:jc w:val="both"/>
        <w:rPr>
          <w:rFonts w:ascii="Arial" w:hAnsi="Arial" w:cs="Arial"/>
          <w:lang w:val="es-CO"/>
        </w:rPr>
      </w:pPr>
    </w:p>
    <w:p w14:paraId="51F7FA5C" w14:textId="4207F7F3" w:rsidR="004C7DCE" w:rsidRPr="004C7DCE" w:rsidRDefault="004C7DCE" w:rsidP="004C7DCE">
      <w:pPr>
        <w:spacing w:line="360" w:lineRule="auto"/>
        <w:jc w:val="both"/>
        <w:rPr>
          <w:rFonts w:ascii="Arial" w:hAnsi="Arial" w:cs="Arial"/>
          <w:lang w:val="es-CO"/>
        </w:rPr>
      </w:pPr>
      <w:r w:rsidRPr="004C7DCE">
        <w:rPr>
          <w:rFonts w:ascii="Arial" w:hAnsi="Arial" w:cs="Arial"/>
          <w:lang w:val="es-CO"/>
        </w:rPr>
        <w:t xml:space="preserve">La anterior conclusión no es una simple conjetura defensiva. Por el contrario, fue determinada expresamente por el agente de tránsito Víctor Manuel Grisales Ortiz, autor del Informe Policial de Accidente de Tránsito (IPAT), quien en las casillas 11 y 13 del mismo consignó que el siniestro fue ocasionado por un vehículo que salía del “parador de las gelatinas” sin respetar la prelación vial que </w:t>
      </w:r>
      <w:r w:rsidRPr="004C7DCE">
        <w:rPr>
          <w:rFonts w:ascii="Arial" w:hAnsi="Arial" w:cs="Arial"/>
          <w:lang w:val="es-CO"/>
        </w:rPr>
        <w:lastRenderedPageBreak/>
        <w:t xml:space="preserve">tenía la motocicleta de placas DOC 77E. Como se observa: </w:t>
      </w:r>
    </w:p>
    <w:p w14:paraId="4D94201D" w14:textId="46A0E209" w:rsidR="004C7DCE" w:rsidRDefault="004C7DCE" w:rsidP="004C7DCE">
      <w:pPr>
        <w:spacing w:line="360" w:lineRule="auto"/>
        <w:jc w:val="center"/>
        <w:rPr>
          <w:rFonts w:ascii="Arial" w:hAnsi="Arial" w:cs="Arial"/>
          <w:lang w:val="es-CO"/>
        </w:rPr>
      </w:pPr>
      <w:r>
        <w:rPr>
          <w:rFonts w:ascii="Arial" w:hAnsi="Arial" w:cs="Arial"/>
          <w:noProof/>
          <w:lang w:val="es-CO" w:eastAsia="es-CO"/>
        </w:rPr>
        <w:drawing>
          <wp:inline distT="0" distB="0" distL="0" distR="0" wp14:anchorId="250C4385" wp14:editId="743BCF5D">
            <wp:extent cx="5176405" cy="1415846"/>
            <wp:effectExtent l="152400" t="152400" r="367665" b="3562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7739" cy="1418946"/>
                    </a:xfrm>
                    <a:prstGeom prst="rect">
                      <a:avLst/>
                    </a:prstGeom>
                    <a:ln>
                      <a:noFill/>
                    </a:ln>
                    <a:effectLst>
                      <a:outerShdw blurRad="292100" dist="139700" dir="2700000" algn="tl" rotWithShape="0">
                        <a:srgbClr val="333333">
                          <a:alpha val="65000"/>
                        </a:srgbClr>
                      </a:outerShdw>
                    </a:effectLst>
                  </pic:spPr>
                </pic:pic>
              </a:graphicData>
            </a:graphic>
          </wp:inline>
        </w:drawing>
      </w:r>
    </w:p>
    <w:p w14:paraId="61320F5C" w14:textId="77777777" w:rsidR="004C7DCE" w:rsidRDefault="004C7DCE" w:rsidP="004C7DCE">
      <w:pPr>
        <w:spacing w:line="360" w:lineRule="auto"/>
        <w:jc w:val="both"/>
        <w:rPr>
          <w:rFonts w:ascii="Arial" w:hAnsi="Arial" w:cs="Arial"/>
          <w:lang w:val="es-CO"/>
        </w:rPr>
      </w:pPr>
    </w:p>
    <w:p w14:paraId="18905A86" w14:textId="314C8FB6" w:rsidR="004C7DCE" w:rsidRDefault="004C7DCE" w:rsidP="004C7DCE">
      <w:pPr>
        <w:spacing w:line="360" w:lineRule="auto"/>
        <w:jc w:val="both"/>
        <w:rPr>
          <w:rFonts w:ascii="Arial" w:hAnsi="Arial" w:cs="Arial"/>
          <w:lang w:val="es-CO"/>
        </w:rPr>
      </w:pPr>
      <w:r w:rsidRPr="004C7DCE">
        <w:rPr>
          <w:rFonts w:ascii="Arial" w:hAnsi="Arial" w:cs="Arial"/>
          <w:lang w:val="es-CO"/>
        </w:rPr>
        <w:t>Este agente ratificó su análisis técnico en la audiencia de pruebas celebrada el 19 de junio de 2025, donde declaró que el accidente obedeció a la actuación de un “vehículo fantasma”, y que esta conclusión fue sustentada en testimonios recabados en el lugar de los hechos por personas que presenciaron lo ocurrido.</w:t>
      </w:r>
    </w:p>
    <w:p w14:paraId="4BCE7D3B" w14:textId="77777777" w:rsidR="004C7DCE" w:rsidRPr="004C7DCE" w:rsidRDefault="004C7DCE" w:rsidP="004C7DCE">
      <w:pPr>
        <w:spacing w:line="360" w:lineRule="auto"/>
        <w:jc w:val="both"/>
        <w:rPr>
          <w:rFonts w:ascii="Arial" w:hAnsi="Arial" w:cs="Arial"/>
          <w:lang w:val="es-CO"/>
        </w:rPr>
      </w:pPr>
    </w:p>
    <w:p w14:paraId="1C423434" w14:textId="77777777" w:rsidR="004C7DCE" w:rsidRPr="004C7DCE" w:rsidRDefault="004C7DCE" w:rsidP="004C7DCE">
      <w:pPr>
        <w:spacing w:line="360" w:lineRule="auto"/>
        <w:jc w:val="both"/>
        <w:rPr>
          <w:rFonts w:ascii="Arial" w:hAnsi="Arial" w:cs="Arial"/>
          <w:lang w:val="es-CO"/>
        </w:rPr>
      </w:pPr>
      <w:r w:rsidRPr="004C7DCE">
        <w:rPr>
          <w:rFonts w:ascii="Arial" w:hAnsi="Arial" w:cs="Arial"/>
          <w:lang w:val="es-CO"/>
        </w:rPr>
        <w:t xml:space="preserve">Este conjunto probatorio es determinante para descartar cualquier intento de imputación a la administración pública. En efecto, en situaciones donde concurren actividades peligrosas, como la conducción de una motocicleta y de un camión de carga, lo relevante desde el punto de vista de la responsabilidad es identificar cuál de dichas actividades materializó efectivamente el riesgo y causó el daño. En este caso, no existe duda de que fue la actuación del tercero la que generó de forma directa el resultado dañoso, sin que haya intervenido una conducta estatal generadora de riesgo. De hecho, el mismo informe del agente de tránsito descarta por completo otras hipótesis causales, como la supuesta falla en la vía o una omisión relacionada con el sistema de iluminación del corredor vial, lo cual refuerza aún más la tesis de que la responsabilidad recae exclusivamente sobre el conductor del vehículo no identificado. </w:t>
      </w:r>
    </w:p>
    <w:p w14:paraId="5CE3D0AD" w14:textId="77777777" w:rsidR="004C7DCE" w:rsidRPr="004C7DCE" w:rsidRDefault="004C7DCE" w:rsidP="004C7DCE">
      <w:pPr>
        <w:spacing w:line="360" w:lineRule="auto"/>
        <w:jc w:val="both"/>
        <w:rPr>
          <w:rFonts w:ascii="Arial" w:hAnsi="Arial" w:cs="Arial"/>
          <w:lang w:val="es-CO"/>
        </w:rPr>
      </w:pPr>
    </w:p>
    <w:p w14:paraId="39EAEBCE" w14:textId="3889E80F" w:rsidR="004C7DCE" w:rsidRPr="004C7DCE" w:rsidRDefault="004C7DCE" w:rsidP="004C7DCE">
      <w:pPr>
        <w:spacing w:line="360" w:lineRule="auto"/>
        <w:jc w:val="both"/>
        <w:rPr>
          <w:rFonts w:ascii="Arial" w:hAnsi="Arial" w:cs="Arial"/>
          <w:lang w:val="es-CO"/>
        </w:rPr>
      </w:pPr>
      <w:r w:rsidRPr="004C7DCE">
        <w:rPr>
          <w:rFonts w:ascii="Arial" w:hAnsi="Arial" w:cs="Arial"/>
          <w:lang w:val="es-CO"/>
        </w:rPr>
        <w:t>No es posible, entonces, pretender trasladar al INVIAS una carga indemnizatoria que encuentra su origen en la infracción de las normas de tránsito por parte de un tercero ajeno al aparato estatal. En ese orden, desde el punto de vista del juicio de imputación, no existe nexo causal entre el presunto comportamiento omisivo del INVIAS y el daño alegado, ya que ese vínculo fue roto por la actuación autónoma, exclusiva y determinante del tercero, lo que excluye de plano cualquier posibilidad de responsabilidad administrativa por parte del Instituto.</w:t>
      </w:r>
    </w:p>
    <w:p w14:paraId="7B3AB5A5" w14:textId="77777777" w:rsidR="004C7DCE" w:rsidRPr="004C7DCE" w:rsidRDefault="004C7DCE" w:rsidP="004C7DCE">
      <w:pPr>
        <w:spacing w:line="360" w:lineRule="auto"/>
        <w:jc w:val="both"/>
        <w:rPr>
          <w:rFonts w:ascii="Arial" w:hAnsi="Arial" w:cs="Arial"/>
          <w:lang w:val="es-CO"/>
        </w:rPr>
      </w:pPr>
    </w:p>
    <w:p w14:paraId="024A5233" w14:textId="1D986A82" w:rsidR="004C7DCE" w:rsidRPr="004C7DCE" w:rsidRDefault="004C7DCE" w:rsidP="004C7DCE">
      <w:pPr>
        <w:spacing w:line="360" w:lineRule="auto"/>
        <w:jc w:val="both"/>
        <w:rPr>
          <w:rFonts w:ascii="Arial" w:hAnsi="Arial" w:cs="Arial"/>
          <w:lang w:val="es-CO"/>
        </w:rPr>
      </w:pPr>
      <w:r w:rsidRPr="004C7DCE">
        <w:rPr>
          <w:rFonts w:ascii="Arial" w:hAnsi="Arial" w:cs="Arial"/>
          <w:lang w:val="es-CO"/>
        </w:rPr>
        <w:t>A partir de lo anterior, se impone concluir que el accidente de tránsito en el que falleció el señor Jorge Enrique Benítez Díaz no es atribuible al Instituto Nacional de Vías – INVIAS, toda vez que la causa eficiente y determinante del mismo fue la conducta de un tercero que irrumpió la prelación vial de manera imprudente. Al no acreditarse una omisión atribuible a INVIAS, y habiéndose probado la existencia del hecho exclusivo de un tercero, debe reconocerse esta circunstancia como eximente de responsabilidad.</w:t>
      </w:r>
    </w:p>
    <w:p w14:paraId="33D17AFD" w14:textId="77777777" w:rsidR="004C7DCE" w:rsidRPr="004C7DCE" w:rsidRDefault="004C7DCE" w:rsidP="004C7DCE">
      <w:pPr>
        <w:spacing w:line="360" w:lineRule="auto"/>
        <w:jc w:val="both"/>
        <w:rPr>
          <w:rFonts w:ascii="Arial" w:hAnsi="Arial" w:cs="Arial"/>
          <w:lang w:val="es-CO"/>
        </w:rPr>
      </w:pPr>
    </w:p>
    <w:p w14:paraId="78402898" w14:textId="3BAAF4FE" w:rsidR="004C7DCE" w:rsidRPr="004C7DCE" w:rsidRDefault="004C7DCE" w:rsidP="004C7DCE">
      <w:pPr>
        <w:spacing w:line="360" w:lineRule="auto"/>
        <w:jc w:val="both"/>
        <w:rPr>
          <w:rFonts w:ascii="Arial" w:hAnsi="Arial" w:cs="Arial"/>
          <w:lang w:val="es-CO"/>
        </w:rPr>
      </w:pPr>
      <w:r w:rsidRPr="004C7DCE">
        <w:rPr>
          <w:rFonts w:ascii="Arial" w:hAnsi="Arial" w:cs="Arial"/>
          <w:lang w:val="es-CO"/>
        </w:rPr>
        <w:lastRenderedPageBreak/>
        <w:t>Por lo tanto, el Despacho, al momento de proferir sentencia, deberá declarar he hecho de un tercero como causa adecuada y determinante de los hechos y daños causados en los que se fundamenta el presente medio de control, y en consecuencia, absolver a mi representada, Mapfre Seguros Generales de Colombia S.A., llamada en garantía dentro del proceso, denegando las pretensiones formuladas por la parte actora.</w:t>
      </w:r>
    </w:p>
    <w:p w14:paraId="035F218B" w14:textId="77777777" w:rsidR="004C7DCE" w:rsidRDefault="004C7DCE" w:rsidP="007164D1">
      <w:pPr>
        <w:spacing w:line="360" w:lineRule="auto"/>
        <w:jc w:val="both"/>
        <w:rPr>
          <w:rFonts w:ascii="Arial" w:hAnsi="Arial" w:cs="Arial"/>
          <w:lang w:val="es-CO"/>
        </w:rPr>
      </w:pPr>
    </w:p>
    <w:p w14:paraId="7271FF5D" w14:textId="77777777" w:rsidR="004C7DCE" w:rsidRPr="006C5513" w:rsidRDefault="004C7DCE" w:rsidP="007164D1">
      <w:pPr>
        <w:spacing w:line="360" w:lineRule="auto"/>
        <w:jc w:val="both"/>
        <w:rPr>
          <w:rFonts w:ascii="Arial" w:hAnsi="Arial" w:cs="Arial"/>
          <w:b/>
          <w:bCs/>
          <w:lang w:val="es-CO"/>
        </w:rPr>
      </w:pPr>
    </w:p>
    <w:p w14:paraId="1AB6CB17" w14:textId="7093A494" w:rsidR="00173C9D" w:rsidRDefault="006C5513" w:rsidP="00173C9D">
      <w:pPr>
        <w:pStyle w:val="Standard"/>
        <w:widowControl w:val="0"/>
        <w:numPr>
          <w:ilvl w:val="0"/>
          <w:numId w:val="22"/>
        </w:numPr>
        <w:spacing w:after="0" w:line="360" w:lineRule="auto"/>
        <w:jc w:val="both"/>
        <w:textAlignment w:val="baseline"/>
        <w:rPr>
          <w:rFonts w:ascii="Arial" w:hAnsi="Arial" w:cs="Arial"/>
          <w:b/>
          <w:bCs/>
        </w:rPr>
      </w:pPr>
      <w:r w:rsidRPr="006C5513">
        <w:rPr>
          <w:rFonts w:ascii="Arial" w:hAnsi="Arial" w:cs="Arial"/>
          <w:b/>
          <w:bCs/>
        </w:rPr>
        <w:t>SE PROBÓ LA INEXISTENCIA DE FALLA EN EL SERVICIO POR PARTE DEL INSTITUTO NACIONAL DE VIAS (INVIAS).</w:t>
      </w:r>
    </w:p>
    <w:p w14:paraId="6DD28DD8" w14:textId="77777777" w:rsidR="006C5513" w:rsidRPr="006C5513" w:rsidRDefault="006C5513" w:rsidP="006C5513">
      <w:pPr>
        <w:pStyle w:val="Standard"/>
        <w:widowControl w:val="0"/>
        <w:spacing w:after="0" w:line="360" w:lineRule="auto"/>
        <w:ind w:left="720"/>
        <w:jc w:val="both"/>
        <w:textAlignment w:val="baseline"/>
        <w:rPr>
          <w:rFonts w:ascii="Arial" w:hAnsi="Arial" w:cs="Arial"/>
          <w:b/>
          <w:bCs/>
        </w:rPr>
      </w:pPr>
    </w:p>
    <w:p w14:paraId="67546C2C" w14:textId="77777777" w:rsidR="006C5513" w:rsidRPr="006C5513" w:rsidRDefault="006C5513" w:rsidP="006C5513">
      <w:pPr>
        <w:spacing w:line="360" w:lineRule="auto"/>
        <w:jc w:val="both"/>
        <w:rPr>
          <w:rFonts w:ascii="Arial" w:eastAsia="Calibri" w:hAnsi="Arial" w:cs="Arial"/>
          <w:lang w:val="es-CO"/>
        </w:rPr>
      </w:pPr>
      <w:r w:rsidRPr="006C5513">
        <w:rPr>
          <w:rFonts w:ascii="Arial" w:eastAsia="Calibri" w:hAnsi="Arial" w:cs="Arial"/>
          <w:lang w:val="es-CO"/>
        </w:rPr>
        <w:t>Con fundamento en el acervo probatorio recaudado y valorado dentro del presente proceso, ha quedado plenamente acreditado que el Instituto Nacional de Vías (INVIAS) no incurrió en falla en la prestación del servicio, pues no desatendió deber legal alguno, ni omitió funciones que le fueran atribuibles. En efecto, se demostró que no le compete a dicha entidad la responsabilidad sobre el sistema de alumbrado público en las vías nacionales, lo cual excluye cualquier posibilidad de imputación por el supuesto incumplimiento en la iluminación del tramo donde se afirma que ocurrió el accidente.</w:t>
      </w:r>
    </w:p>
    <w:p w14:paraId="131F9457" w14:textId="77777777" w:rsidR="006C5513" w:rsidRPr="006C5513" w:rsidRDefault="006C5513" w:rsidP="006C5513">
      <w:pPr>
        <w:spacing w:line="360" w:lineRule="auto"/>
        <w:jc w:val="both"/>
        <w:rPr>
          <w:rFonts w:ascii="Arial" w:eastAsia="Calibri" w:hAnsi="Arial" w:cs="Arial"/>
          <w:lang w:val="es-CO"/>
        </w:rPr>
      </w:pPr>
    </w:p>
    <w:p w14:paraId="6273AADC" w14:textId="0960C7F2" w:rsidR="006C5513" w:rsidRPr="006C5513" w:rsidRDefault="006C5513" w:rsidP="006C5513">
      <w:pPr>
        <w:spacing w:line="360" w:lineRule="auto"/>
        <w:jc w:val="both"/>
        <w:rPr>
          <w:rFonts w:ascii="Arial" w:eastAsia="Calibri" w:hAnsi="Arial" w:cs="Arial"/>
          <w:lang w:val="es-CO"/>
        </w:rPr>
      </w:pPr>
      <w:r w:rsidRPr="006C5513">
        <w:rPr>
          <w:rFonts w:ascii="Arial" w:eastAsia="Calibri" w:hAnsi="Arial" w:cs="Arial"/>
          <w:lang w:val="es-CO"/>
        </w:rPr>
        <w:t>El extremo demandante ha construido su imputación con base en una supuesta omisión de INVIAS en el deber de mantener iluminado el corredor vial ubicado a la altura del sitio conocido como el “Parador de las Gelatinas”, en la vía Cali–Andalucía. No obstante, esa afirmación desconoce las normas que regulan el servicio de alumbrado público, cuya responsabilidad, según lo probado en el proceso, recae de manera exclusiva en los municipios, distritos o sus concesionarios, de conformidad con lo previsto en los artículos 2.2.3.1.2 y 2.2.3.6.1.2 del Decreto 1073 de 2015, entre otras disposiciones normativas aplicables. Adicionalmente, se ha reiterado que la falla en el servicio exige prueba directa y concreta del incumplimiento de una obligación a cargo del Estado, ya sea por acción u omisión, lo cual no puede presumirse. En el caso bajo análisis, ha quedado claramente demostrado que el INVIAS no tenía asignada la función de operar, mantener o supervisar el sistema de iluminación del referido corredor vial, por lo que no existió incumplimiento alguno de sus deberes legales o reglamentarios.</w:t>
      </w:r>
    </w:p>
    <w:p w14:paraId="0A489E90" w14:textId="77777777" w:rsidR="006C5513" w:rsidRPr="006C5513" w:rsidRDefault="006C5513" w:rsidP="006C5513">
      <w:pPr>
        <w:spacing w:line="360" w:lineRule="auto"/>
        <w:jc w:val="both"/>
        <w:rPr>
          <w:rFonts w:ascii="Arial" w:eastAsia="Calibri" w:hAnsi="Arial" w:cs="Arial"/>
          <w:lang w:val="es-CO"/>
        </w:rPr>
      </w:pPr>
    </w:p>
    <w:p w14:paraId="4FBFCAA8" w14:textId="3BBEA670" w:rsidR="006C5513" w:rsidRPr="006C5513" w:rsidRDefault="006C5513" w:rsidP="006C5513">
      <w:pPr>
        <w:spacing w:line="360" w:lineRule="auto"/>
        <w:jc w:val="both"/>
        <w:rPr>
          <w:rFonts w:ascii="Arial" w:eastAsia="Calibri" w:hAnsi="Arial" w:cs="Arial"/>
          <w:lang w:val="es-CO"/>
        </w:rPr>
      </w:pPr>
      <w:r w:rsidRPr="006C5513">
        <w:rPr>
          <w:rFonts w:ascii="Arial" w:eastAsia="Calibri" w:hAnsi="Arial" w:cs="Arial"/>
          <w:lang w:val="es-CO"/>
        </w:rPr>
        <w:t>Tampoco obran en el proceso elementos probatorios que acrediten un defecto en la vía o cualquier otra circunstancia que permita inferir que INVIAS incurrió en omisión o irregularidad en la función que sí le corresponde: la conservación de la infraestructura vial. Por el contrario, se evidenció que el accidente se debió a la actuación imprudente de un tercero, el conductor de un vehículo no identificado, hecho que interrumpe cualquier posible nexo causal entre la supuesta omisión atribuida y el daño reclamado. Por lo que resulta jurídicamente improcedente imponer al INVIAS responsabilidad alguna, pues la conducta exigida como debida no estaba dentro del ámbito de sus competencias, y en consecuencia, mal puede hablarse de una falla en el servicio si no existe un deber que haya sido desconocido por parte de la entidad pública demandada.</w:t>
      </w:r>
    </w:p>
    <w:p w14:paraId="5B665CC9" w14:textId="77777777" w:rsidR="006C5513" w:rsidRPr="006C5513" w:rsidRDefault="006C5513" w:rsidP="006C5513">
      <w:pPr>
        <w:spacing w:line="360" w:lineRule="auto"/>
        <w:jc w:val="both"/>
        <w:rPr>
          <w:rFonts w:ascii="Arial" w:eastAsia="Calibri" w:hAnsi="Arial" w:cs="Arial"/>
          <w:lang w:val="es-CO"/>
        </w:rPr>
      </w:pPr>
    </w:p>
    <w:p w14:paraId="554C5EEA" w14:textId="59A01023" w:rsidR="004C7DCE" w:rsidRPr="006C5513" w:rsidRDefault="006C5513" w:rsidP="007164D1">
      <w:pPr>
        <w:spacing w:line="360" w:lineRule="auto"/>
        <w:jc w:val="both"/>
        <w:rPr>
          <w:rFonts w:ascii="Arial" w:eastAsia="Calibri" w:hAnsi="Arial" w:cs="Arial"/>
          <w:lang w:val="es-CO"/>
        </w:rPr>
      </w:pPr>
      <w:r w:rsidRPr="006C5513">
        <w:rPr>
          <w:rFonts w:ascii="Arial" w:eastAsia="Calibri" w:hAnsi="Arial" w:cs="Arial"/>
          <w:lang w:val="es-CO"/>
        </w:rPr>
        <w:t>Así las cosas, con base en las pruebas practicadas y debidamente valoradas dentro del presente proceso, no se configuró falla en el servicio por parte del Instituto Nacional de Vías – INVIAS, al no haberse acreditado que tuviera a su cargo el servicio de alumbrado público en el tramo donde ocurrió el accidente, ni que hubiera incumplido obligación legal alguna. En consecuencia, se impone concluir que no hay fundamento fáctico ni jurídico que permita declarar su responsabilidad, por lo que respetuosamente se solicita al Despacho denegar las pretensiones formuladas en su contra y, en consecuencia, absolver también a mi representada, llamada en garantía dentro del proceso.</w:t>
      </w:r>
    </w:p>
    <w:p w14:paraId="15ACFAFF" w14:textId="77777777" w:rsidR="004C7DCE" w:rsidRDefault="004C7DCE" w:rsidP="007164D1">
      <w:pPr>
        <w:spacing w:line="360" w:lineRule="auto"/>
        <w:jc w:val="both"/>
        <w:rPr>
          <w:rFonts w:ascii="Arial" w:hAnsi="Arial" w:cs="Arial"/>
          <w:lang w:val="es-CO"/>
        </w:rPr>
      </w:pPr>
    </w:p>
    <w:p w14:paraId="4D26D9C1" w14:textId="77777777" w:rsidR="004C7DCE" w:rsidRDefault="004C7DCE" w:rsidP="007164D1">
      <w:pPr>
        <w:spacing w:line="360" w:lineRule="auto"/>
        <w:jc w:val="both"/>
        <w:rPr>
          <w:rFonts w:ascii="Arial" w:hAnsi="Arial" w:cs="Arial"/>
          <w:lang w:val="es-CO"/>
        </w:rPr>
      </w:pPr>
    </w:p>
    <w:p w14:paraId="49E6547E" w14:textId="5DD1D800" w:rsidR="004421D1" w:rsidRPr="00EC366C" w:rsidRDefault="00337093" w:rsidP="00056B3F">
      <w:pPr>
        <w:pStyle w:val="Prrafodelista"/>
        <w:numPr>
          <w:ilvl w:val="0"/>
          <w:numId w:val="22"/>
        </w:numPr>
        <w:spacing w:line="360" w:lineRule="auto"/>
        <w:jc w:val="both"/>
        <w:rPr>
          <w:rFonts w:ascii="Arial" w:hAnsi="Arial" w:cs="Arial"/>
          <w:b/>
          <w:bCs/>
          <w:lang w:val="es-CO"/>
        </w:rPr>
      </w:pPr>
      <w:r w:rsidRPr="00EC366C">
        <w:rPr>
          <w:rFonts w:ascii="Arial" w:hAnsi="Arial" w:cs="Arial"/>
          <w:b/>
          <w:bCs/>
          <w:lang w:val="es-CO"/>
        </w:rPr>
        <w:t xml:space="preserve">SE ACREDITÓ LA IMPROCEDENCIA Y EXCESIVA TASACIÓN DE LOS PERJUICIOS RECLAMADOS. </w:t>
      </w:r>
    </w:p>
    <w:p w14:paraId="5B466E18" w14:textId="77777777" w:rsidR="00D80CDD" w:rsidRDefault="00D80CDD" w:rsidP="00D058C5">
      <w:pPr>
        <w:spacing w:line="312" w:lineRule="auto"/>
        <w:jc w:val="both"/>
        <w:rPr>
          <w:rFonts w:ascii="Arial" w:hAnsi="Arial" w:cs="Arial"/>
          <w:lang w:val="es-CO"/>
        </w:rPr>
      </w:pPr>
    </w:p>
    <w:p w14:paraId="3C26ACFD" w14:textId="75419498" w:rsidR="00337093" w:rsidRDefault="00337093" w:rsidP="00337093">
      <w:pPr>
        <w:spacing w:line="360" w:lineRule="auto"/>
        <w:jc w:val="both"/>
        <w:rPr>
          <w:rFonts w:ascii="Arial" w:hAnsi="Arial" w:cs="Arial"/>
          <w:lang w:val="es-CO"/>
        </w:rPr>
      </w:pPr>
      <w:r w:rsidRPr="00337093">
        <w:rPr>
          <w:rFonts w:ascii="Arial" w:hAnsi="Arial" w:cs="Arial"/>
          <w:lang w:val="es-CO"/>
        </w:rPr>
        <w:t>Tal como ha quedado expuesto a lo largo del proceso, la pretensión indemnizatoria formulada por la parte actora carece de sustento probatorio sólido y concluyente que permita acreditar, de manera clara, cierta y objetiva, la existencia, magnitud y cuantía del daño alegado. En efecto, conforme a lo dispuesto en el artículo 167 del Código General del Proceso</w:t>
      </w:r>
      <w:r>
        <w:rPr>
          <w:rFonts w:ascii="Arial" w:hAnsi="Arial" w:cs="Arial"/>
          <w:lang w:val="es-CO"/>
        </w:rPr>
        <w:t xml:space="preserve">, </w:t>
      </w:r>
      <w:r w:rsidRPr="00337093">
        <w:rPr>
          <w:rFonts w:ascii="Arial" w:hAnsi="Arial" w:cs="Arial"/>
          <w:lang w:val="es-CO"/>
        </w:rPr>
        <w:t xml:space="preserve">que recoge el principio de </w:t>
      </w:r>
      <w:r w:rsidRPr="00337093">
        <w:rPr>
          <w:rFonts w:ascii="Arial" w:hAnsi="Arial" w:cs="Arial"/>
          <w:i/>
          <w:iCs/>
          <w:lang w:val="es-CO"/>
        </w:rPr>
        <w:t>onus probandi</w:t>
      </w:r>
      <w:r w:rsidRPr="00337093">
        <w:rPr>
          <w:rFonts w:ascii="Arial" w:hAnsi="Arial" w:cs="Arial"/>
          <w:lang w:val="es-CO"/>
        </w:rPr>
        <w:t>, corresponde a quien afirma un hecho en su favor demostrarlo mediante pruebas idóneas, pertinentes y conducentes. Lo anterior implica que no basta con la simple enunciación de perjuicios para que proceda su reconocimiento: es indispensable demostrar con rigor que el daño efectivamente ocurrió, en qué consistió y cuál es su valor real.</w:t>
      </w:r>
    </w:p>
    <w:p w14:paraId="7272B60C" w14:textId="77777777" w:rsidR="00F441B1" w:rsidRDefault="00F441B1" w:rsidP="00337093">
      <w:pPr>
        <w:spacing w:line="360" w:lineRule="auto"/>
        <w:jc w:val="both"/>
        <w:rPr>
          <w:rFonts w:ascii="Arial" w:hAnsi="Arial" w:cs="Arial"/>
          <w:lang w:val="es-CO"/>
        </w:rPr>
      </w:pPr>
    </w:p>
    <w:p w14:paraId="3521702C" w14:textId="5674C8F1" w:rsidR="004F5463" w:rsidRPr="00615573" w:rsidRDefault="004F5463" w:rsidP="004F5463">
      <w:pPr>
        <w:spacing w:line="360" w:lineRule="auto"/>
        <w:jc w:val="both"/>
        <w:rPr>
          <w:rFonts w:ascii="Arial" w:hAnsi="Arial" w:cs="Arial"/>
          <w:lang w:val="es-CO"/>
        </w:rPr>
      </w:pPr>
      <w:r w:rsidRPr="004F5463">
        <w:rPr>
          <w:rFonts w:ascii="Arial" w:hAnsi="Arial" w:cs="Arial"/>
          <w:lang w:val="es-CO"/>
        </w:rPr>
        <w:t xml:space="preserve">El análisis de la pretensión indemnizatoria por concepto de </w:t>
      </w:r>
      <w:r w:rsidRPr="004F5463">
        <w:rPr>
          <w:rFonts w:ascii="Arial" w:hAnsi="Arial" w:cs="Arial"/>
          <w:b/>
          <w:bCs/>
          <w:u w:val="single"/>
          <w:lang w:val="es-CO"/>
        </w:rPr>
        <w:t>perjuicios morales</w:t>
      </w:r>
      <w:r w:rsidRPr="004F5463">
        <w:rPr>
          <w:rFonts w:ascii="Arial" w:hAnsi="Arial" w:cs="Arial"/>
          <w:lang w:val="es-CO"/>
        </w:rPr>
        <w:t xml:space="preserve"> revela una evidente excesiv</w:t>
      </w:r>
      <w:r w:rsidR="00615573">
        <w:rPr>
          <w:rFonts w:ascii="Arial" w:hAnsi="Arial" w:cs="Arial"/>
          <w:lang w:val="es-CO"/>
        </w:rPr>
        <w:t xml:space="preserve">a </w:t>
      </w:r>
      <w:r w:rsidR="00A10183">
        <w:rPr>
          <w:rFonts w:ascii="Arial" w:hAnsi="Arial" w:cs="Arial"/>
          <w:lang w:val="es-CO"/>
        </w:rPr>
        <w:t>tasación</w:t>
      </w:r>
      <w:r w:rsidRPr="004F5463">
        <w:rPr>
          <w:rFonts w:ascii="Arial" w:hAnsi="Arial" w:cs="Arial"/>
          <w:lang w:val="es-CO"/>
        </w:rPr>
        <w:t xml:space="preserve"> y falta de proporcionalidad en la cuantificación solicitada por la parte demandante, que desconoce abiertamente los criterios establecidos por la jurisprudencia contencioso-administrativa, en particular aquellos contenidos en la sentencia de unificación del 28 de agosto de 2014, proferida por la Sección Tercera del Consejo de Estado (Rad. 31172, C.P. Olga </w:t>
      </w:r>
      <w:proofErr w:type="spellStart"/>
      <w:r w:rsidRPr="004F5463">
        <w:rPr>
          <w:rFonts w:ascii="Arial" w:hAnsi="Arial" w:cs="Arial"/>
          <w:lang w:val="es-CO"/>
        </w:rPr>
        <w:t>Melida</w:t>
      </w:r>
      <w:proofErr w:type="spellEnd"/>
      <w:r w:rsidRPr="004F5463">
        <w:rPr>
          <w:rFonts w:ascii="Arial" w:hAnsi="Arial" w:cs="Arial"/>
          <w:lang w:val="es-CO"/>
        </w:rPr>
        <w:t xml:space="preserve"> Valle de </w:t>
      </w:r>
      <w:proofErr w:type="spellStart"/>
      <w:r w:rsidRPr="004F5463">
        <w:rPr>
          <w:rFonts w:ascii="Arial" w:hAnsi="Arial" w:cs="Arial"/>
          <w:lang w:val="es-CO"/>
        </w:rPr>
        <w:t>De</w:t>
      </w:r>
      <w:proofErr w:type="spellEnd"/>
      <w:r w:rsidRPr="004F5463">
        <w:rPr>
          <w:rFonts w:ascii="Arial" w:hAnsi="Arial" w:cs="Arial"/>
          <w:lang w:val="es-CO"/>
        </w:rPr>
        <w:t xml:space="preserve"> la Hoz).</w:t>
      </w:r>
    </w:p>
    <w:p w14:paraId="554DE3B9" w14:textId="77777777" w:rsidR="00615573" w:rsidRPr="004F5463" w:rsidRDefault="00615573" w:rsidP="004F5463">
      <w:pPr>
        <w:spacing w:line="360" w:lineRule="auto"/>
        <w:jc w:val="both"/>
        <w:rPr>
          <w:rFonts w:ascii="Arial" w:hAnsi="Arial" w:cs="Arial"/>
          <w:lang w:val="es-CO"/>
        </w:rPr>
      </w:pPr>
    </w:p>
    <w:p w14:paraId="5ED925CB" w14:textId="77777777" w:rsidR="004F5463" w:rsidRPr="00615573" w:rsidRDefault="004F5463" w:rsidP="004F5463">
      <w:pPr>
        <w:spacing w:line="360" w:lineRule="auto"/>
        <w:jc w:val="both"/>
        <w:rPr>
          <w:rFonts w:ascii="Arial" w:hAnsi="Arial" w:cs="Arial"/>
          <w:lang w:val="es-CO"/>
        </w:rPr>
      </w:pPr>
      <w:r w:rsidRPr="004F5463">
        <w:rPr>
          <w:rFonts w:ascii="Arial" w:hAnsi="Arial" w:cs="Arial"/>
          <w:lang w:val="es-CO"/>
        </w:rPr>
        <w:t>Si bien es cierto que el daño moral, por su naturaleza extrapatrimonial, implica una valoración subjetiva, ello no faculta a los demandantes a formular reclamaciones sin soporte probatorio o fáctico suficiente, ni mucho menos a solicitar montos que exceden los topes fijados jurisprudencialmente para relaciones de consanguinidad de segundo o tercer grado. Como lo ha señalado con claridad el Consejo de Estado, la finalidad de la indemnización por daño moral no es sancionar ni generar beneficios patrimoniales desmedidos, sino compensar razonablemente el sufrimiento derivado del hecho dañoso, respetando los principios de objetividad, equidad y seguridad jurídica.</w:t>
      </w:r>
    </w:p>
    <w:p w14:paraId="563CA174" w14:textId="77777777" w:rsidR="00615573" w:rsidRPr="004F5463" w:rsidRDefault="00615573" w:rsidP="004F5463">
      <w:pPr>
        <w:spacing w:line="360" w:lineRule="auto"/>
        <w:jc w:val="both"/>
        <w:rPr>
          <w:rFonts w:ascii="Arial" w:hAnsi="Arial" w:cs="Arial"/>
          <w:lang w:val="es-CO"/>
        </w:rPr>
      </w:pPr>
    </w:p>
    <w:p w14:paraId="4B8BC678" w14:textId="22612E4E" w:rsidR="004F5463" w:rsidRPr="00615573" w:rsidRDefault="004F5463" w:rsidP="004F5463">
      <w:pPr>
        <w:spacing w:line="360" w:lineRule="auto"/>
        <w:jc w:val="both"/>
        <w:rPr>
          <w:rFonts w:ascii="Arial" w:hAnsi="Arial" w:cs="Arial"/>
          <w:lang w:val="es-CO"/>
        </w:rPr>
      </w:pPr>
      <w:r w:rsidRPr="004F5463">
        <w:rPr>
          <w:rFonts w:ascii="Arial" w:hAnsi="Arial" w:cs="Arial"/>
          <w:lang w:val="es-CO"/>
        </w:rPr>
        <w:t>En el presente caso, el apoderado judicial del extremo activo solicita el reconocimiento del máximo monto históricamente reconocido por concepto de perjuicios morales</w:t>
      </w:r>
      <w:r w:rsidR="00615573">
        <w:rPr>
          <w:rFonts w:ascii="Arial" w:hAnsi="Arial" w:cs="Arial"/>
          <w:lang w:val="es-CO"/>
        </w:rPr>
        <w:t xml:space="preserve">, </w:t>
      </w:r>
      <w:r w:rsidRPr="004F5463">
        <w:rPr>
          <w:rFonts w:ascii="Arial" w:hAnsi="Arial" w:cs="Arial"/>
          <w:lang w:val="es-CO"/>
        </w:rPr>
        <w:t xml:space="preserve">esto es, 100 salarios mínimos </w:t>
      </w:r>
      <w:r w:rsidRPr="004F5463">
        <w:rPr>
          <w:rFonts w:ascii="Arial" w:hAnsi="Arial" w:cs="Arial"/>
          <w:lang w:val="es-CO"/>
        </w:rPr>
        <w:lastRenderedPageBreak/>
        <w:t>mensuales legales vigentes (SMLMV)</w:t>
      </w:r>
      <w:r w:rsidR="00615573">
        <w:rPr>
          <w:rFonts w:ascii="Arial" w:hAnsi="Arial" w:cs="Arial"/>
          <w:lang w:val="es-CO"/>
        </w:rPr>
        <w:t>,</w:t>
      </w:r>
      <w:r w:rsidRPr="004F5463">
        <w:rPr>
          <w:rFonts w:ascii="Arial" w:hAnsi="Arial" w:cs="Arial"/>
          <w:lang w:val="es-CO"/>
        </w:rPr>
        <w:t xml:space="preserve"> para cada uno de los demandantes, sin tener en cuenta su grado de parentesco con la víctima ni acreditar la intensidad del vínculo afectivo alegado. Así, se solicita una suma de 100 SMLMV a favor de los señores </w:t>
      </w:r>
      <w:r w:rsidR="00615573" w:rsidRPr="00615573">
        <w:rPr>
          <w:rFonts w:ascii="Arial" w:hAnsi="Arial" w:cs="Arial"/>
          <w:lang w:val="es-CO"/>
        </w:rPr>
        <w:t>JOSÉ GUILLERMO DÍAZ Y MARÍA LUCENA BENÍTEZ DÍAZ</w:t>
      </w:r>
      <w:r w:rsidRPr="004F5463">
        <w:rPr>
          <w:rFonts w:ascii="Arial" w:hAnsi="Arial" w:cs="Arial"/>
          <w:lang w:val="es-CO"/>
        </w:rPr>
        <w:t xml:space="preserve">, quienes ostentan la calidad de hermanos del fallecido, y del menor </w:t>
      </w:r>
      <w:r w:rsidR="00615573" w:rsidRPr="00615573">
        <w:rPr>
          <w:rFonts w:ascii="Arial" w:hAnsi="Arial" w:cs="Arial"/>
          <w:lang w:val="es-CO"/>
        </w:rPr>
        <w:t>MATHIAS GÓMEZ BENÍTEZ</w:t>
      </w:r>
      <w:r w:rsidRPr="004F5463">
        <w:rPr>
          <w:rFonts w:ascii="Arial" w:hAnsi="Arial" w:cs="Arial"/>
          <w:lang w:val="es-CO"/>
        </w:rPr>
        <w:t>, su nieto, pese a que todos se ubican en el segundo grado de consanguinidad, lo cual, según la jurisprudencia vigente, limita el reconocimiento máximo a 50 SMLMV, siempre que exista prueba suficiente de la afectación emocional.</w:t>
      </w:r>
    </w:p>
    <w:p w14:paraId="1DC89671" w14:textId="77777777" w:rsidR="00615573" w:rsidRPr="004F5463" w:rsidRDefault="00615573" w:rsidP="004F5463">
      <w:pPr>
        <w:spacing w:line="360" w:lineRule="auto"/>
        <w:jc w:val="both"/>
        <w:rPr>
          <w:rFonts w:ascii="Arial" w:hAnsi="Arial" w:cs="Arial"/>
          <w:lang w:val="es-CO"/>
        </w:rPr>
      </w:pPr>
    </w:p>
    <w:p w14:paraId="4C49CEBF" w14:textId="77777777" w:rsidR="004F5463" w:rsidRPr="00615573" w:rsidRDefault="004F5463" w:rsidP="004F5463">
      <w:pPr>
        <w:spacing w:line="360" w:lineRule="auto"/>
        <w:jc w:val="both"/>
        <w:rPr>
          <w:rFonts w:ascii="Arial" w:hAnsi="Arial" w:cs="Arial"/>
          <w:lang w:val="es-CO"/>
        </w:rPr>
      </w:pPr>
      <w:r w:rsidRPr="004F5463">
        <w:rPr>
          <w:rFonts w:ascii="Arial" w:hAnsi="Arial" w:cs="Arial"/>
          <w:lang w:val="es-CO"/>
        </w:rPr>
        <w:t xml:space="preserve">La desproporción en la tasación resulta aún más evidente al constatar que no se </w:t>
      </w:r>
      <w:proofErr w:type="spellStart"/>
      <w:r w:rsidRPr="004F5463">
        <w:rPr>
          <w:rFonts w:ascii="Arial" w:hAnsi="Arial" w:cs="Arial"/>
          <w:lang w:val="es-CO"/>
        </w:rPr>
        <w:t>allegó</w:t>
      </w:r>
      <w:proofErr w:type="spellEnd"/>
      <w:r w:rsidRPr="004F5463">
        <w:rPr>
          <w:rFonts w:ascii="Arial" w:hAnsi="Arial" w:cs="Arial"/>
          <w:lang w:val="es-CO"/>
        </w:rPr>
        <w:t xml:space="preserve"> al proceso prueba alguna del dolor, aflicción o sufrimiento personal experimentado por los demandantes. La jurisprudencia ha reiterado que, tratándose de parientes en segundo o tercer grado (como hermanos, tíos, primos o nietos), no puede presumirse automáticamente el perjuicio moral, por lo que su reconocimiento está condicionado a la demostración concreta del vínculo afectivo real, cercano, constante y significativo con la víctima directa, así como de la afectación emocional derivada del daño.</w:t>
      </w:r>
    </w:p>
    <w:p w14:paraId="402695F4" w14:textId="77777777" w:rsidR="00615573" w:rsidRPr="004F5463" w:rsidRDefault="00615573" w:rsidP="004F5463">
      <w:pPr>
        <w:spacing w:line="360" w:lineRule="auto"/>
        <w:jc w:val="both"/>
        <w:rPr>
          <w:rFonts w:ascii="Arial" w:hAnsi="Arial" w:cs="Arial"/>
          <w:lang w:val="es-CO"/>
        </w:rPr>
      </w:pPr>
    </w:p>
    <w:p w14:paraId="37616784" w14:textId="0F74507F" w:rsidR="004F5463" w:rsidRPr="004F5463" w:rsidRDefault="004F5463" w:rsidP="004F5463">
      <w:pPr>
        <w:spacing w:line="360" w:lineRule="auto"/>
        <w:jc w:val="both"/>
        <w:rPr>
          <w:rFonts w:ascii="Arial" w:hAnsi="Arial" w:cs="Arial"/>
          <w:lang w:val="es-CO"/>
        </w:rPr>
      </w:pPr>
      <w:r w:rsidRPr="004F5463">
        <w:rPr>
          <w:rFonts w:ascii="Arial" w:hAnsi="Arial" w:cs="Arial"/>
          <w:lang w:val="es-CO"/>
        </w:rPr>
        <w:t>En este punto, es relevante reiterar que la indemnización por perjuicio inmaterial no puede convertirse en una forma de enriquecimiento injustificado. Su única finalidad es restituir, en lo posible, el equilibrio alterado por el hecho lesivo, sin que ello implique conferir beneficios desproporcionados ni rebasar los límites razonables que impone la función resarcitoria del derecho de daños. Por tanto, resulta inaceptable que se pretenda el pago de sumas exorbitantes sin ninguna evidencia del dolor sufrido ni contexto probatorio que justifique tal solicitud.</w:t>
      </w:r>
      <w:r w:rsidR="00615573">
        <w:rPr>
          <w:rFonts w:ascii="Arial" w:hAnsi="Arial" w:cs="Arial"/>
          <w:lang w:val="es-CO"/>
        </w:rPr>
        <w:t xml:space="preserve"> En virtud a lo anterior, l</w:t>
      </w:r>
      <w:r w:rsidRPr="004F5463">
        <w:rPr>
          <w:rFonts w:ascii="Arial" w:hAnsi="Arial" w:cs="Arial"/>
          <w:lang w:val="es-CO"/>
        </w:rPr>
        <w:t>os jueces, al momento de valorar perjuicios morales, están llamados a observar los criterios objetivos delineados por la jurisprudencia: el grado de cercanía familiar, la dependencia emocional, la prueba directa del dolor (cuando no puede presumirse), y la coherencia de la pretensión frente al precedente judicial. En este caso, ninguno de estos elementos ha sido acreditado, lo que torna improcedente la tasación pretendida por la parte actora y demuestra su desconexión con los estándares jurisprudenciales aplicables.</w:t>
      </w:r>
    </w:p>
    <w:p w14:paraId="1598DDF4" w14:textId="77777777" w:rsidR="004F5463" w:rsidRDefault="004F5463" w:rsidP="004F5463">
      <w:pPr>
        <w:spacing w:line="360" w:lineRule="auto"/>
        <w:jc w:val="both"/>
        <w:rPr>
          <w:rFonts w:ascii="Arial" w:hAnsi="Arial" w:cs="Arial"/>
          <w:lang w:val="es-CO"/>
        </w:rPr>
      </w:pPr>
    </w:p>
    <w:p w14:paraId="7E51D42C" w14:textId="77777777" w:rsidR="004F5463" w:rsidRDefault="004F5463" w:rsidP="004F5463">
      <w:pPr>
        <w:spacing w:line="360" w:lineRule="auto"/>
        <w:jc w:val="both"/>
        <w:rPr>
          <w:rFonts w:ascii="Arial" w:hAnsi="Arial" w:cs="Arial"/>
          <w:lang w:val="es-CO"/>
        </w:rPr>
      </w:pPr>
    </w:p>
    <w:p w14:paraId="015B8FC0" w14:textId="3AA6144F" w:rsidR="002E3145" w:rsidRDefault="00F03B7F" w:rsidP="002E3145">
      <w:pPr>
        <w:spacing w:line="360" w:lineRule="auto"/>
        <w:jc w:val="both"/>
        <w:rPr>
          <w:rFonts w:ascii="Arial" w:hAnsi="Arial" w:cs="Arial"/>
          <w:lang w:val="es-CO"/>
        </w:rPr>
      </w:pPr>
      <w:r>
        <w:rPr>
          <w:rFonts w:ascii="Arial" w:hAnsi="Arial" w:cs="Arial"/>
          <w:lang w:val="es-CO"/>
        </w:rPr>
        <w:t xml:space="preserve">Por otro lado, </w:t>
      </w:r>
      <w:r w:rsidRPr="00F03B7F">
        <w:rPr>
          <w:rFonts w:ascii="Arial" w:hAnsi="Arial" w:cs="Arial"/>
        </w:rPr>
        <w:t xml:space="preserve">debe agregarse además que en la demanda se formularon pretensiones orientadas a obtener la reparación por perjuicios </w:t>
      </w:r>
      <w:r w:rsidR="002E3145">
        <w:rPr>
          <w:rFonts w:ascii="Arial" w:hAnsi="Arial" w:cs="Arial"/>
        </w:rPr>
        <w:t>por</w:t>
      </w:r>
      <w:r w:rsidR="002E3145" w:rsidRPr="002E3145">
        <w:rPr>
          <w:rFonts w:ascii="Arial" w:hAnsi="Arial" w:cs="Arial"/>
          <w:b/>
          <w:bCs/>
        </w:rPr>
        <w:t xml:space="preserve"> </w:t>
      </w:r>
      <w:r w:rsidR="002E3145" w:rsidRPr="002E3145">
        <w:rPr>
          <w:rFonts w:ascii="Arial" w:hAnsi="Arial" w:cs="Arial"/>
          <w:b/>
          <w:bCs/>
          <w:u w:val="single"/>
        </w:rPr>
        <w:t>lucro cesante</w:t>
      </w:r>
      <w:r w:rsidR="002E3145" w:rsidRPr="002E3145">
        <w:rPr>
          <w:rFonts w:ascii="Arial" w:hAnsi="Arial" w:cs="Arial"/>
          <w:b/>
          <w:bCs/>
        </w:rPr>
        <w:t xml:space="preserve">. </w:t>
      </w:r>
      <w:r w:rsidR="002E3145" w:rsidRPr="002E3145">
        <w:rPr>
          <w:rFonts w:ascii="Arial" w:hAnsi="Arial" w:cs="Arial"/>
        </w:rPr>
        <w:t>Frente a estos, e</w:t>
      </w:r>
      <w:r w:rsidR="002E3145" w:rsidRPr="002E3145">
        <w:rPr>
          <w:rFonts w:ascii="Arial" w:hAnsi="Arial" w:cs="Arial"/>
          <w:lang w:val="es-CO"/>
        </w:rPr>
        <w:t>n el marco probatorio del presente proceso, ha quedado en evidencia que la pretensión indemnizatoria elevada por concepto de lucro cesante carece por completo de soporte fáctico y jurídico, razón por la cual no resulta procedente su reconocimiento. El extremo demandante no aportó prueba alguna</w:t>
      </w:r>
      <w:r w:rsidR="002E3145">
        <w:rPr>
          <w:rFonts w:ascii="Arial" w:hAnsi="Arial" w:cs="Arial"/>
          <w:lang w:val="es-CO"/>
        </w:rPr>
        <w:t xml:space="preserve">, </w:t>
      </w:r>
      <w:r w:rsidR="002E3145" w:rsidRPr="002E3145">
        <w:rPr>
          <w:rFonts w:ascii="Arial" w:hAnsi="Arial" w:cs="Arial"/>
          <w:lang w:val="es-CO"/>
        </w:rPr>
        <w:t>ni siquiera sumaria</w:t>
      </w:r>
      <w:r w:rsidR="002E3145">
        <w:rPr>
          <w:rFonts w:ascii="Arial" w:hAnsi="Arial" w:cs="Arial"/>
          <w:lang w:val="es-CO"/>
        </w:rPr>
        <w:t xml:space="preserve">, </w:t>
      </w:r>
      <w:r w:rsidR="002E3145" w:rsidRPr="002E3145">
        <w:rPr>
          <w:rFonts w:ascii="Arial" w:hAnsi="Arial" w:cs="Arial"/>
          <w:lang w:val="es-CO"/>
        </w:rPr>
        <w:t>que permitiera establecer la existencia cierta de una actividad económica desarrollada por el señor JORGE ENRIQUE BENÍTEZ DÍAZ (Q.E.P.D.) al momento del accidente, ni mucho menos los ingresos que derivaba de dicha actividad. En consecuencia, no hay elementos objetivos que sustenten la existencia del perjuicio ni su cuantía.</w:t>
      </w:r>
    </w:p>
    <w:p w14:paraId="3257A453" w14:textId="77777777" w:rsidR="002E3145" w:rsidRPr="002E3145" w:rsidRDefault="002E3145" w:rsidP="002E3145">
      <w:pPr>
        <w:spacing w:line="360" w:lineRule="auto"/>
        <w:jc w:val="both"/>
        <w:rPr>
          <w:rFonts w:ascii="Arial" w:hAnsi="Arial" w:cs="Arial"/>
          <w:lang w:val="es-CO"/>
        </w:rPr>
      </w:pPr>
    </w:p>
    <w:p w14:paraId="7B6A978C" w14:textId="0987A524" w:rsidR="002E3145" w:rsidRDefault="002E3145" w:rsidP="002E3145">
      <w:pPr>
        <w:spacing w:line="360" w:lineRule="auto"/>
        <w:jc w:val="both"/>
        <w:rPr>
          <w:rFonts w:ascii="Arial" w:hAnsi="Arial" w:cs="Arial"/>
          <w:lang w:val="es-CO"/>
        </w:rPr>
      </w:pPr>
      <w:r w:rsidRPr="002E3145">
        <w:rPr>
          <w:rFonts w:ascii="Arial" w:hAnsi="Arial" w:cs="Arial"/>
          <w:lang w:val="es-CO"/>
        </w:rPr>
        <w:lastRenderedPageBreak/>
        <w:t>Como ha sido reiterado por la jurisprudencia nacional, el lucro cesante es una modalidad de perjuicio material de contenido económico, cuyo reconocimiento exige la prueba cierta, no hipotética, de que la víctima percibía ingresos regulares o se encontraba en condiciones verificables de percibirlos. Este daño no puede presumirse, ni derivarse de elucubraciones sobre la edad productiva o expectativas abstractas. La Corte Suprema de Justicia ha precisado que el lucro cesante debe ser real, tangible, altamente probable y derivado de una situación concreta y verificable, descartando así los llamados “sueños de ganancia”, carentes de anclaje en la realidad probatoria.</w:t>
      </w:r>
      <w:r>
        <w:rPr>
          <w:rFonts w:ascii="Arial" w:hAnsi="Arial" w:cs="Arial"/>
          <w:lang w:val="es-CO"/>
        </w:rPr>
        <w:t xml:space="preserve"> </w:t>
      </w:r>
      <w:r w:rsidRPr="002E3145">
        <w:rPr>
          <w:rFonts w:ascii="Arial" w:hAnsi="Arial" w:cs="Arial"/>
          <w:lang w:val="es-CO"/>
        </w:rPr>
        <w:t>En ese mismo sentido, el Consejo de Estado, mediante sentencia de unificación del 18 de julio de 2019 (</w:t>
      </w:r>
      <w:proofErr w:type="spellStart"/>
      <w:r w:rsidRPr="002E3145">
        <w:rPr>
          <w:rFonts w:ascii="Arial" w:hAnsi="Arial" w:cs="Arial"/>
          <w:lang w:val="es-CO"/>
        </w:rPr>
        <w:t>Exp</w:t>
      </w:r>
      <w:proofErr w:type="spellEnd"/>
      <w:r w:rsidRPr="002E3145">
        <w:rPr>
          <w:rFonts w:ascii="Arial" w:hAnsi="Arial" w:cs="Arial"/>
          <w:lang w:val="es-CO"/>
        </w:rPr>
        <w:t>. 44572, C.P. Carlos Alberto Zambrano), abolió expresamente la presunción de ingreso equivalente a un salario mínimo para personas en edad productiva, señalando que tal entendimiento contraría el principio de certeza que rige el reconocimiento de este tipo de perjuicios. En dicha providencia, el máximo tribunal de lo contencioso-administrativo estableció que el reconocimiento del lucro cesante exige:</w:t>
      </w:r>
    </w:p>
    <w:p w14:paraId="5B851F08" w14:textId="77777777" w:rsidR="002E3145" w:rsidRPr="002E3145" w:rsidRDefault="002E3145" w:rsidP="002E3145">
      <w:pPr>
        <w:spacing w:line="360" w:lineRule="auto"/>
        <w:jc w:val="both"/>
        <w:rPr>
          <w:rFonts w:ascii="Arial" w:hAnsi="Arial" w:cs="Arial"/>
          <w:lang w:val="es-CO"/>
        </w:rPr>
      </w:pPr>
    </w:p>
    <w:p w14:paraId="4344CCBC" w14:textId="77777777" w:rsidR="002E3145" w:rsidRPr="002E3145" w:rsidRDefault="002E3145" w:rsidP="002E3145">
      <w:pPr>
        <w:numPr>
          <w:ilvl w:val="0"/>
          <w:numId w:val="56"/>
        </w:numPr>
        <w:spacing w:line="360" w:lineRule="auto"/>
        <w:jc w:val="both"/>
        <w:rPr>
          <w:rFonts w:ascii="Arial" w:hAnsi="Arial" w:cs="Arial"/>
          <w:lang w:val="es-CO"/>
        </w:rPr>
      </w:pPr>
      <w:r w:rsidRPr="002E3145">
        <w:rPr>
          <w:rFonts w:ascii="Arial" w:hAnsi="Arial" w:cs="Arial"/>
          <w:lang w:val="es-CO"/>
        </w:rPr>
        <w:t>La existencia probada de una relación laboral vigente al momento del daño, o su configuración cierta e inminente;</w:t>
      </w:r>
    </w:p>
    <w:p w14:paraId="416F15B3" w14:textId="159A4674" w:rsidR="002E3145" w:rsidRDefault="002E3145" w:rsidP="002E3145">
      <w:pPr>
        <w:numPr>
          <w:ilvl w:val="0"/>
          <w:numId w:val="56"/>
        </w:numPr>
        <w:spacing w:line="360" w:lineRule="auto"/>
        <w:jc w:val="both"/>
        <w:rPr>
          <w:rFonts w:ascii="Arial" w:hAnsi="Arial" w:cs="Arial"/>
          <w:lang w:val="es-CO"/>
        </w:rPr>
      </w:pPr>
      <w:r w:rsidRPr="002E3145">
        <w:rPr>
          <w:rFonts w:ascii="Arial" w:hAnsi="Arial" w:cs="Arial"/>
          <w:lang w:val="es-CO"/>
        </w:rPr>
        <w:t xml:space="preserve">O, en su defecto, la acreditación de una actividad económica lícita y consolidada de la cual se </w:t>
      </w:r>
      <w:r w:rsidR="00A10183" w:rsidRPr="002E3145">
        <w:rPr>
          <w:rFonts w:ascii="Arial" w:hAnsi="Arial" w:cs="Arial"/>
          <w:lang w:val="es-CO"/>
        </w:rPr>
        <w:t>generarán</w:t>
      </w:r>
      <w:r w:rsidRPr="002E3145">
        <w:rPr>
          <w:rFonts w:ascii="Arial" w:hAnsi="Arial" w:cs="Arial"/>
          <w:lang w:val="es-CO"/>
        </w:rPr>
        <w:t xml:space="preserve"> ingresos concretos.</w:t>
      </w:r>
    </w:p>
    <w:p w14:paraId="4D177A28" w14:textId="77777777" w:rsidR="002E3145" w:rsidRPr="002E3145" w:rsidRDefault="002E3145" w:rsidP="002E3145">
      <w:pPr>
        <w:spacing w:line="360" w:lineRule="auto"/>
        <w:ind w:left="720"/>
        <w:jc w:val="both"/>
        <w:rPr>
          <w:rFonts w:ascii="Arial" w:hAnsi="Arial" w:cs="Arial"/>
          <w:lang w:val="es-CO"/>
        </w:rPr>
      </w:pPr>
    </w:p>
    <w:p w14:paraId="67BE8781" w14:textId="0103EA0C" w:rsidR="002E3145" w:rsidRDefault="002E3145" w:rsidP="002E3145">
      <w:pPr>
        <w:spacing w:line="360" w:lineRule="auto"/>
        <w:jc w:val="both"/>
        <w:rPr>
          <w:rFonts w:ascii="Arial" w:hAnsi="Arial" w:cs="Arial"/>
          <w:lang w:val="es-CO"/>
        </w:rPr>
      </w:pPr>
      <w:r w:rsidRPr="002E3145">
        <w:rPr>
          <w:rFonts w:ascii="Arial" w:hAnsi="Arial" w:cs="Arial"/>
          <w:lang w:val="es-CO"/>
        </w:rPr>
        <w:t>Aplicando estos lineamientos al caso sub examine, no puede pasarse por alto que el apoderado de la parte actora solicita la indemnización de lucro cesante derivado de la muerte del señor JORGE ENRIQUE BENÍTEZ DÍAZ, sin haber allegado medio de prueba alguno que acredite su actividad económica ni los ingresos que percibía. En otras palabras, no existe prueba sobre los supuestos perjuicios invocados, por lo que la pretensión indemnizatoria carece del requisito esencial de certeza. No se aportaron registros laborales, certificaciones de ingresos, declaraciones tributarias ni evidencia alguna sobre un proyecto de vida productivo que permitiera inferir razonablemente una expectativa cierta de ganancia.</w:t>
      </w:r>
      <w:r>
        <w:rPr>
          <w:rFonts w:ascii="Arial" w:hAnsi="Arial" w:cs="Arial"/>
          <w:lang w:val="es-CO"/>
        </w:rPr>
        <w:t xml:space="preserve"> </w:t>
      </w:r>
      <w:r w:rsidRPr="002E3145">
        <w:rPr>
          <w:rFonts w:ascii="Arial" w:hAnsi="Arial" w:cs="Arial"/>
          <w:lang w:val="es-CO"/>
        </w:rPr>
        <w:t>De conformidad con el estándar de prueba exigido por la jurisprudencia, esta omisión probatoria no puede ser suplida por conjeturas, inferencias o apelaciones genéricas a la edad o capacidad laboral de la víctima. Por el contrario, la carga probatoria recaía exclusivamente sobre la parte demandante, y su incumplimiento impide acceder al reconocimiento del perjuicio reclamado.</w:t>
      </w:r>
    </w:p>
    <w:p w14:paraId="5A7EF32B" w14:textId="77777777" w:rsidR="002E3145" w:rsidRPr="002E3145" w:rsidRDefault="002E3145" w:rsidP="002E3145">
      <w:pPr>
        <w:spacing w:line="360" w:lineRule="auto"/>
        <w:jc w:val="both"/>
        <w:rPr>
          <w:rFonts w:ascii="Arial" w:hAnsi="Arial" w:cs="Arial"/>
          <w:lang w:val="es-CO"/>
        </w:rPr>
      </w:pPr>
    </w:p>
    <w:p w14:paraId="32CAE0F0" w14:textId="77777777" w:rsidR="002E3145" w:rsidRPr="002E3145" w:rsidRDefault="002E3145" w:rsidP="002E3145">
      <w:pPr>
        <w:spacing w:line="360" w:lineRule="auto"/>
        <w:jc w:val="both"/>
        <w:rPr>
          <w:rFonts w:ascii="Arial" w:hAnsi="Arial" w:cs="Arial"/>
          <w:lang w:val="es-CO"/>
        </w:rPr>
      </w:pPr>
      <w:r w:rsidRPr="002E3145">
        <w:rPr>
          <w:rFonts w:ascii="Arial" w:hAnsi="Arial" w:cs="Arial"/>
          <w:lang w:val="es-CO"/>
        </w:rPr>
        <w:t>En virtud de lo expuesto, y habiéndose demostrado que la pretensión por concepto de lucro cesante no está respaldada en ninguna prueba idónea, ni se acreditó la existencia de una actividad productiva ni los ingresos dejados de percibir, es claro que no se reúnen los requisitos exigidos para su reconocimiento. Por consiguiente, la solicitud de condena indemnizatoria elevada a favor de la señora Margarita Jurado Giraldo debe ser rechazada en su integridad, al no cumplir con los presupuestos mínimos que hacen viable la reparación de un perjuicio material en sede judicial.</w:t>
      </w:r>
    </w:p>
    <w:p w14:paraId="05065BEB" w14:textId="77777777" w:rsidR="002E3145" w:rsidRDefault="002E3145" w:rsidP="00F03B7F">
      <w:pPr>
        <w:spacing w:line="360" w:lineRule="auto"/>
        <w:jc w:val="both"/>
        <w:rPr>
          <w:rFonts w:ascii="Arial" w:hAnsi="Arial" w:cs="Arial"/>
          <w:lang w:val="es-CO"/>
        </w:rPr>
      </w:pPr>
    </w:p>
    <w:p w14:paraId="5E0A8F96" w14:textId="3A9ECF97" w:rsidR="002B3FB9" w:rsidRPr="002E3145" w:rsidRDefault="002B3FB9" w:rsidP="00F03B7F">
      <w:pPr>
        <w:spacing w:line="360" w:lineRule="auto"/>
        <w:jc w:val="both"/>
        <w:rPr>
          <w:rFonts w:ascii="Arial" w:hAnsi="Arial" w:cs="Arial"/>
          <w:lang w:val="es-CO"/>
        </w:rPr>
      </w:pPr>
      <w:r w:rsidRPr="002B3FB9">
        <w:rPr>
          <w:rFonts w:ascii="Arial" w:hAnsi="Arial" w:cs="Arial"/>
        </w:rPr>
        <w:t xml:space="preserve">En suma, ha quedado plenamente acreditado en el proceso que las pretensiones indemnizatorias </w:t>
      </w:r>
      <w:r w:rsidRPr="002B3FB9">
        <w:rPr>
          <w:rFonts w:ascii="Arial" w:hAnsi="Arial" w:cs="Arial"/>
        </w:rPr>
        <w:lastRenderedPageBreak/>
        <w:t>formuladas por la parte actora carecen del respaldo probatorio exigido por la ley y la jurisprudencia. Ni los perjuicios morales reclamados, tasados de forma desproporcionada y sin prueba de afectación real, ni los perjuicios materiales por concepto de lucro cesante, desprovistos de toda evidencia que permita verificar la existencia y cuantía del daño, cumplen con los requisitos mínimos para su reconocimiento. En consecuencia, las solicitudes resarcitorias deben ser desestimadas en su totalidad, por resultar abiertamente improcedentes y contrarias a los principios que rigen la responsabilidad extracontractual del Estado.</w:t>
      </w:r>
    </w:p>
    <w:p w14:paraId="22E7CFB3" w14:textId="77777777" w:rsidR="002E3145" w:rsidRDefault="002E3145" w:rsidP="00F03B7F">
      <w:pPr>
        <w:spacing w:line="360" w:lineRule="auto"/>
        <w:jc w:val="both"/>
        <w:rPr>
          <w:rFonts w:ascii="Arial" w:hAnsi="Arial" w:cs="Arial"/>
          <w:b/>
          <w:bCs/>
        </w:rPr>
      </w:pPr>
    </w:p>
    <w:p w14:paraId="5714FA1B" w14:textId="77777777" w:rsidR="000D306A" w:rsidRPr="000D306A" w:rsidRDefault="000D306A" w:rsidP="000D306A">
      <w:pPr>
        <w:spacing w:line="312" w:lineRule="auto"/>
        <w:jc w:val="right"/>
        <w:rPr>
          <w:rFonts w:ascii="Arial" w:hAnsi="Arial" w:cs="Arial"/>
          <w:lang w:val="es-CO"/>
        </w:rPr>
      </w:pPr>
    </w:p>
    <w:p w14:paraId="44CA7736" w14:textId="77E4D7E4" w:rsidR="00151067" w:rsidRDefault="00F36A78" w:rsidP="00C5305A">
      <w:pPr>
        <w:spacing w:line="360" w:lineRule="auto"/>
        <w:jc w:val="center"/>
        <w:rPr>
          <w:rFonts w:ascii="Arial" w:eastAsiaTheme="minorHAnsi" w:hAnsi="Arial" w:cs="Arial"/>
          <w:color w:val="000000"/>
          <w:sz w:val="24"/>
          <w:szCs w:val="24"/>
          <w:lang w:val="es-CO"/>
        </w:rPr>
      </w:pPr>
      <w:r w:rsidRPr="00BD7F61">
        <w:rPr>
          <w:rFonts w:ascii="Arial" w:hAnsi="Arial" w:cs="Arial"/>
          <w:b/>
          <w:bCs/>
          <w:u w:val="single"/>
          <w:lang w:val="es-CO"/>
        </w:rPr>
        <w:t>CAPÍTULO III. ANÁLISIS FRENTE AL LLAMAMIENTO EN GARANTÍA REALIZADO POR</w:t>
      </w:r>
      <w:r w:rsidR="00C5305A">
        <w:rPr>
          <w:rFonts w:ascii="Arial" w:hAnsi="Arial" w:cs="Arial"/>
          <w:b/>
          <w:bCs/>
          <w:u w:val="single"/>
          <w:lang w:val="es-CO"/>
        </w:rPr>
        <w:t xml:space="preserve"> </w:t>
      </w:r>
      <w:r w:rsidR="0051599F">
        <w:rPr>
          <w:rFonts w:ascii="Arial" w:hAnsi="Arial" w:cs="Arial"/>
          <w:b/>
          <w:bCs/>
          <w:u w:val="single"/>
          <w:lang w:val="es-CO"/>
        </w:rPr>
        <w:t xml:space="preserve">EL </w:t>
      </w:r>
      <w:r w:rsidR="00A10183" w:rsidRPr="00A10183">
        <w:rPr>
          <w:rFonts w:ascii="Arial" w:hAnsi="Arial" w:cs="Arial"/>
          <w:b/>
          <w:bCs/>
          <w:u w:val="single"/>
          <w:lang w:val="es-CO"/>
        </w:rPr>
        <w:t xml:space="preserve">INSTITUTO NACIONAL DE VÍAS </w:t>
      </w:r>
      <w:r w:rsidR="00A10183">
        <w:rPr>
          <w:rFonts w:ascii="Arial" w:hAnsi="Arial" w:cs="Arial"/>
          <w:b/>
          <w:bCs/>
          <w:u w:val="single"/>
          <w:lang w:val="es-CO"/>
        </w:rPr>
        <w:t>-</w:t>
      </w:r>
      <w:r w:rsidR="00A10183" w:rsidRPr="00A10183">
        <w:rPr>
          <w:rFonts w:ascii="Arial" w:hAnsi="Arial" w:cs="Arial"/>
          <w:b/>
          <w:bCs/>
          <w:u w:val="single"/>
          <w:lang w:val="es-CO"/>
        </w:rPr>
        <w:t>INVIAS</w:t>
      </w:r>
      <w:r w:rsidR="0051599F">
        <w:rPr>
          <w:rFonts w:ascii="Arial" w:hAnsi="Arial" w:cs="Arial"/>
          <w:b/>
          <w:bCs/>
          <w:u w:val="single"/>
          <w:lang w:val="es-CO"/>
        </w:rPr>
        <w:t xml:space="preserve">. </w:t>
      </w:r>
      <w:r w:rsidR="00151067" w:rsidRPr="00BD7F61">
        <w:rPr>
          <w:rFonts w:ascii="Arial" w:eastAsiaTheme="minorHAnsi" w:hAnsi="Arial" w:cs="Arial"/>
          <w:color w:val="000000"/>
          <w:sz w:val="24"/>
          <w:szCs w:val="24"/>
          <w:lang w:val="es-CO"/>
        </w:rPr>
        <w:t xml:space="preserve"> </w:t>
      </w:r>
    </w:p>
    <w:p w14:paraId="03D2A711" w14:textId="77777777" w:rsidR="00823018" w:rsidRPr="00BD7F61" w:rsidRDefault="00823018" w:rsidP="00C5305A">
      <w:pPr>
        <w:spacing w:line="360" w:lineRule="auto"/>
        <w:jc w:val="center"/>
        <w:rPr>
          <w:rFonts w:ascii="Arial" w:eastAsiaTheme="minorHAnsi" w:hAnsi="Arial" w:cs="Arial"/>
          <w:color w:val="000000"/>
          <w:sz w:val="24"/>
          <w:szCs w:val="24"/>
          <w:lang w:val="es-CO"/>
        </w:rPr>
      </w:pPr>
    </w:p>
    <w:p w14:paraId="4EA8CACD" w14:textId="67923032" w:rsidR="009E3FAA" w:rsidRDefault="00716200" w:rsidP="009E3FAA">
      <w:pPr>
        <w:pStyle w:val="Prrafodelista"/>
        <w:widowControl/>
        <w:numPr>
          <w:ilvl w:val="0"/>
          <w:numId w:val="57"/>
        </w:numPr>
        <w:adjustRightInd w:val="0"/>
        <w:spacing w:line="360" w:lineRule="auto"/>
        <w:jc w:val="both"/>
        <w:rPr>
          <w:rFonts w:ascii="Arial" w:eastAsiaTheme="minorHAnsi" w:hAnsi="Arial" w:cs="Arial"/>
          <w:color w:val="000000"/>
          <w:lang w:val="es-CO"/>
        </w:rPr>
      </w:pPr>
      <w:r>
        <w:rPr>
          <w:rFonts w:ascii="Arial" w:hAnsi="Arial" w:cs="Arial"/>
          <w:b/>
          <w:bCs/>
          <w:lang w:val="es-CO"/>
        </w:rPr>
        <w:t>INEFICACIA</w:t>
      </w:r>
      <w:r w:rsidRPr="009E3FAA">
        <w:rPr>
          <w:rFonts w:ascii="Arial" w:hAnsi="Arial" w:cs="Arial"/>
          <w:b/>
          <w:bCs/>
          <w:lang w:val="es-CO"/>
        </w:rPr>
        <w:t xml:space="preserve"> </w:t>
      </w:r>
      <w:r w:rsidR="009E3FAA" w:rsidRPr="009E3FAA">
        <w:rPr>
          <w:rFonts w:ascii="Arial" w:hAnsi="Arial" w:cs="Arial"/>
          <w:b/>
          <w:bCs/>
          <w:lang w:val="es-CO"/>
        </w:rPr>
        <w:t>DEL LLAMAMIENTO EN GARANTÍA POR NOTIFICACIÓN EXTEMPORÁNEA</w:t>
      </w:r>
      <w:r w:rsidR="009E3FAA">
        <w:rPr>
          <w:rFonts w:ascii="Arial" w:eastAsiaTheme="minorHAnsi" w:hAnsi="Arial" w:cs="Arial"/>
          <w:color w:val="000000"/>
          <w:lang w:val="es-CO"/>
        </w:rPr>
        <w:t xml:space="preserve">. </w:t>
      </w:r>
    </w:p>
    <w:p w14:paraId="5B5A5F96" w14:textId="77777777" w:rsidR="009E3FAA" w:rsidRDefault="009E3FAA" w:rsidP="009E3FAA">
      <w:pPr>
        <w:widowControl/>
        <w:adjustRightInd w:val="0"/>
        <w:spacing w:line="360" w:lineRule="auto"/>
        <w:jc w:val="both"/>
        <w:rPr>
          <w:rFonts w:ascii="Arial" w:eastAsiaTheme="minorHAnsi" w:hAnsi="Arial" w:cs="Arial"/>
          <w:color w:val="000000"/>
          <w:lang w:val="es-CO"/>
        </w:rPr>
      </w:pPr>
    </w:p>
    <w:p w14:paraId="4C8A3217" w14:textId="76571C8D" w:rsidR="009E3FAA" w:rsidRPr="009E3FAA" w:rsidRDefault="009E3FAA" w:rsidP="009E3FAA">
      <w:pPr>
        <w:widowControl/>
        <w:adjustRightInd w:val="0"/>
        <w:spacing w:line="360" w:lineRule="auto"/>
        <w:jc w:val="both"/>
        <w:rPr>
          <w:rFonts w:ascii="Arial" w:eastAsiaTheme="minorHAnsi" w:hAnsi="Arial" w:cs="Arial"/>
          <w:color w:val="000000"/>
          <w:lang w:val="es-CO"/>
        </w:rPr>
      </w:pPr>
      <w:r w:rsidRPr="009E3FAA">
        <w:rPr>
          <w:rFonts w:ascii="Arial" w:eastAsiaTheme="minorHAnsi" w:hAnsi="Arial" w:cs="Arial"/>
          <w:color w:val="000000"/>
          <w:lang w:val="es-CO"/>
        </w:rPr>
        <w:t xml:space="preserve">Tal como se sustentó ut supra del presente escrito de alegatos, y como igualmente se </w:t>
      </w:r>
      <w:r w:rsidR="00A10183" w:rsidRPr="009E3FAA">
        <w:rPr>
          <w:rFonts w:ascii="Arial" w:eastAsiaTheme="minorHAnsi" w:hAnsi="Arial" w:cs="Arial"/>
          <w:color w:val="000000"/>
          <w:lang w:val="es-CO"/>
        </w:rPr>
        <w:t>había</w:t>
      </w:r>
      <w:r w:rsidRPr="009E3FAA">
        <w:rPr>
          <w:rFonts w:ascii="Arial" w:eastAsiaTheme="minorHAnsi" w:hAnsi="Arial" w:cs="Arial"/>
          <w:color w:val="000000"/>
          <w:lang w:val="es-CO"/>
        </w:rPr>
        <w:t xml:space="preserve"> expuesto en la contestación de demanda, en el presente proceso se configuró la ineficacia del llamamiento en garantía formulado por el INVIAS contra Mapfre Seguros Generales de Colombia S.A., debido a que no se cumplió con el plazo legal de seis (6) meses para realizar la notificación personal del auto que lo admitió, conforme lo exige el artículo 66 del Código General del Proceso (CGP).</w:t>
      </w:r>
    </w:p>
    <w:p w14:paraId="6CB06BB4" w14:textId="77777777" w:rsidR="009E3FAA" w:rsidRPr="009E3FAA" w:rsidRDefault="009E3FAA" w:rsidP="009E3FAA">
      <w:pPr>
        <w:widowControl/>
        <w:adjustRightInd w:val="0"/>
        <w:spacing w:line="360" w:lineRule="auto"/>
        <w:jc w:val="both"/>
        <w:rPr>
          <w:rFonts w:ascii="Arial" w:eastAsiaTheme="minorHAnsi" w:hAnsi="Arial" w:cs="Arial"/>
          <w:color w:val="000000"/>
          <w:lang w:val="es-CO"/>
        </w:rPr>
      </w:pPr>
    </w:p>
    <w:p w14:paraId="47767DEE" w14:textId="707798D1" w:rsidR="009E3FAA" w:rsidRPr="009E3FAA" w:rsidRDefault="009E3FAA" w:rsidP="009E3FAA">
      <w:pPr>
        <w:widowControl/>
        <w:adjustRightInd w:val="0"/>
        <w:spacing w:line="360" w:lineRule="auto"/>
        <w:jc w:val="both"/>
        <w:rPr>
          <w:rFonts w:ascii="Arial" w:eastAsiaTheme="minorHAnsi" w:hAnsi="Arial" w:cs="Arial"/>
          <w:color w:val="000000"/>
          <w:lang w:val="es-CO"/>
        </w:rPr>
      </w:pPr>
      <w:r w:rsidRPr="009E3FAA">
        <w:rPr>
          <w:rFonts w:ascii="Arial" w:eastAsiaTheme="minorHAnsi" w:hAnsi="Arial" w:cs="Arial"/>
          <w:color w:val="000000"/>
          <w:lang w:val="es-CO"/>
        </w:rPr>
        <w:t>Dicho artículo establece que, si la notificación personal del llamamiento no se logra dentro de los seis meses siguientes a la ejecutoria del auto admisorio, este se tendrá por ineficaz. En este caso, el auto fue dictado y notificado el 19 de julio de 2021, pero la notificación personal a Mapfre solo se surtió el 24 de julio de 2023, mediante correo electrónico enviado por el Juzgado Primero Administrativo de Buga, es decir, dos años y cinco días después, lo que evidencia una clara extemporaneidad.</w:t>
      </w:r>
      <w:r>
        <w:rPr>
          <w:rFonts w:ascii="Arial" w:eastAsiaTheme="minorHAnsi" w:hAnsi="Arial" w:cs="Arial"/>
          <w:color w:val="000000"/>
          <w:lang w:val="es-CO"/>
        </w:rPr>
        <w:t xml:space="preserve"> </w:t>
      </w:r>
      <w:r w:rsidRPr="009E3FAA">
        <w:rPr>
          <w:rFonts w:ascii="Arial" w:eastAsiaTheme="minorHAnsi" w:hAnsi="Arial" w:cs="Arial"/>
          <w:color w:val="000000"/>
          <w:lang w:val="es-CO"/>
        </w:rPr>
        <w:t>Tanto la jurisprudencia del Consejo de Estado como la Corte Constitucional han sido enfáticas en señalar que la ineficacia opera de pleno derecho, sin que importe si la carga de la notificación recae en la autoridad judicial o en la parte interesada. La Sentencia T-309 de 2022 de la Corte Constitucional incluso reitera que el llamado no estará obligado a comparecer si la notificación personal no se hace en tiempo, y ordenó investigar disciplinariamente a los jueces que incumplen esta carga procesal.</w:t>
      </w:r>
    </w:p>
    <w:p w14:paraId="27C9F7A4" w14:textId="77777777" w:rsidR="009E3FAA" w:rsidRPr="009E3FAA" w:rsidRDefault="009E3FAA" w:rsidP="009E3FAA">
      <w:pPr>
        <w:widowControl/>
        <w:adjustRightInd w:val="0"/>
        <w:spacing w:line="360" w:lineRule="auto"/>
        <w:jc w:val="both"/>
        <w:rPr>
          <w:rFonts w:ascii="Arial" w:eastAsiaTheme="minorHAnsi" w:hAnsi="Arial" w:cs="Arial"/>
          <w:color w:val="000000"/>
          <w:lang w:val="es-CO"/>
        </w:rPr>
      </w:pPr>
    </w:p>
    <w:p w14:paraId="49EBD796" w14:textId="0A2E22CD" w:rsidR="009E3FAA" w:rsidRPr="009E3FAA" w:rsidRDefault="009E3FAA" w:rsidP="009E3FAA">
      <w:pPr>
        <w:widowControl/>
        <w:adjustRightInd w:val="0"/>
        <w:spacing w:line="360" w:lineRule="auto"/>
        <w:jc w:val="both"/>
        <w:rPr>
          <w:rFonts w:ascii="Arial" w:eastAsiaTheme="minorHAnsi" w:hAnsi="Arial" w:cs="Arial"/>
          <w:color w:val="000000"/>
          <w:lang w:val="es-CO"/>
        </w:rPr>
      </w:pPr>
      <w:r w:rsidRPr="009E3FAA">
        <w:rPr>
          <w:rFonts w:ascii="Arial" w:eastAsiaTheme="minorHAnsi" w:hAnsi="Arial" w:cs="Arial"/>
          <w:color w:val="000000"/>
          <w:lang w:val="es-CO"/>
        </w:rPr>
        <w:t>En virtud de lo anterior, y tal como se argumentó desde la contestación de la demanda, se solicita al despacho declarar la improcedencia del llamamiento en garantía contra Mapfre, por haberse configurado su ineficacia legal y procesal, con fundamento en el artículo 66 del CGP y la jurisprudencia constitucional y contencioso-administrativa vigente.</w:t>
      </w:r>
    </w:p>
    <w:p w14:paraId="0276E918" w14:textId="77777777" w:rsidR="009E3FAA" w:rsidRDefault="009E3FAA" w:rsidP="009E3FAA">
      <w:pPr>
        <w:widowControl/>
        <w:adjustRightInd w:val="0"/>
        <w:spacing w:line="360" w:lineRule="auto"/>
        <w:jc w:val="both"/>
        <w:rPr>
          <w:rFonts w:ascii="Arial" w:eastAsiaTheme="minorHAnsi" w:hAnsi="Arial" w:cs="Arial"/>
          <w:b/>
          <w:bCs/>
          <w:color w:val="000000"/>
          <w:lang w:val="es-CO"/>
        </w:rPr>
      </w:pPr>
    </w:p>
    <w:p w14:paraId="69056A23" w14:textId="6F7F0E31" w:rsidR="00EF5526" w:rsidRDefault="00EF5526" w:rsidP="00EF5526">
      <w:pPr>
        <w:pStyle w:val="Prrafodelista"/>
        <w:widowControl/>
        <w:numPr>
          <w:ilvl w:val="0"/>
          <w:numId w:val="57"/>
        </w:numPr>
        <w:adjustRightInd w:val="0"/>
        <w:spacing w:line="360" w:lineRule="auto"/>
        <w:jc w:val="both"/>
        <w:rPr>
          <w:rFonts w:ascii="Arial" w:eastAsiaTheme="minorHAnsi" w:hAnsi="Arial" w:cs="Arial"/>
          <w:b/>
          <w:bCs/>
          <w:color w:val="000000"/>
          <w:lang w:val="es-CO"/>
        </w:rPr>
      </w:pPr>
      <w:r>
        <w:rPr>
          <w:rFonts w:ascii="Arial" w:eastAsiaTheme="minorHAnsi" w:hAnsi="Arial" w:cs="Arial"/>
          <w:b/>
          <w:bCs/>
          <w:color w:val="000000"/>
          <w:lang w:val="es-CO"/>
        </w:rPr>
        <w:lastRenderedPageBreak/>
        <w:t xml:space="preserve">SE ACREDITÓ LA </w:t>
      </w:r>
      <w:r w:rsidRPr="00EF5526">
        <w:rPr>
          <w:rFonts w:ascii="Arial" w:eastAsiaTheme="minorHAnsi" w:hAnsi="Arial" w:cs="Arial"/>
          <w:b/>
          <w:bCs/>
          <w:color w:val="000000"/>
          <w:lang w:val="es-CO"/>
        </w:rPr>
        <w:t>INEXISTENCIA DE OBLIGACIÓN INDEMNIZATORIA A CARGO DE MI REPRESENTADA POR AUSENCIA DE REALIZACIÓN DEL RIESGO ASEGURADO – LA PÓLIZA No. 2201217017756 NO OFRECE COBERTURA MATERIAL EN EL CASO CONCRETO</w:t>
      </w:r>
      <w:r>
        <w:rPr>
          <w:rFonts w:ascii="Arial" w:eastAsiaTheme="minorHAnsi" w:hAnsi="Arial" w:cs="Arial"/>
          <w:b/>
          <w:bCs/>
          <w:color w:val="000000"/>
          <w:lang w:val="es-CO"/>
        </w:rPr>
        <w:t xml:space="preserve">. </w:t>
      </w:r>
    </w:p>
    <w:p w14:paraId="3C577F0D" w14:textId="77777777" w:rsidR="00EF5526" w:rsidRPr="00EF5526" w:rsidRDefault="00EF5526" w:rsidP="00EF5526">
      <w:pPr>
        <w:pStyle w:val="Prrafodelista"/>
        <w:widowControl/>
        <w:adjustRightInd w:val="0"/>
        <w:spacing w:line="360" w:lineRule="auto"/>
        <w:jc w:val="both"/>
        <w:rPr>
          <w:rFonts w:ascii="Arial" w:eastAsiaTheme="minorHAnsi" w:hAnsi="Arial" w:cs="Arial"/>
          <w:b/>
          <w:bCs/>
          <w:color w:val="000000"/>
          <w:lang w:val="es-CO"/>
        </w:rPr>
      </w:pPr>
    </w:p>
    <w:p w14:paraId="0FC5C232" w14:textId="77777777" w:rsidR="00EF5526" w:rsidRDefault="00EF5526" w:rsidP="00EF5526">
      <w:pPr>
        <w:widowControl/>
        <w:adjustRightInd w:val="0"/>
        <w:spacing w:line="360" w:lineRule="auto"/>
        <w:jc w:val="both"/>
        <w:rPr>
          <w:rFonts w:ascii="Arial" w:eastAsiaTheme="minorHAnsi" w:hAnsi="Arial" w:cs="Arial"/>
          <w:color w:val="000000"/>
          <w:lang w:val="es-CO"/>
        </w:rPr>
      </w:pPr>
      <w:r w:rsidRPr="00EF5526">
        <w:rPr>
          <w:rFonts w:ascii="Arial" w:eastAsiaTheme="minorHAnsi" w:hAnsi="Arial" w:cs="Arial"/>
          <w:color w:val="000000"/>
          <w:lang w:val="es-CO"/>
        </w:rPr>
        <w:t>La principal razón por la cual no puede imputarse a mi representada obligación indemnizatoria alguna dentro del presente proceso radica en que el riesgo asegurado en la Póliza de Responsabilidad Civil Extracontractual No. 2201217017756 no se materializó. Este contrato de seguro tenía por objeto amparar exclusivamente la responsabilidad civil extracontractual en que pudiera incurrir el INSTITUTO NACIONAL DE VÍAS – INVIAS, conforme a la legislación colombiana, y bajo los términos y condiciones pactados entre las partes.</w:t>
      </w:r>
    </w:p>
    <w:p w14:paraId="6C92DAF0" w14:textId="77777777" w:rsidR="00EF5526" w:rsidRDefault="00EF5526" w:rsidP="00EF5526">
      <w:pPr>
        <w:widowControl/>
        <w:adjustRightInd w:val="0"/>
        <w:spacing w:line="360" w:lineRule="auto"/>
        <w:jc w:val="both"/>
        <w:rPr>
          <w:rFonts w:ascii="Arial" w:eastAsiaTheme="minorHAnsi" w:hAnsi="Arial" w:cs="Arial"/>
          <w:color w:val="000000"/>
          <w:lang w:val="es-CO"/>
        </w:rPr>
      </w:pPr>
    </w:p>
    <w:p w14:paraId="10888C88" w14:textId="6C880589" w:rsidR="00EF5526" w:rsidRDefault="00EF5526" w:rsidP="00EF5526">
      <w:pPr>
        <w:widowControl/>
        <w:adjustRightInd w:val="0"/>
        <w:spacing w:line="360" w:lineRule="auto"/>
        <w:jc w:val="both"/>
        <w:rPr>
          <w:rFonts w:ascii="Arial" w:eastAsiaTheme="minorHAnsi" w:hAnsi="Arial" w:cs="Arial"/>
          <w:color w:val="000000"/>
          <w:lang w:val="es-CO"/>
        </w:rPr>
      </w:pPr>
      <w:r w:rsidRPr="00EF5526">
        <w:rPr>
          <w:rFonts w:ascii="Arial" w:eastAsiaTheme="minorHAnsi" w:hAnsi="Arial" w:cs="Arial"/>
          <w:color w:val="000000"/>
          <w:lang w:val="es-CO"/>
        </w:rPr>
        <w:t>De acuerdo con el artículo 1072 del Código de Comercio, el siniestro se entiende como la realización del riesgo asegurado, lo que en este caso correspondería a la declaratoria de responsabilidad civil contra INVIAS por los daños causados a terceros. Solo ante esa circunstancia</w:t>
      </w:r>
      <w:r>
        <w:rPr>
          <w:rFonts w:ascii="Arial" w:eastAsiaTheme="minorHAnsi" w:hAnsi="Arial" w:cs="Arial"/>
          <w:color w:val="000000"/>
          <w:lang w:val="es-CO"/>
        </w:rPr>
        <w:t xml:space="preserve">, </w:t>
      </w:r>
      <w:r w:rsidRPr="00EF5526">
        <w:rPr>
          <w:rFonts w:ascii="Arial" w:eastAsiaTheme="minorHAnsi" w:hAnsi="Arial" w:cs="Arial"/>
          <w:color w:val="000000"/>
          <w:lang w:val="es-CO"/>
        </w:rPr>
        <w:t>es decir, la existencia de responsabilidad patrimonial del asegurado</w:t>
      </w:r>
      <w:r>
        <w:rPr>
          <w:rFonts w:ascii="Arial" w:eastAsiaTheme="minorHAnsi" w:hAnsi="Arial" w:cs="Arial"/>
          <w:color w:val="000000"/>
          <w:lang w:val="es-CO"/>
        </w:rPr>
        <w:t xml:space="preserve">, </w:t>
      </w:r>
      <w:r w:rsidRPr="00EF5526">
        <w:rPr>
          <w:rFonts w:ascii="Arial" w:eastAsiaTheme="minorHAnsi" w:hAnsi="Arial" w:cs="Arial"/>
          <w:color w:val="000000"/>
          <w:lang w:val="es-CO"/>
        </w:rPr>
        <w:t>puede generarse una obligación indemnizatoria a cargo de la aseguradora.</w:t>
      </w:r>
      <w:r>
        <w:rPr>
          <w:rFonts w:ascii="Arial" w:eastAsiaTheme="minorHAnsi" w:hAnsi="Arial" w:cs="Arial"/>
          <w:color w:val="000000"/>
          <w:lang w:val="es-CO"/>
        </w:rPr>
        <w:t xml:space="preserve"> </w:t>
      </w:r>
      <w:r w:rsidRPr="00EF5526">
        <w:rPr>
          <w:rFonts w:ascii="Arial" w:eastAsiaTheme="minorHAnsi" w:hAnsi="Arial" w:cs="Arial"/>
          <w:color w:val="000000"/>
          <w:lang w:val="es-CO"/>
        </w:rPr>
        <w:t>No obstante, tras el análisis de los hechos alegados en la demanda y de los medios probatorios obrantes en el expediente, se evidencia que no se configura responsabilidad alguna a cargo del INVIAS. En primer lugar, porque esta entidad no intervino de forma directa ni indirecta en la producción del daño que dio lugar al presente proceso. En segundo lugar, porque la vía en la que ocurrió el accidente de tránsito</w:t>
      </w:r>
      <w:r>
        <w:rPr>
          <w:rFonts w:ascii="Arial" w:eastAsiaTheme="minorHAnsi" w:hAnsi="Arial" w:cs="Arial"/>
          <w:color w:val="000000"/>
          <w:lang w:val="es-CO"/>
        </w:rPr>
        <w:t xml:space="preserve">, </w:t>
      </w:r>
      <w:r w:rsidRPr="00EF5526">
        <w:rPr>
          <w:rFonts w:ascii="Arial" w:eastAsiaTheme="minorHAnsi" w:hAnsi="Arial" w:cs="Arial"/>
          <w:color w:val="000000"/>
          <w:lang w:val="es-CO"/>
        </w:rPr>
        <w:t>tramo entre Cali y Andalucía</w:t>
      </w:r>
      <w:r>
        <w:rPr>
          <w:rFonts w:ascii="Arial" w:eastAsiaTheme="minorHAnsi" w:hAnsi="Arial" w:cs="Arial"/>
          <w:color w:val="000000"/>
          <w:lang w:val="es-CO"/>
        </w:rPr>
        <w:t>,</w:t>
      </w:r>
      <w:r w:rsidRPr="00EF5526">
        <w:rPr>
          <w:rFonts w:ascii="Arial" w:eastAsiaTheme="minorHAnsi" w:hAnsi="Arial" w:cs="Arial"/>
          <w:color w:val="000000"/>
          <w:lang w:val="es-CO"/>
        </w:rPr>
        <w:t xml:space="preserve"> no estaba bajo su jurisdicción ni mantenimiento, responsabilidad que fue delegada a otra institución mediante el Convenio Interadministrativo No. 583 de 1992.</w:t>
      </w:r>
    </w:p>
    <w:p w14:paraId="4D4341A6" w14:textId="77777777" w:rsidR="00EF5526" w:rsidRPr="00EF5526" w:rsidRDefault="00EF5526" w:rsidP="00EF5526">
      <w:pPr>
        <w:widowControl/>
        <w:adjustRightInd w:val="0"/>
        <w:spacing w:line="360" w:lineRule="auto"/>
        <w:jc w:val="both"/>
        <w:rPr>
          <w:rFonts w:ascii="Arial" w:eastAsiaTheme="minorHAnsi" w:hAnsi="Arial" w:cs="Arial"/>
          <w:color w:val="000000"/>
          <w:lang w:val="es-CO"/>
        </w:rPr>
      </w:pPr>
    </w:p>
    <w:p w14:paraId="1CF3A8D4" w14:textId="63E878AF" w:rsidR="00EF5526" w:rsidRPr="00EF5526" w:rsidRDefault="00EF5526" w:rsidP="00EF5526">
      <w:pPr>
        <w:widowControl/>
        <w:adjustRightInd w:val="0"/>
        <w:spacing w:line="360" w:lineRule="auto"/>
        <w:jc w:val="both"/>
        <w:rPr>
          <w:rFonts w:ascii="Arial" w:eastAsiaTheme="minorHAnsi" w:hAnsi="Arial" w:cs="Arial"/>
          <w:color w:val="000000"/>
          <w:lang w:val="es-CO"/>
        </w:rPr>
      </w:pPr>
      <w:r w:rsidRPr="00EF5526">
        <w:rPr>
          <w:rFonts w:ascii="Arial" w:eastAsiaTheme="minorHAnsi" w:hAnsi="Arial" w:cs="Arial"/>
          <w:color w:val="000000"/>
          <w:lang w:val="es-CO"/>
        </w:rPr>
        <w:t>Así las cosas, no puede hablarse de incumplimiento de deberes funcionales ni de omisión imputable al asegurado, razón por la cual no se configura la realización del riesgo que justificaría la activación de la cobertura de la póliza invocada. En otras palabras, no se ha cumplido la condición esencial para que surja la obligación de indemnizar: la existencia de responsabilidad civil del asegurado derivada de un hecho dañoso cubierto por la póliza y ocurrido dentro del período de vigencia, que en este caso iba del 16 de junio de 2017 al 1 de agosto de 2018.</w:t>
      </w:r>
      <w:r>
        <w:rPr>
          <w:rFonts w:ascii="Arial" w:eastAsiaTheme="minorHAnsi" w:hAnsi="Arial" w:cs="Arial"/>
          <w:color w:val="000000"/>
          <w:lang w:val="es-CO"/>
        </w:rPr>
        <w:t xml:space="preserve"> </w:t>
      </w:r>
      <w:r w:rsidRPr="00EF5526">
        <w:rPr>
          <w:rFonts w:ascii="Arial" w:eastAsiaTheme="minorHAnsi" w:hAnsi="Arial" w:cs="Arial"/>
          <w:color w:val="000000"/>
          <w:lang w:val="es-CO"/>
        </w:rPr>
        <w:t>En consecuencia, no hay lugar a trasladar a mi representada los efectos económicos de un riesgo que, jurídicamente, nunca ocurrió en los términos del contrato de seguro, pues no se acreditó la configuración del siniestro ni la responsabilidad del INVIAS frente a los hechos de la demanda.</w:t>
      </w:r>
    </w:p>
    <w:p w14:paraId="4AA093F9" w14:textId="2DF00B3F" w:rsidR="00EF5526" w:rsidRPr="00EF5526" w:rsidRDefault="00EF5526" w:rsidP="00EF5526">
      <w:pPr>
        <w:widowControl/>
        <w:adjustRightInd w:val="0"/>
        <w:spacing w:line="360" w:lineRule="auto"/>
        <w:jc w:val="both"/>
        <w:rPr>
          <w:rFonts w:ascii="Arial" w:eastAsiaTheme="minorHAnsi" w:hAnsi="Arial" w:cs="Arial"/>
          <w:color w:val="000000"/>
          <w:lang w:val="es-CO"/>
        </w:rPr>
      </w:pPr>
      <w:r w:rsidRPr="00EF5526">
        <w:rPr>
          <w:rFonts w:ascii="Arial" w:eastAsiaTheme="minorHAnsi" w:hAnsi="Arial" w:cs="Arial"/>
          <w:color w:val="000000"/>
          <w:lang w:val="es-CO"/>
        </w:rPr>
        <w:br/>
      </w:r>
      <w:r>
        <w:rPr>
          <w:rFonts w:ascii="Arial" w:eastAsiaTheme="minorHAnsi" w:hAnsi="Arial" w:cs="Arial"/>
          <w:color w:val="000000"/>
          <w:lang w:val="es-CO"/>
        </w:rPr>
        <w:t>En ese orden, a</w:t>
      </w:r>
      <w:r w:rsidRPr="00EF5526">
        <w:rPr>
          <w:rFonts w:ascii="Arial" w:eastAsiaTheme="minorHAnsi" w:hAnsi="Arial" w:cs="Arial"/>
          <w:color w:val="000000"/>
          <w:lang w:val="es-CO"/>
        </w:rPr>
        <w:t>l no haberse demostrado la realización del riesgo asegurado ni la configuración de responsabilidad civil extracontractual por parte del asegurado, no existe fundamento alguno para que se declare la obligación indemnizatoria a cargo de mi representada en virtud de la Póliza No. 2201217017756. Por tanto, respetuosamente solicito que se declare probada esta excepción de mérito y, en consecuencia, se absuelva a la aseguradora del llamamiento en garantía.</w:t>
      </w:r>
    </w:p>
    <w:p w14:paraId="5F36C782" w14:textId="77777777" w:rsidR="00EF5526" w:rsidRDefault="00EF5526" w:rsidP="009E3FAA">
      <w:pPr>
        <w:widowControl/>
        <w:adjustRightInd w:val="0"/>
        <w:spacing w:line="360" w:lineRule="auto"/>
        <w:jc w:val="both"/>
        <w:rPr>
          <w:rFonts w:ascii="Arial" w:eastAsiaTheme="minorHAnsi" w:hAnsi="Arial" w:cs="Arial"/>
          <w:b/>
          <w:bCs/>
          <w:color w:val="000000"/>
          <w:lang w:val="es-CO"/>
        </w:rPr>
      </w:pPr>
    </w:p>
    <w:p w14:paraId="62E47558" w14:textId="422E80DA" w:rsidR="00743E25" w:rsidRDefault="00743E25" w:rsidP="00BD7F61">
      <w:pPr>
        <w:widowControl/>
        <w:adjustRightInd w:val="0"/>
        <w:spacing w:line="360" w:lineRule="auto"/>
        <w:jc w:val="both"/>
        <w:rPr>
          <w:rFonts w:ascii="Arial" w:eastAsiaTheme="minorHAnsi" w:hAnsi="Arial" w:cs="Arial"/>
          <w:color w:val="000000"/>
          <w:lang w:val="es-CO"/>
        </w:rPr>
      </w:pPr>
    </w:p>
    <w:p w14:paraId="496676FB" w14:textId="62FBE2E5" w:rsidR="00D04B8E" w:rsidRPr="00D04B8E" w:rsidRDefault="00D04B8E" w:rsidP="002376C9">
      <w:pPr>
        <w:pStyle w:val="Default"/>
        <w:numPr>
          <w:ilvl w:val="0"/>
          <w:numId w:val="57"/>
        </w:numPr>
        <w:spacing w:line="360" w:lineRule="auto"/>
        <w:jc w:val="both"/>
        <w:rPr>
          <w:rFonts w:eastAsiaTheme="minorHAnsi"/>
          <w:sz w:val="22"/>
          <w:szCs w:val="22"/>
          <w:lang w:eastAsia="en-US"/>
        </w:rPr>
      </w:pPr>
      <w:r w:rsidRPr="00D04B8E">
        <w:rPr>
          <w:b/>
          <w:sz w:val="22"/>
          <w:szCs w:val="22"/>
        </w:rPr>
        <w:t>EXISTENCIA</w:t>
      </w:r>
      <w:r w:rsidRPr="00D04B8E">
        <w:rPr>
          <w:b/>
          <w:bCs/>
          <w:sz w:val="22"/>
          <w:szCs w:val="22"/>
        </w:rPr>
        <w:t xml:space="preserve"> DE COASEGURO, QUE NO IMPLICA SOLIDARIDAD ENTRE LAS ASEGURADORAS VINCULADAS, CONTENIDO EN LA </w:t>
      </w:r>
      <w:r w:rsidRPr="00D04B8E">
        <w:rPr>
          <w:rFonts w:eastAsiaTheme="minorHAnsi"/>
          <w:b/>
          <w:bCs/>
          <w:sz w:val="22"/>
          <w:szCs w:val="22"/>
        </w:rPr>
        <w:t xml:space="preserve">PÓLIZA DE RESPONSABILIDAD CIVIL No. </w:t>
      </w:r>
      <w:r w:rsidR="002376C9" w:rsidRPr="002376C9">
        <w:rPr>
          <w:rFonts w:eastAsiaTheme="minorHAnsi"/>
          <w:b/>
          <w:bCs/>
          <w:sz w:val="22"/>
          <w:szCs w:val="22"/>
        </w:rPr>
        <w:t>2201217017756</w:t>
      </w:r>
      <w:r w:rsidR="002376C9">
        <w:rPr>
          <w:rFonts w:eastAsiaTheme="minorHAnsi"/>
          <w:b/>
          <w:bCs/>
          <w:sz w:val="22"/>
          <w:szCs w:val="22"/>
        </w:rPr>
        <w:t>.</w:t>
      </w:r>
    </w:p>
    <w:p w14:paraId="3DBA16E4" w14:textId="77777777" w:rsidR="00D04B8E" w:rsidRPr="00D04B8E" w:rsidRDefault="00D04B8E" w:rsidP="00D04B8E">
      <w:pPr>
        <w:pStyle w:val="Default"/>
        <w:spacing w:line="360" w:lineRule="auto"/>
        <w:ind w:left="720"/>
        <w:jc w:val="both"/>
        <w:rPr>
          <w:rFonts w:eastAsiaTheme="minorHAnsi"/>
          <w:sz w:val="22"/>
          <w:szCs w:val="22"/>
          <w:lang w:eastAsia="en-US"/>
        </w:rPr>
      </w:pPr>
    </w:p>
    <w:p w14:paraId="0E19B11D" w14:textId="297CEBA1" w:rsidR="00D04B8E" w:rsidRPr="00D04B8E" w:rsidRDefault="00D04B8E" w:rsidP="00D04B8E">
      <w:pPr>
        <w:widowControl/>
        <w:adjustRightInd w:val="0"/>
        <w:spacing w:line="360" w:lineRule="auto"/>
        <w:jc w:val="both"/>
        <w:rPr>
          <w:rFonts w:ascii="Arial" w:eastAsiaTheme="minorHAnsi" w:hAnsi="Arial" w:cs="Arial"/>
          <w:color w:val="000000"/>
          <w:lang w:val="es-CO"/>
        </w:rPr>
      </w:pPr>
      <w:r w:rsidRPr="00D04B8E">
        <w:rPr>
          <w:rFonts w:ascii="Arial" w:eastAsiaTheme="minorHAnsi" w:hAnsi="Arial" w:cs="Arial"/>
          <w:color w:val="000000"/>
          <w:lang w:val="es-CO"/>
        </w:rPr>
        <w:t xml:space="preserve">Tal como se había mencionado ut supra, la póliza contratada No. </w:t>
      </w:r>
      <w:r w:rsidR="002376C9" w:rsidRPr="002376C9">
        <w:rPr>
          <w:rFonts w:ascii="Arial" w:eastAsiaTheme="minorHAnsi" w:hAnsi="Arial" w:cs="Arial"/>
          <w:color w:val="000000"/>
          <w:lang w:val="es-CO"/>
        </w:rPr>
        <w:t>2201217017756</w:t>
      </w:r>
      <w:r w:rsidRPr="00D04B8E">
        <w:rPr>
          <w:rFonts w:ascii="Arial" w:eastAsiaTheme="minorHAnsi" w:hAnsi="Arial" w:cs="Arial"/>
          <w:color w:val="000000"/>
          <w:lang w:val="es-CO"/>
        </w:rPr>
        <w:t xml:space="preserve">, utilizada como fundamento para vincular a mi representada como tercero patrimonialmente responsable revela que la misma fue tomada por </w:t>
      </w:r>
      <w:r w:rsidR="002376C9">
        <w:rPr>
          <w:rFonts w:ascii="Arial" w:eastAsiaTheme="minorHAnsi" w:hAnsi="Arial" w:cs="Arial"/>
          <w:color w:val="000000"/>
          <w:lang w:val="es-CO"/>
        </w:rPr>
        <w:t>INVIAS</w:t>
      </w:r>
      <w:r w:rsidRPr="00D04B8E">
        <w:rPr>
          <w:rFonts w:ascii="Arial" w:eastAsiaTheme="minorHAnsi" w:hAnsi="Arial" w:cs="Arial"/>
          <w:color w:val="000000"/>
          <w:lang w:val="es-CO"/>
        </w:rPr>
        <w:t xml:space="preserve"> bajo la figura de coaseguro, por consiguiente, mi representada solamente debe responder hasta el porcentaje pactado dentro del contrato y no de manera solidaría con las coaseguradoras.</w:t>
      </w:r>
    </w:p>
    <w:p w14:paraId="0AAC56EB" w14:textId="77777777" w:rsidR="00D04B8E" w:rsidRPr="00D04B8E" w:rsidRDefault="00D04B8E" w:rsidP="00D04B8E">
      <w:pPr>
        <w:widowControl/>
        <w:adjustRightInd w:val="0"/>
        <w:spacing w:line="360" w:lineRule="auto"/>
        <w:jc w:val="both"/>
        <w:rPr>
          <w:rFonts w:ascii="Arial" w:eastAsiaTheme="minorHAnsi" w:hAnsi="Arial" w:cs="Arial"/>
          <w:color w:val="000000"/>
          <w:lang w:val="es-CO"/>
        </w:rPr>
      </w:pPr>
    </w:p>
    <w:p w14:paraId="108F1D63" w14:textId="729E22D9" w:rsidR="00D04B8E" w:rsidRPr="00D04B8E" w:rsidRDefault="00D04B8E" w:rsidP="00D04B8E">
      <w:pPr>
        <w:widowControl/>
        <w:adjustRightInd w:val="0"/>
        <w:spacing w:line="360" w:lineRule="auto"/>
        <w:jc w:val="both"/>
        <w:rPr>
          <w:rFonts w:ascii="Arial" w:eastAsiaTheme="minorHAnsi" w:hAnsi="Arial" w:cs="Arial"/>
          <w:color w:val="000000"/>
          <w:lang w:val="es-CO"/>
        </w:rPr>
      </w:pPr>
      <w:r w:rsidRPr="00D04B8E">
        <w:rPr>
          <w:rFonts w:ascii="Arial" w:eastAsiaTheme="minorHAnsi" w:hAnsi="Arial" w:cs="Arial"/>
          <w:color w:val="000000"/>
          <w:lang w:val="es-CO"/>
        </w:rPr>
        <w:t xml:space="preserve">El artículo 1092 del Código de Comercio, que estipula que </w:t>
      </w:r>
      <w:r w:rsidRPr="00E938F6">
        <w:rPr>
          <w:rFonts w:ascii="Arial" w:eastAsiaTheme="minorHAnsi" w:hAnsi="Arial" w:cs="Arial"/>
          <w:i/>
          <w:iCs/>
          <w:color w:val="000000"/>
          <w:lang w:val="es-CO"/>
        </w:rPr>
        <w:t xml:space="preserve">“En el caso de pluralidad o de coexistencia de seguros, los aseguradores deberán soportar la indemnización debida al asegurado en proporción a la cuantía de sus respectivos contratos, siempre que el asegurado haya actuado de buena fe. La mala fe en la contratación de éstos produce nulidad”. </w:t>
      </w:r>
    </w:p>
    <w:p w14:paraId="5D67124A" w14:textId="77777777" w:rsidR="00D04B8E" w:rsidRPr="00D04B8E" w:rsidRDefault="00D04B8E" w:rsidP="00D04B8E">
      <w:pPr>
        <w:widowControl/>
        <w:adjustRightInd w:val="0"/>
        <w:spacing w:line="360" w:lineRule="auto"/>
        <w:jc w:val="both"/>
        <w:rPr>
          <w:rFonts w:ascii="Arial" w:eastAsiaTheme="minorHAnsi" w:hAnsi="Arial" w:cs="Arial"/>
          <w:color w:val="000000"/>
          <w:lang w:val="es-CO"/>
        </w:rPr>
      </w:pPr>
    </w:p>
    <w:p w14:paraId="5F21A0D0" w14:textId="56B81AD8" w:rsidR="00D04B8E" w:rsidRDefault="00D04B8E" w:rsidP="00D04B8E">
      <w:pPr>
        <w:widowControl/>
        <w:adjustRightInd w:val="0"/>
        <w:spacing w:line="360" w:lineRule="auto"/>
        <w:jc w:val="both"/>
        <w:rPr>
          <w:rFonts w:ascii="Arial" w:eastAsiaTheme="minorHAnsi" w:hAnsi="Arial" w:cs="Arial"/>
          <w:i/>
          <w:iCs/>
          <w:color w:val="000000"/>
          <w:lang w:val="es-CO"/>
        </w:rPr>
      </w:pPr>
      <w:r w:rsidRPr="00D04B8E">
        <w:rPr>
          <w:rFonts w:ascii="Arial" w:eastAsiaTheme="minorHAnsi" w:hAnsi="Arial" w:cs="Arial"/>
          <w:color w:val="000000"/>
          <w:lang w:val="es-CO"/>
        </w:rPr>
        <w:t xml:space="preserve">Lo consignado en la norma en cita se aplica al coaseguro, por estipulación expresa del artículo 1095 del estatuto mercantil, el cual que establece </w:t>
      </w:r>
      <w:r w:rsidRPr="00E938F6">
        <w:rPr>
          <w:rFonts w:ascii="Arial" w:eastAsiaTheme="minorHAnsi" w:hAnsi="Arial" w:cs="Arial"/>
          <w:i/>
          <w:iCs/>
          <w:color w:val="000000"/>
          <w:lang w:val="es-CO"/>
        </w:rPr>
        <w:t>“las normas que anteceden se aplicarán igualmente al coaseguro, en virtud del cual dos o más aseguradores, a petición del asegurado o con su aquiescencia previa, acuerdan distribuirse entre ellos determinado seguro”.</w:t>
      </w:r>
    </w:p>
    <w:p w14:paraId="1AD35082" w14:textId="77777777" w:rsidR="00E938F6" w:rsidRPr="00D04B8E" w:rsidRDefault="00E938F6" w:rsidP="00D04B8E">
      <w:pPr>
        <w:widowControl/>
        <w:adjustRightInd w:val="0"/>
        <w:spacing w:line="360" w:lineRule="auto"/>
        <w:jc w:val="both"/>
        <w:rPr>
          <w:rFonts w:ascii="Arial" w:eastAsiaTheme="minorHAnsi" w:hAnsi="Arial" w:cs="Arial"/>
          <w:color w:val="000000"/>
          <w:lang w:val="es-CO"/>
        </w:rPr>
      </w:pPr>
    </w:p>
    <w:p w14:paraId="28233F67" w14:textId="77777777" w:rsidR="00D04B8E" w:rsidRPr="00D04B8E" w:rsidRDefault="00D04B8E" w:rsidP="00D04B8E">
      <w:pPr>
        <w:widowControl/>
        <w:adjustRightInd w:val="0"/>
        <w:spacing w:line="360" w:lineRule="auto"/>
        <w:jc w:val="both"/>
        <w:rPr>
          <w:rFonts w:ascii="Arial" w:eastAsiaTheme="minorHAnsi" w:hAnsi="Arial" w:cs="Arial"/>
          <w:color w:val="000000"/>
          <w:lang w:val="es-CO"/>
        </w:rPr>
      </w:pPr>
      <w:r w:rsidRPr="00D04B8E">
        <w:rPr>
          <w:rFonts w:ascii="Arial" w:eastAsiaTheme="minorHAnsi" w:hAnsi="Arial" w:cs="Arial"/>
          <w:color w:val="000000"/>
          <w:lang w:val="es-CO"/>
        </w:rPr>
        <w:t xml:space="preserve">Dada la figura del coaseguro y de conformidad con lo anterior, la responsabilidad de cada una de las coaseguradoras está limitada al porcentaje antes indicado, ya que no existe solidaridad entre ellas. </w:t>
      </w:r>
    </w:p>
    <w:p w14:paraId="6B442536" w14:textId="77777777" w:rsidR="00D04B8E" w:rsidRPr="00D04B8E" w:rsidRDefault="00D04B8E" w:rsidP="00D04B8E">
      <w:pPr>
        <w:widowControl/>
        <w:adjustRightInd w:val="0"/>
        <w:spacing w:line="360" w:lineRule="auto"/>
        <w:jc w:val="both"/>
        <w:rPr>
          <w:rFonts w:ascii="Arial" w:eastAsiaTheme="minorHAnsi" w:hAnsi="Arial" w:cs="Arial"/>
          <w:color w:val="000000"/>
          <w:lang w:val="es-CO"/>
        </w:rPr>
      </w:pPr>
    </w:p>
    <w:p w14:paraId="30547DCE" w14:textId="68A0B30D" w:rsidR="00D04B8E" w:rsidRPr="00D04B8E" w:rsidRDefault="00D04B8E" w:rsidP="00D04B8E">
      <w:pPr>
        <w:widowControl/>
        <w:adjustRightInd w:val="0"/>
        <w:spacing w:line="360" w:lineRule="auto"/>
        <w:jc w:val="both"/>
        <w:rPr>
          <w:rFonts w:ascii="Arial" w:eastAsiaTheme="minorHAnsi" w:hAnsi="Arial" w:cs="Arial"/>
          <w:color w:val="000000"/>
          <w:lang w:val="es-CO"/>
        </w:rPr>
      </w:pPr>
      <w:r w:rsidRPr="00D04B8E">
        <w:rPr>
          <w:rFonts w:ascii="Arial" w:eastAsiaTheme="minorHAnsi" w:hAnsi="Arial" w:cs="Arial"/>
          <w:color w:val="000000"/>
          <w:lang w:val="es-CO"/>
        </w:rPr>
        <w:t xml:space="preserve">En concordancia con lo señalado por el Consejo de Estado en Sentencia del 26 de enero de 2022 que reza </w:t>
      </w:r>
      <w:r w:rsidRPr="00E938F6">
        <w:rPr>
          <w:rFonts w:ascii="Arial" w:eastAsiaTheme="minorHAnsi" w:hAnsi="Arial" w:cs="Arial"/>
          <w:i/>
          <w:iCs/>
          <w:color w:val="000000"/>
          <w:lang w:val="es-CO"/>
        </w:rPr>
        <w:t>“Es claro para la Sala que las obligaciones que asumen las coaseguradoras son conjuntas en proporción al porcentaje de riesgo aceptado por cada una de ellas y no existe en este caso solidaridad legal ni contractual entre ellas […]”</w:t>
      </w:r>
      <w:r w:rsidRPr="00D04B8E">
        <w:rPr>
          <w:rFonts w:ascii="Arial" w:eastAsiaTheme="minorHAnsi" w:hAnsi="Arial" w:cs="Arial"/>
          <w:color w:val="000000"/>
          <w:lang w:val="es-CO"/>
        </w:rPr>
        <w:t xml:space="preserve"> </w:t>
      </w:r>
      <w:r w:rsidR="00E938F6">
        <w:rPr>
          <w:rStyle w:val="Refdenotaalpie"/>
          <w:rFonts w:ascii="Arial" w:eastAsiaTheme="minorHAnsi" w:hAnsi="Arial" w:cs="Arial"/>
          <w:color w:val="000000"/>
          <w:lang w:val="es-CO"/>
        </w:rPr>
        <w:footnoteReference w:id="4"/>
      </w:r>
    </w:p>
    <w:p w14:paraId="346B24F9" w14:textId="77777777" w:rsidR="00D04B8E" w:rsidRPr="00D04B8E" w:rsidRDefault="00D04B8E" w:rsidP="00D04B8E">
      <w:pPr>
        <w:widowControl/>
        <w:adjustRightInd w:val="0"/>
        <w:spacing w:line="360" w:lineRule="auto"/>
        <w:jc w:val="both"/>
        <w:rPr>
          <w:rFonts w:ascii="Arial" w:eastAsiaTheme="minorHAnsi" w:hAnsi="Arial" w:cs="Arial"/>
          <w:color w:val="000000"/>
          <w:lang w:val="es-CO"/>
        </w:rPr>
      </w:pPr>
    </w:p>
    <w:p w14:paraId="0AFBE9E6" w14:textId="50B09333" w:rsidR="00D04B8E" w:rsidRPr="00D04B8E" w:rsidRDefault="00D04B8E" w:rsidP="00D04B8E">
      <w:pPr>
        <w:widowControl/>
        <w:adjustRightInd w:val="0"/>
        <w:spacing w:line="360" w:lineRule="auto"/>
        <w:jc w:val="both"/>
        <w:rPr>
          <w:rFonts w:ascii="Arial" w:eastAsiaTheme="minorHAnsi" w:hAnsi="Arial" w:cs="Arial"/>
          <w:color w:val="000000"/>
          <w:lang w:val="es-CO"/>
        </w:rPr>
      </w:pPr>
      <w:r w:rsidRPr="00D04B8E">
        <w:rPr>
          <w:rFonts w:ascii="Arial" w:eastAsiaTheme="minorHAnsi" w:hAnsi="Arial" w:cs="Arial"/>
          <w:color w:val="000000"/>
          <w:lang w:val="es-CO"/>
        </w:rPr>
        <w:t>Una vez analizados los términos y condiciones de la Póliza de Responsabilidad Civil Extracontractual No</w:t>
      </w:r>
      <w:r w:rsidR="002376C9">
        <w:rPr>
          <w:rFonts w:ascii="Arial" w:eastAsiaTheme="minorHAnsi" w:hAnsi="Arial" w:cs="Arial"/>
          <w:color w:val="000000"/>
          <w:lang w:val="es-CO"/>
        </w:rPr>
        <w:t xml:space="preserve">. </w:t>
      </w:r>
      <w:r w:rsidR="002376C9" w:rsidRPr="006C273D">
        <w:t>2201217017756</w:t>
      </w:r>
      <w:r w:rsidRPr="00D04B8E">
        <w:rPr>
          <w:rFonts w:ascii="Arial" w:eastAsiaTheme="minorHAnsi" w:hAnsi="Arial" w:cs="Arial"/>
          <w:color w:val="000000"/>
          <w:lang w:val="es-CO"/>
        </w:rPr>
        <w:t>, se reitera que la misma fue contratada bajo la modalidad de coaseguro, lo que implicó una distribución del riesgo entre las siguientes entidades aseguradoras: COMPAÑÍA DE SEGUROS COLPATRIA – hoy AXA COLPATRIA (2</w:t>
      </w:r>
      <w:r w:rsidR="002376C9">
        <w:rPr>
          <w:rFonts w:ascii="Arial" w:eastAsiaTheme="minorHAnsi" w:hAnsi="Arial" w:cs="Arial"/>
          <w:color w:val="000000"/>
          <w:lang w:val="es-CO"/>
        </w:rPr>
        <w:t>0</w:t>
      </w:r>
      <w:r w:rsidRPr="00D04B8E">
        <w:rPr>
          <w:rFonts w:ascii="Arial" w:eastAsiaTheme="minorHAnsi" w:hAnsi="Arial" w:cs="Arial"/>
          <w:color w:val="000000"/>
          <w:lang w:val="es-CO"/>
        </w:rPr>
        <w:t>.00%),</w:t>
      </w:r>
      <w:r w:rsidR="002376C9">
        <w:rPr>
          <w:rFonts w:ascii="Arial" w:eastAsiaTheme="minorHAnsi" w:hAnsi="Arial" w:cs="Arial"/>
          <w:color w:val="000000"/>
          <w:lang w:val="es-CO"/>
        </w:rPr>
        <w:t xml:space="preserve"> LA PREVISORA S.A COMPAÑÍA DE SEGUROS (30.00%) Y</w:t>
      </w:r>
      <w:r w:rsidRPr="00D04B8E">
        <w:rPr>
          <w:rFonts w:ascii="Arial" w:eastAsiaTheme="minorHAnsi" w:hAnsi="Arial" w:cs="Arial"/>
          <w:color w:val="000000"/>
          <w:lang w:val="es-CO"/>
        </w:rPr>
        <w:t xml:space="preserve"> MAPFRE SEGUROS GENERALES DE COLOMBIA S.A. (</w:t>
      </w:r>
      <w:r w:rsidR="002376C9">
        <w:rPr>
          <w:rFonts w:ascii="Arial" w:eastAsiaTheme="minorHAnsi" w:hAnsi="Arial" w:cs="Arial"/>
          <w:color w:val="000000"/>
          <w:lang w:val="es-CO"/>
        </w:rPr>
        <w:t>50</w:t>
      </w:r>
      <w:r w:rsidRPr="00D04B8E">
        <w:rPr>
          <w:rFonts w:ascii="Arial" w:eastAsiaTheme="minorHAnsi" w:hAnsi="Arial" w:cs="Arial"/>
          <w:color w:val="000000"/>
          <w:lang w:val="es-CO"/>
        </w:rPr>
        <w:t>.00%)</w:t>
      </w:r>
    </w:p>
    <w:p w14:paraId="7D48D4E6" w14:textId="49F48128" w:rsidR="00D04B8E" w:rsidRPr="00D04B8E" w:rsidRDefault="00D04B8E" w:rsidP="00D04B8E">
      <w:pPr>
        <w:widowControl/>
        <w:adjustRightInd w:val="0"/>
        <w:spacing w:line="360" w:lineRule="auto"/>
        <w:jc w:val="both"/>
        <w:rPr>
          <w:rFonts w:ascii="Arial" w:eastAsiaTheme="minorHAnsi" w:hAnsi="Arial" w:cs="Arial"/>
          <w:color w:val="000000"/>
          <w:lang w:val="es-CO"/>
        </w:rPr>
      </w:pPr>
      <w:r w:rsidRPr="00D04B8E">
        <w:rPr>
          <w:rFonts w:ascii="Arial" w:eastAsiaTheme="minorHAnsi" w:hAnsi="Arial" w:cs="Arial"/>
          <w:color w:val="000000"/>
          <w:lang w:val="es-CO"/>
        </w:rPr>
        <w:lastRenderedPageBreak/>
        <w:t xml:space="preserve"> </w:t>
      </w:r>
      <w:r w:rsidR="002376C9" w:rsidRPr="00B06D0B">
        <w:rPr>
          <w:noProof/>
        </w:rPr>
        <w:drawing>
          <wp:inline distT="0" distB="0" distL="0" distR="0" wp14:anchorId="7A8BDF60" wp14:editId="345459AA">
            <wp:extent cx="5791835" cy="906780"/>
            <wp:effectExtent l="152400" t="152400" r="361315" b="369570"/>
            <wp:docPr id="274187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87262" name=""/>
                    <pic:cNvPicPr/>
                  </pic:nvPicPr>
                  <pic:blipFill>
                    <a:blip r:embed="rId12"/>
                    <a:stretch>
                      <a:fillRect/>
                    </a:stretch>
                  </pic:blipFill>
                  <pic:spPr>
                    <a:xfrm>
                      <a:off x="0" y="0"/>
                      <a:ext cx="5791835" cy="906780"/>
                    </a:xfrm>
                    <a:prstGeom prst="rect">
                      <a:avLst/>
                    </a:prstGeom>
                    <a:ln>
                      <a:noFill/>
                    </a:ln>
                    <a:effectLst>
                      <a:outerShdw blurRad="292100" dist="139700" dir="2700000" algn="tl" rotWithShape="0">
                        <a:srgbClr val="333333">
                          <a:alpha val="65000"/>
                        </a:srgbClr>
                      </a:outerShdw>
                    </a:effectLst>
                  </pic:spPr>
                </pic:pic>
              </a:graphicData>
            </a:graphic>
          </wp:inline>
        </w:drawing>
      </w:r>
    </w:p>
    <w:p w14:paraId="6E1C6C2B" w14:textId="77777777" w:rsidR="00D04B8E" w:rsidRPr="00D04B8E" w:rsidRDefault="00D04B8E" w:rsidP="00D04B8E">
      <w:pPr>
        <w:widowControl/>
        <w:adjustRightInd w:val="0"/>
        <w:spacing w:line="360" w:lineRule="auto"/>
        <w:jc w:val="both"/>
        <w:rPr>
          <w:rFonts w:ascii="Arial" w:eastAsiaTheme="minorHAnsi" w:hAnsi="Arial" w:cs="Arial"/>
          <w:color w:val="000000"/>
          <w:lang w:val="es-CO"/>
        </w:rPr>
      </w:pPr>
    </w:p>
    <w:p w14:paraId="536EAE1F" w14:textId="3630F518" w:rsidR="00D04B8E" w:rsidRPr="00D04B8E" w:rsidRDefault="00D04B8E" w:rsidP="00D04B8E">
      <w:pPr>
        <w:widowControl/>
        <w:adjustRightInd w:val="0"/>
        <w:spacing w:line="360" w:lineRule="auto"/>
        <w:jc w:val="both"/>
        <w:rPr>
          <w:rFonts w:ascii="Arial" w:eastAsiaTheme="minorHAnsi" w:hAnsi="Arial" w:cs="Arial"/>
          <w:color w:val="000000"/>
          <w:lang w:val="es-CO"/>
        </w:rPr>
      </w:pPr>
      <w:r w:rsidRPr="00D04B8E">
        <w:rPr>
          <w:rFonts w:ascii="Arial" w:eastAsiaTheme="minorHAnsi" w:hAnsi="Arial" w:cs="Arial"/>
          <w:color w:val="000000"/>
          <w:lang w:val="es-CO"/>
        </w:rPr>
        <w:t xml:space="preserve">Consecuentemente, MAPFRE SEGUROS GENERALES DE COLOMBIA S.A. únicamente podrá responder hasta el límite de su participación, esto es, el </w:t>
      </w:r>
      <w:r w:rsidR="002376C9">
        <w:rPr>
          <w:rFonts w:ascii="Arial" w:eastAsiaTheme="minorHAnsi" w:hAnsi="Arial" w:cs="Arial"/>
          <w:color w:val="000000"/>
          <w:lang w:val="es-CO"/>
        </w:rPr>
        <w:t>50</w:t>
      </w:r>
      <w:r w:rsidRPr="00D04B8E">
        <w:rPr>
          <w:rFonts w:ascii="Arial" w:eastAsiaTheme="minorHAnsi" w:hAnsi="Arial" w:cs="Arial"/>
          <w:color w:val="000000"/>
          <w:lang w:val="es-CO"/>
        </w:rPr>
        <w:t>.00%, sin que sea jurídicamente viable que asuma obligaciones derivadas del porcentaje correspondiente a las demás aseguradoras, dado a que cada aseguradora es responsable únicamente en proporción a su cuota de participación, de conformidad con lo establecido en el artículo 1092 del Código de Comercio, el cual dispone que las aseguradoras no son solidarias entre sí, sino que cada una debe asumir la indemnización en la proporción correspondiente a su porcentaje de cobertura.</w:t>
      </w:r>
    </w:p>
    <w:p w14:paraId="581AC8E1" w14:textId="77777777" w:rsidR="00D04B8E" w:rsidRPr="00D04B8E" w:rsidRDefault="00D04B8E" w:rsidP="00D04B8E">
      <w:pPr>
        <w:widowControl/>
        <w:adjustRightInd w:val="0"/>
        <w:spacing w:line="360" w:lineRule="auto"/>
        <w:jc w:val="both"/>
        <w:rPr>
          <w:rFonts w:ascii="Arial" w:eastAsiaTheme="minorHAnsi" w:hAnsi="Arial" w:cs="Arial"/>
          <w:color w:val="000000"/>
          <w:lang w:val="es-CO"/>
        </w:rPr>
      </w:pPr>
    </w:p>
    <w:p w14:paraId="68B57BBD" w14:textId="169955FA" w:rsidR="004B1503" w:rsidRDefault="00D04B8E" w:rsidP="00D04B8E">
      <w:pPr>
        <w:widowControl/>
        <w:adjustRightInd w:val="0"/>
        <w:spacing w:line="360" w:lineRule="auto"/>
        <w:jc w:val="both"/>
        <w:rPr>
          <w:rFonts w:ascii="Arial" w:eastAsiaTheme="minorHAnsi" w:hAnsi="Arial" w:cs="Arial"/>
          <w:color w:val="000000"/>
          <w:lang w:val="es-CO"/>
        </w:rPr>
      </w:pPr>
      <w:r w:rsidRPr="00D04B8E">
        <w:rPr>
          <w:rFonts w:ascii="Arial" w:eastAsiaTheme="minorHAnsi" w:hAnsi="Arial" w:cs="Arial"/>
          <w:color w:val="000000"/>
          <w:lang w:val="es-CO"/>
        </w:rPr>
        <w:t>Por lo tanto, incluso en el improbable evento de que prosperaran las pretensiones de la parte actora, en ningún caso podría condenarse a mi representada a responder por montos superiores al porcentaje que le corresponde en la póliza en cuestión.</w:t>
      </w:r>
    </w:p>
    <w:p w14:paraId="0966B304" w14:textId="77777777" w:rsidR="0069313A" w:rsidRDefault="0069313A" w:rsidP="00D04B8E">
      <w:pPr>
        <w:widowControl/>
        <w:adjustRightInd w:val="0"/>
        <w:spacing w:line="360" w:lineRule="auto"/>
        <w:jc w:val="both"/>
        <w:rPr>
          <w:rFonts w:ascii="Arial" w:eastAsiaTheme="minorHAnsi" w:hAnsi="Arial" w:cs="Arial"/>
          <w:color w:val="000000"/>
          <w:lang w:val="es-CO"/>
        </w:rPr>
      </w:pPr>
    </w:p>
    <w:p w14:paraId="2554C21A" w14:textId="77777777" w:rsidR="00A10183" w:rsidRDefault="00A10183" w:rsidP="00D04B8E">
      <w:pPr>
        <w:widowControl/>
        <w:adjustRightInd w:val="0"/>
        <w:spacing w:line="360" w:lineRule="auto"/>
        <w:jc w:val="both"/>
        <w:rPr>
          <w:rFonts w:ascii="Arial" w:eastAsiaTheme="minorHAnsi" w:hAnsi="Arial" w:cs="Arial"/>
          <w:color w:val="000000"/>
          <w:lang w:val="es-CO"/>
        </w:rPr>
      </w:pPr>
    </w:p>
    <w:p w14:paraId="2460F77A" w14:textId="3B170871" w:rsidR="0069313A" w:rsidRPr="00020F63" w:rsidRDefault="0069313A" w:rsidP="002376C9">
      <w:pPr>
        <w:pStyle w:val="Prrafodelista"/>
        <w:widowControl/>
        <w:numPr>
          <w:ilvl w:val="0"/>
          <w:numId w:val="57"/>
        </w:numPr>
        <w:adjustRightInd w:val="0"/>
        <w:spacing w:line="360" w:lineRule="auto"/>
        <w:jc w:val="both"/>
        <w:rPr>
          <w:rFonts w:ascii="Arial" w:eastAsiaTheme="minorHAnsi" w:hAnsi="Arial" w:cs="Arial"/>
          <w:b/>
          <w:bCs/>
          <w:color w:val="000000"/>
        </w:rPr>
      </w:pPr>
      <w:r>
        <w:rPr>
          <w:rFonts w:ascii="Arial" w:eastAsiaTheme="minorHAnsi" w:hAnsi="Arial" w:cs="Arial"/>
          <w:b/>
          <w:bCs/>
          <w:color w:val="000000"/>
        </w:rPr>
        <w:t xml:space="preserve">EN TODO CASO DEBERÁ TENER ENCUENTA EL </w:t>
      </w:r>
      <w:r w:rsidRPr="00BD7F61">
        <w:rPr>
          <w:rFonts w:ascii="Arial" w:eastAsiaTheme="minorHAnsi" w:hAnsi="Arial" w:cs="Arial"/>
          <w:b/>
          <w:bCs/>
          <w:color w:val="000000"/>
        </w:rPr>
        <w:t xml:space="preserve">LÍMITE INVARIABLE DE LA COBERTURA ASEGURADA Y DISMINUCIÓN PROGRESIVA POR PAGOS INDEMNIZATORIOS – </w:t>
      </w:r>
      <w:r w:rsidRPr="00020F63">
        <w:rPr>
          <w:rFonts w:ascii="Arial" w:eastAsiaTheme="minorHAnsi" w:hAnsi="Arial" w:cs="Arial"/>
          <w:b/>
          <w:bCs/>
          <w:color w:val="000000"/>
        </w:rPr>
        <w:t>PÓLIZA DE RESPONSABILIDAD CIVIL</w:t>
      </w:r>
      <w:r>
        <w:rPr>
          <w:rFonts w:ascii="Arial" w:eastAsiaTheme="minorHAnsi" w:hAnsi="Arial" w:cs="Arial"/>
          <w:b/>
          <w:bCs/>
          <w:color w:val="000000"/>
        </w:rPr>
        <w:t xml:space="preserve"> </w:t>
      </w:r>
      <w:r w:rsidRPr="00020F63">
        <w:rPr>
          <w:rFonts w:ascii="Arial" w:eastAsiaTheme="minorHAnsi" w:hAnsi="Arial" w:cs="Arial"/>
          <w:b/>
          <w:bCs/>
          <w:color w:val="000000"/>
        </w:rPr>
        <w:t>N</w:t>
      </w:r>
      <w:r>
        <w:rPr>
          <w:rFonts w:ascii="Arial" w:eastAsiaTheme="minorHAnsi" w:hAnsi="Arial" w:cs="Arial"/>
          <w:b/>
          <w:bCs/>
          <w:color w:val="000000"/>
        </w:rPr>
        <w:t>o</w:t>
      </w:r>
      <w:r w:rsidR="002376C9">
        <w:rPr>
          <w:rFonts w:ascii="Arial" w:eastAsiaTheme="minorHAnsi" w:hAnsi="Arial" w:cs="Arial"/>
          <w:b/>
          <w:bCs/>
          <w:color w:val="000000"/>
        </w:rPr>
        <w:t xml:space="preserve">. </w:t>
      </w:r>
      <w:r w:rsidR="002376C9">
        <w:rPr>
          <w:rFonts w:eastAsia="Arial Unicode MS"/>
          <w:b/>
          <w:kern w:val="3"/>
          <w:lang w:eastAsia="zh-CN" w:bidi="hi-IN"/>
        </w:rPr>
        <w:t xml:space="preserve">2201217017756. </w:t>
      </w:r>
    </w:p>
    <w:p w14:paraId="3702D8F7" w14:textId="77777777" w:rsidR="0069313A" w:rsidRPr="00BD7F61" w:rsidRDefault="0069313A" w:rsidP="0069313A">
      <w:pPr>
        <w:pStyle w:val="Prrafodelista"/>
        <w:widowControl/>
        <w:adjustRightInd w:val="0"/>
        <w:spacing w:line="360" w:lineRule="auto"/>
        <w:jc w:val="both"/>
        <w:rPr>
          <w:rFonts w:ascii="Arial" w:eastAsiaTheme="minorHAnsi" w:hAnsi="Arial" w:cs="Arial"/>
          <w:color w:val="000000"/>
          <w:lang w:val="es-CO"/>
        </w:rPr>
      </w:pPr>
    </w:p>
    <w:p w14:paraId="034A46D0" w14:textId="77777777" w:rsidR="0069313A" w:rsidRPr="003E41A7" w:rsidRDefault="0069313A" w:rsidP="0069313A">
      <w:pPr>
        <w:pStyle w:val="Default"/>
        <w:spacing w:line="360" w:lineRule="auto"/>
        <w:jc w:val="both"/>
        <w:rPr>
          <w:rFonts w:eastAsiaTheme="minorHAnsi"/>
          <w:sz w:val="22"/>
          <w:szCs w:val="22"/>
          <w:lang w:eastAsia="en-US"/>
        </w:rPr>
      </w:pPr>
      <w:r w:rsidRPr="003E41A7">
        <w:rPr>
          <w:rFonts w:eastAsiaTheme="minorHAnsi"/>
          <w:sz w:val="22"/>
          <w:szCs w:val="22"/>
          <w:lang w:eastAsia="en-US"/>
        </w:rPr>
        <w:t>En el presente proceso, y sin que ello implique aceptación de los hechos materia de la demanda ni admisión sobre la aplicabilidad de las pólizas vinculadas, es necesario señalar que la cobertura del contrato de seguro de responsabilidad civil está supeditada al cumplimiento de exigencias legales y contractuales específicas, cuyo desconocimiento impide activar cualquier obligación indemnizatoria a cargo del asegurador. Lo anterior constituye un argumento de defensa que debe ser considerado de manera estricta y técnica por este despacho, en la eventualidad de una decisión desfavorable.</w:t>
      </w:r>
    </w:p>
    <w:p w14:paraId="538B4D30" w14:textId="77777777" w:rsidR="0069313A" w:rsidRDefault="0069313A" w:rsidP="0069313A">
      <w:pPr>
        <w:pStyle w:val="Default"/>
        <w:spacing w:line="360" w:lineRule="auto"/>
        <w:jc w:val="both"/>
        <w:rPr>
          <w:rFonts w:eastAsiaTheme="minorHAnsi"/>
          <w:sz w:val="22"/>
          <w:szCs w:val="22"/>
          <w:lang w:eastAsia="en-US"/>
        </w:rPr>
      </w:pPr>
    </w:p>
    <w:p w14:paraId="221D0A0D" w14:textId="77777777" w:rsidR="0069313A" w:rsidRDefault="0069313A" w:rsidP="0069313A">
      <w:pPr>
        <w:pStyle w:val="Default"/>
        <w:spacing w:line="360" w:lineRule="auto"/>
        <w:jc w:val="both"/>
        <w:rPr>
          <w:rFonts w:eastAsiaTheme="minorHAnsi"/>
          <w:sz w:val="22"/>
          <w:szCs w:val="22"/>
          <w:lang w:eastAsia="en-US"/>
        </w:rPr>
      </w:pPr>
      <w:r w:rsidRPr="003E41A7">
        <w:rPr>
          <w:rFonts w:eastAsiaTheme="minorHAnsi"/>
          <w:sz w:val="22"/>
          <w:szCs w:val="22"/>
          <w:lang w:eastAsia="en-US"/>
        </w:rPr>
        <w:t>En primer lugar, es indispensable recordar que el seguro de responsabilidad civil, como cualquier contrato de seguro, no opera de manera automática, y requiere para su aplicación la verificación de condiciones estructurales mínimas, tales como:</w:t>
      </w:r>
    </w:p>
    <w:p w14:paraId="4F175682" w14:textId="77777777" w:rsidR="0069313A" w:rsidRPr="003E41A7" w:rsidRDefault="0069313A" w:rsidP="0069313A">
      <w:pPr>
        <w:pStyle w:val="Default"/>
        <w:spacing w:line="360" w:lineRule="auto"/>
        <w:jc w:val="both"/>
        <w:rPr>
          <w:rFonts w:eastAsiaTheme="minorHAnsi"/>
          <w:sz w:val="22"/>
          <w:szCs w:val="22"/>
          <w:lang w:eastAsia="en-US"/>
        </w:rPr>
      </w:pPr>
    </w:p>
    <w:p w14:paraId="4D5EA57F" w14:textId="77777777" w:rsidR="0069313A" w:rsidRPr="003E41A7" w:rsidRDefault="0069313A" w:rsidP="0069313A">
      <w:pPr>
        <w:pStyle w:val="Default"/>
        <w:numPr>
          <w:ilvl w:val="0"/>
          <w:numId w:val="47"/>
        </w:numPr>
        <w:spacing w:line="360" w:lineRule="auto"/>
        <w:jc w:val="both"/>
        <w:rPr>
          <w:rFonts w:eastAsiaTheme="minorHAnsi"/>
          <w:sz w:val="22"/>
          <w:szCs w:val="22"/>
          <w:lang w:eastAsia="en-US"/>
        </w:rPr>
      </w:pPr>
      <w:r w:rsidRPr="003E41A7">
        <w:rPr>
          <w:rFonts w:eastAsiaTheme="minorHAnsi"/>
          <w:sz w:val="22"/>
          <w:szCs w:val="22"/>
          <w:lang w:eastAsia="en-US"/>
        </w:rPr>
        <w:t>Que el asegurado haya incurrido en responsabilidad civil extracontractual, conforme al marco normativo colombiano.</w:t>
      </w:r>
    </w:p>
    <w:p w14:paraId="42FFE509" w14:textId="77777777" w:rsidR="0069313A" w:rsidRPr="003E41A7" w:rsidRDefault="0069313A" w:rsidP="0069313A">
      <w:pPr>
        <w:pStyle w:val="Default"/>
        <w:numPr>
          <w:ilvl w:val="0"/>
          <w:numId w:val="47"/>
        </w:numPr>
        <w:spacing w:line="360" w:lineRule="auto"/>
        <w:jc w:val="both"/>
        <w:rPr>
          <w:rFonts w:eastAsiaTheme="minorHAnsi"/>
          <w:sz w:val="22"/>
          <w:szCs w:val="22"/>
          <w:lang w:eastAsia="en-US"/>
        </w:rPr>
      </w:pPr>
      <w:r w:rsidRPr="003E41A7">
        <w:rPr>
          <w:rFonts w:eastAsiaTheme="minorHAnsi"/>
          <w:sz w:val="22"/>
          <w:szCs w:val="22"/>
          <w:lang w:eastAsia="en-US"/>
        </w:rPr>
        <w:lastRenderedPageBreak/>
        <w:t>Que el hecho generador del daño esté expresamente previsto dentro del ámbito de cobertura de la póliza contratada.</w:t>
      </w:r>
    </w:p>
    <w:p w14:paraId="6E025352" w14:textId="77777777" w:rsidR="0069313A" w:rsidRPr="003E41A7" w:rsidRDefault="0069313A" w:rsidP="0069313A">
      <w:pPr>
        <w:pStyle w:val="Default"/>
        <w:numPr>
          <w:ilvl w:val="0"/>
          <w:numId w:val="47"/>
        </w:numPr>
        <w:spacing w:line="360" w:lineRule="auto"/>
        <w:jc w:val="both"/>
        <w:rPr>
          <w:rFonts w:eastAsiaTheme="minorHAnsi"/>
          <w:sz w:val="22"/>
          <w:szCs w:val="22"/>
          <w:lang w:eastAsia="en-US"/>
        </w:rPr>
      </w:pPr>
      <w:r w:rsidRPr="003E41A7">
        <w:rPr>
          <w:rFonts w:eastAsiaTheme="minorHAnsi"/>
          <w:sz w:val="22"/>
          <w:szCs w:val="22"/>
          <w:lang w:eastAsia="en-US"/>
        </w:rPr>
        <w:t>Que no se configure ninguna causal de exclusión estipulada en las condiciones generales o particulares.</w:t>
      </w:r>
    </w:p>
    <w:p w14:paraId="6A4374CF" w14:textId="77777777" w:rsidR="0069313A" w:rsidRDefault="0069313A" w:rsidP="0069313A">
      <w:pPr>
        <w:pStyle w:val="Default"/>
        <w:numPr>
          <w:ilvl w:val="0"/>
          <w:numId w:val="47"/>
        </w:numPr>
        <w:spacing w:line="360" w:lineRule="auto"/>
        <w:jc w:val="both"/>
        <w:rPr>
          <w:rFonts w:eastAsiaTheme="minorHAnsi"/>
          <w:sz w:val="22"/>
          <w:szCs w:val="22"/>
          <w:lang w:eastAsia="en-US"/>
        </w:rPr>
      </w:pPr>
      <w:r w:rsidRPr="003E41A7">
        <w:rPr>
          <w:rFonts w:eastAsiaTheme="minorHAnsi"/>
          <w:sz w:val="22"/>
          <w:szCs w:val="22"/>
          <w:lang w:eastAsia="en-US"/>
        </w:rPr>
        <w:t>Que los perjuicios reclamados estén efectivamente amparados dentro de las coberturas y sublímites contractuales pactados por las partes.</w:t>
      </w:r>
    </w:p>
    <w:p w14:paraId="38E52B80" w14:textId="77777777" w:rsidR="0069313A" w:rsidRPr="003E41A7" w:rsidRDefault="0069313A" w:rsidP="0069313A">
      <w:pPr>
        <w:pStyle w:val="Default"/>
        <w:spacing w:line="360" w:lineRule="auto"/>
        <w:ind w:left="720"/>
        <w:jc w:val="both"/>
        <w:rPr>
          <w:rFonts w:eastAsiaTheme="minorHAnsi"/>
          <w:sz w:val="22"/>
          <w:szCs w:val="22"/>
          <w:lang w:eastAsia="en-US"/>
        </w:rPr>
      </w:pPr>
    </w:p>
    <w:p w14:paraId="71BAB96A" w14:textId="339824CE" w:rsidR="00D800F4" w:rsidRDefault="0069313A" w:rsidP="00D800F4">
      <w:pPr>
        <w:pStyle w:val="Default"/>
        <w:spacing w:line="360" w:lineRule="auto"/>
        <w:jc w:val="both"/>
        <w:rPr>
          <w:rFonts w:eastAsiaTheme="minorHAnsi"/>
          <w:sz w:val="22"/>
          <w:szCs w:val="22"/>
          <w:lang w:eastAsia="en-US"/>
        </w:rPr>
      </w:pPr>
      <w:r w:rsidRPr="003E41A7">
        <w:rPr>
          <w:rFonts w:eastAsiaTheme="minorHAnsi"/>
          <w:sz w:val="22"/>
          <w:szCs w:val="22"/>
          <w:lang w:eastAsia="en-US"/>
        </w:rPr>
        <w:t xml:space="preserve">De acuerdo con lo anterior, debe advertirse que incluso en el hipotético evento de una condena en contra </w:t>
      </w:r>
      <w:r w:rsidR="00D800F4">
        <w:rPr>
          <w:rFonts w:eastAsiaTheme="minorHAnsi"/>
          <w:sz w:val="22"/>
          <w:szCs w:val="22"/>
          <w:lang w:eastAsia="en-US"/>
        </w:rPr>
        <w:t xml:space="preserve">INVIAS, </w:t>
      </w:r>
      <w:r w:rsidRPr="003E41A7">
        <w:rPr>
          <w:rFonts w:eastAsiaTheme="minorHAnsi"/>
          <w:sz w:val="22"/>
          <w:szCs w:val="22"/>
          <w:lang w:eastAsia="en-US"/>
        </w:rPr>
        <w:t>la aseguradora solo estaría llamada a responder en los estrictos términos pactados contractualmente, en especial en cuanto a los riesgos amparados y los montos máximos de responsabilidad definidos en la póliza. En otras palabras, el asegurador no puede ser obligado a cubrir perjuicios no pactados, ni asumir montos que superen los límites cuantitativos expresamente convenidos entre las partes contratantes.</w:t>
      </w:r>
    </w:p>
    <w:p w14:paraId="271C0923" w14:textId="77777777" w:rsidR="009B2AD7" w:rsidRPr="003E41A7" w:rsidRDefault="009B2AD7" w:rsidP="00D800F4">
      <w:pPr>
        <w:pStyle w:val="Default"/>
        <w:spacing w:line="360" w:lineRule="auto"/>
        <w:jc w:val="both"/>
        <w:rPr>
          <w:rFonts w:eastAsiaTheme="minorHAnsi"/>
          <w:sz w:val="22"/>
          <w:szCs w:val="22"/>
          <w:lang w:eastAsia="en-US"/>
        </w:rPr>
      </w:pPr>
    </w:p>
    <w:p w14:paraId="090B1B20" w14:textId="77777777" w:rsidR="0069313A" w:rsidRDefault="0069313A" w:rsidP="0069313A">
      <w:pPr>
        <w:pStyle w:val="Default"/>
        <w:spacing w:line="360" w:lineRule="auto"/>
        <w:jc w:val="both"/>
        <w:rPr>
          <w:rFonts w:eastAsiaTheme="minorHAnsi"/>
          <w:sz w:val="22"/>
          <w:szCs w:val="22"/>
          <w:lang w:eastAsia="en-US"/>
        </w:rPr>
      </w:pPr>
      <w:r w:rsidRPr="003E41A7">
        <w:rPr>
          <w:rFonts w:eastAsiaTheme="minorHAnsi"/>
          <w:sz w:val="22"/>
          <w:szCs w:val="22"/>
          <w:lang w:eastAsia="en-US"/>
        </w:rPr>
        <w:t xml:space="preserve">En este punto, resulta pertinente señalar que el valor asegurado bajo la póliza de responsabilidad civil </w:t>
      </w:r>
      <w:r>
        <w:rPr>
          <w:rFonts w:eastAsiaTheme="minorHAnsi"/>
          <w:sz w:val="22"/>
          <w:szCs w:val="22"/>
          <w:lang w:eastAsia="en-US"/>
        </w:rPr>
        <w:t>extracontractual</w:t>
      </w:r>
      <w:r w:rsidRPr="003E41A7">
        <w:rPr>
          <w:rFonts w:eastAsiaTheme="minorHAnsi"/>
          <w:sz w:val="22"/>
          <w:szCs w:val="22"/>
          <w:lang w:eastAsia="en-US"/>
        </w:rPr>
        <w:t xml:space="preserve"> vinculada al proceso no es ilimitado, ni puede ser interpretado de forma extensiva o indiscriminada. Por el contrario, el monto de cobertura y el deducible aplicable están claramente definidos en la carátula y condiciones del contrato, los cuales rigen el alcance del compromiso asegurador.</w:t>
      </w:r>
    </w:p>
    <w:p w14:paraId="0A1C3EBE" w14:textId="77777777" w:rsidR="0069313A" w:rsidRPr="003E41A7" w:rsidRDefault="0069313A" w:rsidP="0069313A">
      <w:pPr>
        <w:pStyle w:val="Default"/>
        <w:spacing w:line="360" w:lineRule="auto"/>
        <w:jc w:val="both"/>
        <w:rPr>
          <w:rFonts w:eastAsiaTheme="minorHAnsi"/>
          <w:sz w:val="22"/>
          <w:szCs w:val="22"/>
          <w:lang w:eastAsia="en-US"/>
        </w:rPr>
      </w:pPr>
    </w:p>
    <w:p w14:paraId="789FC7A0" w14:textId="77777777" w:rsidR="0069313A" w:rsidRDefault="0069313A" w:rsidP="0069313A">
      <w:pPr>
        <w:pStyle w:val="Default"/>
        <w:spacing w:line="360" w:lineRule="auto"/>
        <w:jc w:val="both"/>
        <w:rPr>
          <w:rFonts w:eastAsiaTheme="minorHAnsi"/>
          <w:sz w:val="22"/>
          <w:szCs w:val="22"/>
          <w:lang w:eastAsia="en-US"/>
        </w:rPr>
      </w:pPr>
      <w:r w:rsidRPr="003E41A7">
        <w:rPr>
          <w:rFonts w:eastAsiaTheme="minorHAnsi"/>
          <w:sz w:val="22"/>
          <w:szCs w:val="22"/>
          <w:lang w:eastAsia="en-US"/>
        </w:rPr>
        <w:t>Detalles de la póliza y su alcance contractual</w:t>
      </w:r>
      <w:r>
        <w:rPr>
          <w:rFonts w:eastAsiaTheme="minorHAnsi"/>
          <w:sz w:val="22"/>
          <w:szCs w:val="22"/>
          <w:lang w:eastAsia="en-US"/>
        </w:rPr>
        <w:t xml:space="preserve">: </w:t>
      </w:r>
    </w:p>
    <w:p w14:paraId="24BA45B4" w14:textId="77777777" w:rsidR="0069313A" w:rsidRDefault="0069313A" w:rsidP="0069313A">
      <w:pPr>
        <w:pStyle w:val="Default"/>
        <w:spacing w:line="360" w:lineRule="auto"/>
        <w:jc w:val="both"/>
        <w:rPr>
          <w:rFonts w:eastAsiaTheme="minorHAnsi"/>
          <w:sz w:val="22"/>
          <w:szCs w:val="22"/>
          <w:lang w:eastAsia="en-US"/>
        </w:rPr>
      </w:pPr>
    </w:p>
    <w:p w14:paraId="590264A9" w14:textId="4BDC7F49" w:rsidR="00D800F4" w:rsidRDefault="00D800F4" w:rsidP="00D800F4">
      <w:pPr>
        <w:pStyle w:val="Default"/>
        <w:spacing w:line="360" w:lineRule="auto"/>
        <w:jc w:val="center"/>
        <w:rPr>
          <w:rFonts w:eastAsiaTheme="minorHAnsi"/>
          <w:noProof/>
          <w:sz w:val="22"/>
          <w:szCs w:val="22"/>
          <w:lang w:eastAsia="en-US"/>
        </w:rPr>
      </w:pPr>
      <w:r w:rsidRPr="008A682E">
        <w:rPr>
          <w:noProof/>
        </w:rPr>
        <w:drawing>
          <wp:inline distT="0" distB="0" distL="0" distR="0" wp14:anchorId="650BEFD4" wp14:editId="5D26D63F">
            <wp:extent cx="5178072" cy="1136650"/>
            <wp:effectExtent l="152400" t="152400" r="365760" b="368300"/>
            <wp:docPr id="847747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4761" name=""/>
                    <pic:cNvPicPr/>
                  </pic:nvPicPr>
                  <pic:blipFill>
                    <a:blip r:embed="rId13"/>
                    <a:stretch>
                      <a:fillRect/>
                    </a:stretch>
                  </pic:blipFill>
                  <pic:spPr>
                    <a:xfrm>
                      <a:off x="0" y="0"/>
                      <a:ext cx="5179221" cy="1136902"/>
                    </a:xfrm>
                    <a:prstGeom prst="rect">
                      <a:avLst/>
                    </a:prstGeom>
                    <a:ln>
                      <a:noFill/>
                    </a:ln>
                    <a:effectLst>
                      <a:outerShdw blurRad="292100" dist="139700" dir="2700000" algn="tl" rotWithShape="0">
                        <a:srgbClr val="333333">
                          <a:alpha val="65000"/>
                        </a:srgbClr>
                      </a:outerShdw>
                    </a:effectLst>
                  </pic:spPr>
                </pic:pic>
              </a:graphicData>
            </a:graphic>
          </wp:inline>
        </w:drawing>
      </w:r>
    </w:p>
    <w:p w14:paraId="2E3307FB" w14:textId="731640BD" w:rsidR="00D800F4" w:rsidRPr="00D800F4" w:rsidRDefault="00D800F4" w:rsidP="0069313A">
      <w:pPr>
        <w:pStyle w:val="Default"/>
        <w:spacing w:line="360" w:lineRule="auto"/>
        <w:jc w:val="both"/>
        <w:rPr>
          <w:rFonts w:eastAsiaTheme="minorHAnsi"/>
          <w:b/>
          <w:bCs/>
          <w:sz w:val="22"/>
          <w:szCs w:val="22"/>
          <w:lang w:eastAsia="en-US"/>
        </w:rPr>
      </w:pPr>
      <w:r>
        <w:rPr>
          <w:rFonts w:eastAsiaTheme="minorHAnsi"/>
          <w:b/>
          <w:bCs/>
          <w:sz w:val="22"/>
          <w:szCs w:val="22"/>
          <w:lang w:eastAsia="en-US"/>
        </w:rPr>
        <w:t>S</w:t>
      </w:r>
      <w:r w:rsidRPr="00D800F4">
        <w:rPr>
          <w:rFonts w:eastAsiaTheme="minorHAnsi"/>
          <w:b/>
          <w:bCs/>
          <w:sz w:val="22"/>
          <w:szCs w:val="22"/>
          <w:lang w:eastAsia="en-US"/>
        </w:rPr>
        <w:t>uma indicada en la carátula de la póliza es de $10.000.000.000 Pesos M/</w:t>
      </w:r>
      <w:proofErr w:type="spellStart"/>
      <w:r w:rsidRPr="00D800F4">
        <w:rPr>
          <w:rFonts w:eastAsiaTheme="minorHAnsi"/>
          <w:b/>
          <w:bCs/>
          <w:sz w:val="22"/>
          <w:szCs w:val="22"/>
          <w:lang w:eastAsia="en-US"/>
        </w:rPr>
        <w:t>cte</w:t>
      </w:r>
      <w:proofErr w:type="spellEnd"/>
      <w:r w:rsidRPr="00D800F4">
        <w:rPr>
          <w:rFonts w:eastAsiaTheme="minorHAnsi"/>
          <w:b/>
          <w:bCs/>
          <w:sz w:val="22"/>
          <w:szCs w:val="22"/>
          <w:lang w:eastAsia="en-US"/>
        </w:rPr>
        <w:t xml:space="preserve"> </w:t>
      </w:r>
    </w:p>
    <w:p w14:paraId="225D137A" w14:textId="77777777" w:rsidR="00D800F4" w:rsidRDefault="00D800F4" w:rsidP="0069313A">
      <w:pPr>
        <w:pStyle w:val="Default"/>
        <w:spacing w:line="360" w:lineRule="auto"/>
        <w:jc w:val="both"/>
        <w:rPr>
          <w:rFonts w:eastAsiaTheme="minorHAnsi"/>
          <w:sz w:val="22"/>
          <w:szCs w:val="22"/>
          <w:lang w:eastAsia="en-US"/>
        </w:rPr>
      </w:pPr>
    </w:p>
    <w:p w14:paraId="1910D88B" w14:textId="76C5EE8A" w:rsidR="0069313A" w:rsidRPr="003E41A7" w:rsidRDefault="0069313A" w:rsidP="0069313A">
      <w:pPr>
        <w:pStyle w:val="Default"/>
        <w:spacing w:line="360" w:lineRule="auto"/>
        <w:jc w:val="both"/>
        <w:rPr>
          <w:rFonts w:eastAsiaTheme="minorHAnsi"/>
          <w:sz w:val="22"/>
          <w:szCs w:val="22"/>
          <w:lang w:eastAsia="en-US"/>
        </w:rPr>
      </w:pPr>
      <w:r w:rsidRPr="003E41A7">
        <w:rPr>
          <w:rFonts w:eastAsiaTheme="minorHAnsi"/>
          <w:sz w:val="22"/>
          <w:szCs w:val="22"/>
          <w:lang w:eastAsia="en-US"/>
        </w:rPr>
        <w:t>Estas estipulaciones contractuales son de cumplimiento obligatorio y vinculante, tanto para el tomador como para el asegurador, y definen de forma precisa los límites máximos de responsabilidad y los eventos amparados. Tal como lo establece la jurisprudencia y la doctrina en materia de contratos de seguro, el asegurador no está obligado a responder por fuera de lo que fue expresamente pactado, ni puede verse compelido a cubrir valores que excedan los montos asegurados disponibles o a asumir obligaciones frente a hechos no cubiertos.</w:t>
      </w:r>
    </w:p>
    <w:p w14:paraId="36501148" w14:textId="77777777" w:rsidR="0069313A" w:rsidRDefault="0069313A" w:rsidP="0069313A">
      <w:pPr>
        <w:pStyle w:val="Default"/>
        <w:spacing w:line="360" w:lineRule="auto"/>
        <w:jc w:val="both"/>
        <w:rPr>
          <w:rFonts w:eastAsiaTheme="minorHAnsi"/>
          <w:sz w:val="22"/>
          <w:szCs w:val="22"/>
          <w:lang w:eastAsia="en-US"/>
        </w:rPr>
      </w:pPr>
    </w:p>
    <w:p w14:paraId="38B3C741" w14:textId="2A973F1E" w:rsidR="0069313A" w:rsidRDefault="0069313A" w:rsidP="0069313A">
      <w:pPr>
        <w:pStyle w:val="Default"/>
        <w:spacing w:line="360" w:lineRule="auto"/>
        <w:jc w:val="both"/>
        <w:rPr>
          <w:rFonts w:eastAsiaTheme="minorHAnsi"/>
          <w:sz w:val="22"/>
          <w:szCs w:val="22"/>
          <w:lang w:eastAsia="en-US"/>
        </w:rPr>
      </w:pPr>
      <w:r w:rsidRPr="003E41A7">
        <w:rPr>
          <w:rFonts w:eastAsiaTheme="minorHAnsi"/>
          <w:sz w:val="22"/>
          <w:szCs w:val="22"/>
          <w:lang w:eastAsia="en-US"/>
        </w:rPr>
        <w:t xml:space="preserve">En tal sentido, y reiterando que no se acepta responsabilidad alguna por parte del asegurado ni se admite la existencia de cobertura automática, de llegarse a proferir una sentencia en contra del </w:t>
      </w:r>
      <w:r w:rsidR="00D800F4">
        <w:rPr>
          <w:rFonts w:eastAsiaTheme="minorHAnsi"/>
          <w:sz w:val="22"/>
          <w:szCs w:val="22"/>
          <w:lang w:eastAsia="en-US"/>
        </w:rPr>
        <w:lastRenderedPageBreak/>
        <w:t>INSTITUTO NACIONAL DE VÍAS - INVIAS</w:t>
      </w:r>
      <w:r w:rsidRPr="003E41A7">
        <w:rPr>
          <w:rFonts w:eastAsiaTheme="minorHAnsi"/>
          <w:sz w:val="22"/>
          <w:szCs w:val="22"/>
          <w:lang w:eastAsia="en-US"/>
        </w:rPr>
        <w:t>, la participación eventual del asegurador deberá ceñirse estrictamente a las condiciones acordadas en la póliza. Esto implica que cualquier reconocimiento indemnizatorio:</w:t>
      </w:r>
      <w:r>
        <w:rPr>
          <w:rFonts w:eastAsiaTheme="minorHAnsi"/>
          <w:sz w:val="22"/>
          <w:szCs w:val="22"/>
          <w:lang w:eastAsia="en-US"/>
        </w:rPr>
        <w:t xml:space="preserve"> i) </w:t>
      </w:r>
      <w:r w:rsidRPr="003E41A7">
        <w:rPr>
          <w:rFonts w:eastAsiaTheme="minorHAnsi"/>
          <w:sz w:val="22"/>
          <w:szCs w:val="22"/>
          <w:lang w:eastAsia="en-US"/>
        </w:rPr>
        <w:t>Estará sujeto al análisis de la existencia efectiva del siniestro y de la responsabilidad del asegurado.</w:t>
      </w:r>
      <w:r>
        <w:rPr>
          <w:rFonts w:eastAsiaTheme="minorHAnsi"/>
          <w:sz w:val="22"/>
          <w:szCs w:val="22"/>
          <w:lang w:eastAsia="en-US"/>
        </w:rPr>
        <w:t xml:space="preserve"> </w:t>
      </w:r>
      <w:proofErr w:type="spellStart"/>
      <w:r>
        <w:rPr>
          <w:rFonts w:eastAsiaTheme="minorHAnsi"/>
          <w:sz w:val="22"/>
          <w:szCs w:val="22"/>
          <w:lang w:eastAsia="en-US"/>
        </w:rPr>
        <w:t>ii</w:t>
      </w:r>
      <w:proofErr w:type="spellEnd"/>
      <w:r>
        <w:rPr>
          <w:rFonts w:eastAsiaTheme="minorHAnsi"/>
          <w:sz w:val="22"/>
          <w:szCs w:val="22"/>
          <w:lang w:eastAsia="en-US"/>
        </w:rPr>
        <w:t xml:space="preserve">) </w:t>
      </w:r>
      <w:r w:rsidRPr="003E41A7">
        <w:rPr>
          <w:rFonts w:eastAsiaTheme="minorHAnsi"/>
          <w:sz w:val="22"/>
          <w:szCs w:val="22"/>
          <w:lang w:eastAsia="en-US"/>
        </w:rPr>
        <w:t>Se limitará a los riesgos expresamente cubiertos.</w:t>
      </w:r>
      <w:r>
        <w:rPr>
          <w:rFonts w:eastAsiaTheme="minorHAnsi"/>
          <w:sz w:val="22"/>
          <w:szCs w:val="22"/>
          <w:lang w:eastAsia="en-US"/>
        </w:rPr>
        <w:t xml:space="preserve"> </w:t>
      </w:r>
      <w:proofErr w:type="spellStart"/>
      <w:r>
        <w:rPr>
          <w:rFonts w:eastAsiaTheme="minorHAnsi"/>
          <w:sz w:val="22"/>
          <w:szCs w:val="22"/>
          <w:lang w:eastAsia="en-US"/>
        </w:rPr>
        <w:t>iii</w:t>
      </w:r>
      <w:proofErr w:type="spellEnd"/>
      <w:r>
        <w:rPr>
          <w:rFonts w:eastAsiaTheme="minorHAnsi"/>
          <w:sz w:val="22"/>
          <w:szCs w:val="22"/>
          <w:lang w:eastAsia="en-US"/>
        </w:rPr>
        <w:t xml:space="preserve">) </w:t>
      </w:r>
      <w:r w:rsidRPr="003E41A7">
        <w:rPr>
          <w:rFonts w:eastAsiaTheme="minorHAnsi"/>
          <w:sz w:val="22"/>
          <w:szCs w:val="22"/>
          <w:lang w:eastAsia="en-US"/>
        </w:rPr>
        <w:t>Respetará el deducible y el monto máximo de cobertura indicado en la carátula.</w:t>
      </w:r>
      <w:r>
        <w:rPr>
          <w:rFonts w:eastAsiaTheme="minorHAnsi"/>
          <w:sz w:val="22"/>
          <w:szCs w:val="22"/>
          <w:lang w:eastAsia="en-US"/>
        </w:rPr>
        <w:t xml:space="preserve"> y </w:t>
      </w:r>
      <w:proofErr w:type="spellStart"/>
      <w:r>
        <w:rPr>
          <w:rFonts w:eastAsiaTheme="minorHAnsi"/>
          <w:sz w:val="22"/>
          <w:szCs w:val="22"/>
          <w:lang w:eastAsia="en-US"/>
        </w:rPr>
        <w:t>iiii</w:t>
      </w:r>
      <w:proofErr w:type="spellEnd"/>
      <w:r>
        <w:rPr>
          <w:rFonts w:eastAsiaTheme="minorHAnsi"/>
          <w:sz w:val="22"/>
          <w:szCs w:val="22"/>
          <w:lang w:eastAsia="en-US"/>
        </w:rPr>
        <w:t xml:space="preserve">) </w:t>
      </w:r>
      <w:r w:rsidRPr="003E41A7">
        <w:rPr>
          <w:rFonts w:eastAsiaTheme="minorHAnsi"/>
          <w:sz w:val="22"/>
          <w:szCs w:val="22"/>
          <w:lang w:eastAsia="en-US"/>
        </w:rPr>
        <w:t>Dependerá de la vigencia del contrato y de que la reclamación se haya presentado dentro de su cobertura temporal.</w:t>
      </w:r>
      <w:r>
        <w:rPr>
          <w:rFonts w:eastAsiaTheme="minorHAnsi"/>
          <w:sz w:val="22"/>
          <w:szCs w:val="22"/>
          <w:lang w:eastAsia="en-US"/>
        </w:rPr>
        <w:t xml:space="preserve"> </w:t>
      </w:r>
      <w:r w:rsidRPr="003E41A7">
        <w:rPr>
          <w:rFonts w:eastAsiaTheme="minorHAnsi"/>
          <w:sz w:val="22"/>
          <w:szCs w:val="22"/>
          <w:lang w:eastAsia="en-US"/>
        </w:rPr>
        <w:t>Por consiguiente, la aseguradora no puede ser llamada a responder por encima de lo contratado, ni mucho menos a cubrir daños que superen los límites económicos establecidos o que se pretendan cobrar sin observancia de las condiciones legales y contractuales. En suma, el límite del valor asegurado y la estructura misma de la póliza imponen una barrera infranqueable frente a cualquier pretensión de trasladar al asegurador una carga superior a la pactada.</w:t>
      </w:r>
    </w:p>
    <w:p w14:paraId="4B85429B" w14:textId="77777777" w:rsidR="00D04B8E" w:rsidRDefault="00D04B8E" w:rsidP="00D04B8E">
      <w:pPr>
        <w:widowControl/>
        <w:adjustRightInd w:val="0"/>
        <w:spacing w:line="360" w:lineRule="auto"/>
        <w:jc w:val="both"/>
        <w:rPr>
          <w:rFonts w:ascii="Arial" w:eastAsiaTheme="minorHAnsi" w:hAnsi="Arial" w:cs="Arial"/>
          <w:color w:val="000000"/>
          <w:lang w:val="es-CO"/>
        </w:rPr>
      </w:pPr>
    </w:p>
    <w:p w14:paraId="20F8E95E" w14:textId="77777777" w:rsidR="00D800F4" w:rsidRPr="00D04B8E" w:rsidRDefault="00D800F4" w:rsidP="00D04B8E">
      <w:pPr>
        <w:widowControl/>
        <w:adjustRightInd w:val="0"/>
        <w:spacing w:line="360" w:lineRule="auto"/>
        <w:jc w:val="both"/>
        <w:rPr>
          <w:rFonts w:ascii="Arial" w:eastAsiaTheme="minorHAnsi" w:hAnsi="Arial" w:cs="Arial"/>
          <w:color w:val="000000"/>
          <w:lang w:val="es-CO"/>
        </w:rPr>
      </w:pPr>
    </w:p>
    <w:p w14:paraId="4FCD8EB7" w14:textId="6047675D" w:rsidR="000A5CD4" w:rsidRPr="000A5CD4" w:rsidRDefault="00E314A7" w:rsidP="002376C9">
      <w:pPr>
        <w:pStyle w:val="Prrafodelista"/>
        <w:widowControl/>
        <w:numPr>
          <w:ilvl w:val="0"/>
          <w:numId w:val="57"/>
        </w:numPr>
        <w:adjustRightInd w:val="0"/>
        <w:spacing w:line="360" w:lineRule="auto"/>
        <w:jc w:val="both"/>
        <w:rPr>
          <w:rFonts w:ascii="Arial" w:hAnsi="Arial" w:cs="Arial"/>
          <w:b/>
          <w:bCs/>
          <w:lang w:val="es-CO"/>
        </w:rPr>
      </w:pPr>
      <w:r>
        <w:rPr>
          <w:rFonts w:ascii="Arial" w:hAnsi="Arial" w:cs="Arial"/>
          <w:b/>
          <w:bCs/>
          <w:lang w:val="es-CO"/>
        </w:rPr>
        <w:t xml:space="preserve">NO DEBERÁ DESCONOCERSE EL </w:t>
      </w:r>
      <w:r w:rsidR="000A5CD4" w:rsidRPr="000A5CD4">
        <w:rPr>
          <w:rFonts w:ascii="Arial" w:hAnsi="Arial" w:cs="Arial"/>
          <w:b/>
          <w:bCs/>
          <w:lang w:val="es-CO"/>
        </w:rPr>
        <w:t xml:space="preserve">DEDUCIBLE A CARGO DEL ASEGURADO EN LA PÓLIZA DE RESPONSABILIDAD CIVIL EXTRACONTRACTUAL No. </w:t>
      </w:r>
      <w:r w:rsidR="00D800F4">
        <w:rPr>
          <w:rFonts w:eastAsia="Arial Unicode MS"/>
          <w:b/>
          <w:kern w:val="3"/>
          <w:lang w:eastAsia="zh-CN" w:bidi="hi-IN"/>
        </w:rPr>
        <w:t>2201217017756</w:t>
      </w:r>
      <w:r w:rsidR="000A5CD4" w:rsidRPr="000A5CD4">
        <w:rPr>
          <w:rFonts w:ascii="Arial" w:hAnsi="Arial" w:cs="Arial"/>
          <w:b/>
          <w:bCs/>
          <w:lang w:val="es-CO"/>
        </w:rPr>
        <w:t>.</w:t>
      </w:r>
    </w:p>
    <w:p w14:paraId="1BE8E636" w14:textId="77777777" w:rsidR="000A5CD4" w:rsidRPr="00E25191" w:rsidRDefault="000A5CD4" w:rsidP="000A5CD4">
      <w:pPr>
        <w:widowControl/>
        <w:adjustRightInd w:val="0"/>
        <w:spacing w:line="360" w:lineRule="auto"/>
        <w:jc w:val="both"/>
        <w:rPr>
          <w:rFonts w:ascii="Arial" w:hAnsi="Arial" w:cs="Arial"/>
          <w:b/>
          <w:bCs/>
          <w:u w:val="single"/>
          <w:lang w:val="es-CO"/>
        </w:rPr>
      </w:pPr>
    </w:p>
    <w:p w14:paraId="50D47664" w14:textId="7CD9FD73" w:rsidR="000A5CD4" w:rsidRPr="00E25191" w:rsidRDefault="000A5CD4" w:rsidP="000A5CD4">
      <w:pPr>
        <w:widowControl/>
        <w:adjustRightInd w:val="0"/>
        <w:spacing w:line="360" w:lineRule="auto"/>
        <w:jc w:val="both"/>
        <w:rPr>
          <w:rFonts w:ascii="Arial" w:hAnsi="Arial" w:cs="Arial"/>
          <w:lang w:val="es-CO"/>
        </w:rPr>
      </w:pPr>
      <w:r w:rsidRPr="00E25191">
        <w:rPr>
          <w:rFonts w:ascii="Arial" w:hAnsi="Arial" w:cs="Arial"/>
          <w:lang w:val="es-CO"/>
        </w:rPr>
        <w:t xml:space="preserve">Sin perjuicio de lo previamente expuesto y sin que ello implique aceptación alguna por parte de mi representada, resulta pertinente señalar que en la Póliza de Responsabilidad Civil Extracontractual No. </w:t>
      </w:r>
      <w:r w:rsidR="00D800F4" w:rsidRPr="00D800F4">
        <w:rPr>
          <w:rFonts w:ascii="Arial" w:hAnsi="Arial" w:cs="Arial"/>
          <w:lang w:val="es-CO"/>
        </w:rPr>
        <w:t>2201217017756</w:t>
      </w:r>
      <w:r w:rsidRPr="00E25191">
        <w:rPr>
          <w:rFonts w:ascii="Arial" w:hAnsi="Arial" w:cs="Arial"/>
          <w:lang w:val="es-CO"/>
        </w:rPr>
        <w:t xml:space="preserve"> se estipuló un deducible equivalente </w:t>
      </w:r>
      <w:r w:rsidRPr="00E0292B">
        <w:rPr>
          <w:rFonts w:ascii="Arial" w:hAnsi="Arial" w:cs="Arial"/>
          <w:b/>
          <w:bCs/>
          <w:u w:val="single"/>
          <w:lang w:val="es-CO"/>
        </w:rPr>
        <w:t xml:space="preserve">al </w:t>
      </w:r>
      <w:r w:rsidR="00D800F4">
        <w:rPr>
          <w:rFonts w:ascii="Arial" w:hAnsi="Arial" w:cs="Arial"/>
          <w:b/>
          <w:bCs/>
          <w:u w:val="single"/>
          <w:lang w:val="es-CO"/>
        </w:rPr>
        <w:t>1.9</w:t>
      </w:r>
      <w:r w:rsidRPr="00E0292B">
        <w:rPr>
          <w:rFonts w:ascii="Arial" w:hAnsi="Arial" w:cs="Arial"/>
          <w:b/>
          <w:bCs/>
          <w:u w:val="single"/>
          <w:lang w:val="es-CO"/>
        </w:rPr>
        <w:t xml:space="preserve">% del valor de la pérdida, estableciendo un mínimo de </w:t>
      </w:r>
      <w:r w:rsidR="00D800F4">
        <w:rPr>
          <w:rFonts w:ascii="Arial" w:hAnsi="Arial" w:cs="Arial"/>
          <w:b/>
          <w:bCs/>
          <w:u w:val="single"/>
          <w:lang w:val="es-CO"/>
        </w:rPr>
        <w:t>0.9</w:t>
      </w:r>
      <w:r w:rsidRPr="00E0292B">
        <w:rPr>
          <w:rFonts w:ascii="Arial" w:hAnsi="Arial" w:cs="Arial"/>
          <w:b/>
          <w:bCs/>
          <w:u w:val="single"/>
          <w:lang w:val="es-CO"/>
        </w:rPr>
        <w:t xml:space="preserve"> salarios mínimos mensuales legales vigentes por cada evento</w:t>
      </w:r>
      <w:r w:rsidRPr="00E25191">
        <w:rPr>
          <w:rFonts w:ascii="Arial" w:hAnsi="Arial" w:cs="Arial"/>
          <w:lang w:val="es-CO"/>
        </w:rPr>
        <w:t>. Dicho monto constituye la porción de la pérdida que deberá ser asumida directamente por el asegurado con sus propios recursos.</w:t>
      </w:r>
    </w:p>
    <w:p w14:paraId="6844385A" w14:textId="383D2ECC" w:rsidR="000A5CD4" w:rsidRPr="00E25191" w:rsidRDefault="00D800F4" w:rsidP="000A5CD4">
      <w:pPr>
        <w:widowControl/>
        <w:adjustRightInd w:val="0"/>
        <w:spacing w:line="360" w:lineRule="auto"/>
        <w:jc w:val="both"/>
        <w:rPr>
          <w:rFonts w:ascii="Arial" w:hAnsi="Arial" w:cs="Arial"/>
          <w:lang w:val="es-CO"/>
        </w:rPr>
      </w:pPr>
      <w:r w:rsidRPr="00CC401B">
        <w:rPr>
          <w:noProof/>
          <w:color w:val="0D0D0D"/>
        </w:rPr>
        <w:drawing>
          <wp:inline distT="0" distB="0" distL="0" distR="0" wp14:anchorId="1E391118" wp14:editId="64A150CF">
            <wp:extent cx="5791835" cy="875030"/>
            <wp:effectExtent l="152400" t="152400" r="361315" b="363220"/>
            <wp:docPr id="21105082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508291" name=""/>
                    <pic:cNvPicPr/>
                  </pic:nvPicPr>
                  <pic:blipFill>
                    <a:blip r:embed="rId14"/>
                    <a:stretch>
                      <a:fillRect/>
                    </a:stretch>
                  </pic:blipFill>
                  <pic:spPr>
                    <a:xfrm>
                      <a:off x="0" y="0"/>
                      <a:ext cx="5791835" cy="875030"/>
                    </a:xfrm>
                    <a:prstGeom prst="rect">
                      <a:avLst/>
                    </a:prstGeom>
                    <a:ln>
                      <a:noFill/>
                    </a:ln>
                    <a:effectLst>
                      <a:outerShdw blurRad="292100" dist="139700" dir="2700000" algn="tl" rotWithShape="0">
                        <a:srgbClr val="333333">
                          <a:alpha val="65000"/>
                        </a:srgbClr>
                      </a:outerShdw>
                    </a:effectLst>
                  </pic:spPr>
                </pic:pic>
              </a:graphicData>
            </a:graphic>
          </wp:inline>
        </w:drawing>
      </w:r>
    </w:p>
    <w:p w14:paraId="1C32BB93" w14:textId="77777777" w:rsidR="000A5CD4" w:rsidRPr="00E25191" w:rsidRDefault="000A5CD4" w:rsidP="000A5CD4">
      <w:pPr>
        <w:widowControl/>
        <w:adjustRightInd w:val="0"/>
        <w:spacing w:line="360" w:lineRule="auto"/>
        <w:jc w:val="both"/>
        <w:rPr>
          <w:rFonts w:ascii="Arial" w:hAnsi="Arial" w:cs="Arial"/>
          <w:i/>
          <w:iCs/>
          <w:lang w:val="es-CO"/>
        </w:rPr>
      </w:pPr>
      <w:r w:rsidRPr="00E25191">
        <w:rPr>
          <w:rFonts w:ascii="Arial" w:hAnsi="Arial" w:cs="Arial"/>
          <w:lang w:val="es-CO"/>
        </w:rPr>
        <w:t xml:space="preserve">Asimismo, en la referida póliza se prevé expresamente que: </w:t>
      </w:r>
      <w:r w:rsidRPr="00E25191">
        <w:rPr>
          <w:rFonts w:ascii="Arial" w:hAnsi="Arial" w:cs="Arial"/>
          <w:i/>
          <w:iCs/>
          <w:lang w:val="es-CO"/>
        </w:rPr>
        <w:t>"Todas las indemnizaciones que pudieran generarse como consecuencia de un siniestro amparado por cualquiera de las coberturas contempladas en la presente póliza estarán sujetas a los límites de indemnización y deducibles aplicables, conforme a lo dispuesto en las condiciones generales, particulares y/o especiales que integran el contrato de seguro."</w:t>
      </w:r>
    </w:p>
    <w:p w14:paraId="6152B8F0" w14:textId="77777777" w:rsidR="000A5CD4" w:rsidRPr="00E25191" w:rsidRDefault="000A5CD4" w:rsidP="000A5CD4">
      <w:pPr>
        <w:widowControl/>
        <w:adjustRightInd w:val="0"/>
        <w:spacing w:line="360" w:lineRule="auto"/>
        <w:jc w:val="both"/>
        <w:rPr>
          <w:rFonts w:ascii="Arial" w:hAnsi="Arial" w:cs="Arial"/>
          <w:i/>
          <w:iCs/>
          <w:lang w:val="es-CO"/>
        </w:rPr>
      </w:pPr>
    </w:p>
    <w:p w14:paraId="3D8DB46B" w14:textId="77777777" w:rsidR="000A5CD4" w:rsidRPr="00E25191" w:rsidRDefault="000A5CD4" w:rsidP="000A5CD4">
      <w:pPr>
        <w:widowControl/>
        <w:adjustRightInd w:val="0"/>
        <w:spacing w:line="360" w:lineRule="auto"/>
        <w:jc w:val="both"/>
        <w:rPr>
          <w:rFonts w:ascii="Arial" w:hAnsi="Arial" w:cs="Arial"/>
          <w:lang w:val="es-CO"/>
        </w:rPr>
      </w:pPr>
      <w:r w:rsidRPr="00E25191">
        <w:rPr>
          <w:rFonts w:ascii="Arial" w:hAnsi="Arial" w:cs="Arial"/>
          <w:lang w:val="es-CO"/>
        </w:rPr>
        <w:t xml:space="preserve">Sobre este particular, la Superintendencia Financiera de Colombia, en su concepto No. 2008065573-001, ha precisado el alcance del deducible, indicando que el artículo 1103 del Código de Comercio, dentro de las disposiciones comunes a los seguros de daños, reconoce la posibilidad de pactar cláusulas que obliguen al asegurado a asumir una parte del riesgo o de la pérdida. En este contexto, el deducible se configura como la suma que el asegurador descuenta invariablemente del monto de la indemnización, de modo que, en caso de siniestro, la aseguradora no cubrirá la </w:t>
      </w:r>
      <w:r w:rsidRPr="00E25191">
        <w:rPr>
          <w:rFonts w:ascii="Arial" w:hAnsi="Arial" w:cs="Arial"/>
          <w:lang w:val="es-CO"/>
        </w:rPr>
        <w:lastRenderedPageBreak/>
        <w:t>totalidad del daño, sino únicamente el valor que exceda el monto pactado como deducible. Este puede establecerse como una suma fija, un porcentaje o una combinación de ambos, y su finalidad radica en generar conciencia en el asegurado respecto del cuidado y manejo adecuado del bien o riesgo asegurado. En consecuencia, serán las partes del contrato quienes determinen el porcentaje de la pérdida que deberá ser asumido por el asegurado bajo esta modalidad, lo que se enmarca en las disposiciones del numeral 11 del artículo 1047 del Código de Comercio, relativo a las condiciones particulares que acuerden los contratantes.</w:t>
      </w:r>
    </w:p>
    <w:p w14:paraId="004F2F90" w14:textId="77777777" w:rsidR="000A5CD4" w:rsidRPr="00E25191" w:rsidRDefault="000A5CD4" w:rsidP="000A5CD4">
      <w:pPr>
        <w:widowControl/>
        <w:adjustRightInd w:val="0"/>
        <w:spacing w:line="360" w:lineRule="auto"/>
        <w:jc w:val="both"/>
        <w:rPr>
          <w:rFonts w:ascii="Arial" w:hAnsi="Arial" w:cs="Arial"/>
          <w:lang w:val="es-CO"/>
        </w:rPr>
      </w:pPr>
    </w:p>
    <w:p w14:paraId="78E04DBF" w14:textId="2A68D1ED" w:rsidR="000A5CD4" w:rsidRDefault="000A5CD4" w:rsidP="000A5CD4">
      <w:pPr>
        <w:widowControl/>
        <w:adjustRightInd w:val="0"/>
        <w:spacing w:line="360" w:lineRule="auto"/>
        <w:jc w:val="both"/>
        <w:rPr>
          <w:rFonts w:ascii="Arial" w:hAnsi="Arial" w:cs="Arial"/>
          <w:lang w:val="es-CO"/>
        </w:rPr>
      </w:pPr>
      <w:r w:rsidRPr="00E25191">
        <w:rPr>
          <w:rFonts w:ascii="Arial" w:hAnsi="Arial" w:cs="Arial"/>
          <w:lang w:val="es-CO"/>
        </w:rPr>
        <w:t xml:space="preserve">Por lo anterior, Honorable Juez, resulta procedente realizar un análisis detallado de las disposiciones establecidas en la Póliza de Responsabilidad Civil Extracontractual No. </w:t>
      </w:r>
      <w:r w:rsidR="00D800F4" w:rsidRPr="00D800F4">
        <w:rPr>
          <w:rFonts w:ascii="Arial" w:hAnsi="Arial" w:cs="Arial"/>
          <w:lang w:val="es-CO"/>
        </w:rPr>
        <w:t>2201217017756</w:t>
      </w:r>
      <w:r w:rsidRPr="00E25191">
        <w:rPr>
          <w:rFonts w:ascii="Arial" w:hAnsi="Arial" w:cs="Arial"/>
          <w:lang w:val="es-CO"/>
        </w:rPr>
        <w:t>, por lo que solicito a su despacho considerar cada una de sus condiciones, en especial aquellas relativas a la suma asegurada y al deducible pactado. De igual manera, en el eventual escenario en que se haga efectivo el llamamiento en garantía, se solicita que sean aplicadas en su integridad todas las cláusulas y condiciones del contrato de seguro.</w:t>
      </w:r>
    </w:p>
    <w:p w14:paraId="5A010365" w14:textId="77777777" w:rsidR="000A5CD4" w:rsidRDefault="000A5CD4" w:rsidP="000A5CD4">
      <w:pPr>
        <w:widowControl/>
        <w:adjustRightInd w:val="0"/>
        <w:spacing w:line="360" w:lineRule="auto"/>
        <w:jc w:val="both"/>
        <w:rPr>
          <w:rFonts w:ascii="Arial" w:hAnsi="Arial" w:cs="Arial"/>
          <w:lang w:val="es-CO"/>
        </w:rPr>
      </w:pPr>
    </w:p>
    <w:p w14:paraId="0BDAA7E1" w14:textId="77777777" w:rsidR="00A10183" w:rsidRDefault="00A10183" w:rsidP="000A5CD4">
      <w:pPr>
        <w:widowControl/>
        <w:adjustRightInd w:val="0"/>
        <w:spacing w:line="360" w:lineRule="auto"/>
        <w:jc w:val="both"/>
        <w:rPr>
          <w:rFonts w:ascii="Arial" w:hAnsi="Arial" w:cs="Arial"/>
          <w:lang w:val="es-CO"/>
        </w:rPr>
      </w:pPr>
    </w:p>
    <w:p w14:paraId="745C6EC0" w14:textId="61C5A583" w:rsidR="000A5CD4" w:rsidRPr="000A5CD4" w:rsidRDefault="000A5CD4" w:rsidP="002376C9">
      <w:pPr>
        <w:pStyle w:val="Prrafodelista"/>
        <w:numPr>
          <w:ilvl w:val="0"/>
          <w:numId w:val="57"/>
        </w:numPr>
        <w:spacing w:line="360" w:lineRule="auto"/>
        <w:jc w:val="both"/>
        <w:rPr>
          <w:rFonts w:ascii="Arial" w:hAnsi="Arial" w:cs="Arial"/>
          <w:b/>
          <w:bCs/>
          <w:lang w:val="es-CO"/>
        </w:rPr>
      </w:pPr>
      <w:r w:rsidRPr="000A5CD4">
        <w:rPr>
          <w:rFonts w:ascii="Arial" w:hAnsi="Arial" w:cs="Arial"/>
          <w:b/>
          <w:bCs/>
          <w:lang w:val="es-CO"/>
        </w:rPr>
        <w:t xml:space="preserve">EXISTENCIA DE CAUSALES DE EXCLUSIÓN DE COBERTURA EN LA PÓLIZA No. </w:t>
      </w:r>
      <w:bookmarkStart w:id="3" w:name="_Hlk202455575"/>
      <w:r w:rsidR="00D800F4">
        <w:rPr>
          <w:rFonts w:eastAsia="Arial Unicode MS"/>
          <w:b/>
          <w:kern w:val="3"/>
          <w:lang w:eastAsia="zh-CN" w:bidi="hi-IN"/>
        </w:rPr>
        <w:t>2201217017756</w:t>
      </w:r>
      <w:bookmarkEnd w:id="3"/>
      <w:r w:rsidR="00D800F4">
        <w:rPr>
          <w:rFonts w:eastAsia="Arial Unicode MS"/>
          <w:b/>
          <w:kern w:val="3"/>
          <w:lang w:eastAsia="zh-CN" w:bidi="hi-IN"/>
        </w:rPr>
        <w:t xml:space="preserve">. </w:t>
      </w:r>
    </w:p>
    <w:p w14:paraId="1911B5E3" w14:textId="77777777" w:rsidR="000A5CD4" w:rsidRPr="00E25191" w:rsidRDefault="000A5CD4" w:rsidP="000A5CD4">
      <w:pPr>
        <w:spacing w:line="360" w:lineRule="auto"/>
        <w:jc w:val="both"/>
        <w:rPr>
          <w:rFonts w:ascii="Arial" w:hAnsi="Arial" w:cs="Arial"/>
          <w:b/>
          <w:bCs/>
          <w:lang w:val="es-CO"/>
        </w:rPr>
      </w:pPr>
    </w:p>
    <w:p w14:paraId="577B7BF0" w14:textId="493A29A2" w:rsidR="000A5CD4" w:rsidRPr="00E25191" w:rsidRDefault="000A5CD4" w:rsidP="000A5CD4">
      <w:pPr>
        <w:spacing w:line="360" w:lineRule="auto"/>
        <w:jc w:val="both"/>
        <w:rPr>
          <w:rFonts w:ascii="Arial" w:hAnsi="Arial" w:cs="Arial"/>
          <w:i/>
          <w:iCs/>
          <w:lang w:val="es-CO"/>
        </w:rPr>
      </w:pPr>
      <w:r w:rsidRPr="00E25191">
        <w:rPr>
          <w:rFonts w:ascii="Arial" w:hAnsi="Arial" w:cs="Arial"/>
          <w:lang w:val="es-CO"/>
        </w:rPr>
        <w:t xml:space="preserve">En las condiciones de la Póliza de Seguro de Responsabilidad Civil Extracontractual No. </w:t>
      </w:r>
      <w:r w:rsidR="00D800F4" w:rsidRPr="00D800F4">
        <w:rPr>
          <w:rFonts w:ascii="Arial" w:hAnsi="Arial" w:cs="Arial"/>
          <w:lang w:val="es-CO"/>
        </w:rPr>
        <w:t>2201217017756</w:t>
      </w:r>
      <w:r w:rsidRPr="00E25191">
        <w:rPr>
          <w:rFonts w:ascii="Arial" w:hAnsi="Arial" w:cs="Arial"/>
          <w:lang w:val="es-CO"/>
        </w:rPr>
        <w:t>, se establecen los parámetros que enmarcan la obligación condicional que contrajo mi representada, y delimitan la extensión del riesgo asumido por ella. En efecto, en ellas se refleja la voluntad de los contratantes al momento de celebrar el contrato, y definen de manera explícita las condiciones del negocio aseguraticio. Ahora bien, tal como lo señala el artículo 1056 del Código de Comercio, el asegurador puede, a su arbitrio, delimitar los riesgos que asume:</w:t>
      </w:r>
      <w:r w:rsidRPr="00E25191">
        <w:rPr>
          <w:rFonts w:ascii="Arial" w:hAnsi="Arial" w:cs="Arial"/>
          <w:i/>
          <w:iCs/>
          <w:lang w:val="es-CO"/>
        </w:rPr>
        <w:t xml:space="preserve"> “(…) Art. 1056.- Con las restricciones legales, el asegurador pondrá, a su arbitrio, asumir todos o algunos de los riesgos a que estén expuestos el interés o la cosa asegurados, el patrimonio o la persona del asegurado.”</w:t>
      </w:r>
    </w:p>
    <w:p w14:paraId="374E820D" w14:textId="77777777" w:rsidR="000A5CD4" w:rsidRPr="00E25191" w:rsidRDefault="000A5CD4" w:rsidP="000A5CD4">
      <w:pPr>
        <w:spacing w:line="360" w:lineRule="auto"/>
        <w:jc w:val="both"/>
        <w:rPr>
          <w:rFonts w:ascii="Arial" w:hAnsi="Arial" w:cs="Arial"/>
          <w:i/>
          <w:iCs/>
          <w:lang w:val="es-CO"/>
        </w:rPr>
      </w:pPr>
    </w:p>
    <w:p w14:paraId="59DFFAB9" w14:textId="77777777" w:rsidR="000A5CD4" w:rsidRPr="00E25191" w:rsidRDefault="000A5CD4" w:rsidP="000A5CD4">
      <w:pPr>
        <w:spacing w:line="360" w:lineRule="auto"/>
        <w:jc w:val="both"/>
        <w:rPr>
          <w:rFonts w:ascii="Arial" w:hAnsi="Arial" w:cs="Arial"/>
          <w:lang w:val="es-CO"/>
        </w:rPr>
      </w:pPr>
      <w:r w:rsidRPr="00E25191">
        <w:rPr>
          <w:rFonts w:ascii="Arial" w:hAnsi="Arial" w:cs="Arial"/>
          <w:lang w:val="es-CO"/>
        </w:rPr>
        <w:t>En virtud de la facultad citada en el referido artículo, el asegurador decidió otorgar determinados</w:t>
      </w:r>
    </w:p>
    <w:p w14:paraId="00A2686C" w14:textId="77777777" w:rsidR="000A5CD4" w:rsidRPr="00E25191" w:rsidRDefault="000A5CD4" w:rsidP="000A5CD4">
      <w:pPr>
        <w:spacing w:line="360" w:lineRule="auto"/>
        <w:jc w:val="both"/>
        <w:rPr>
          <w:rFonts w:ascii="Arial" w:hAnsi="Arial" w:cs="Arial"/>
          <w:lang w:val="es-CO"/>
        </w:rPr>
      </w:pPr>
      <w:r w:rsidRPr="00E25191">
        <w:rPr>
          <w:rFonts w:ascii="Arial" w:hAnsi="Arial" w:cs="Arial"/>
          <w:lang w:val="es-CO"/>
        </w:rPr>
        <w:t>amparos, siempre supeditados al cumplimiento de ciertos presupuestos, e incorpora en la póliza</w:t>
      </w:r>
    </w:p>
    <w:p w14:paraId="718CA935" w14:textId="77777777" w:rsidR="000A5CD4" w:rsidRPr="00E25191" w:rsidRDefault="000A5CD4" w:rsidP="000A5CD4">
      <w:pPr>
        <w:spacing w:line="360" w:lineRule="auto"/>
        <w:jc w:val="both"/>
        <w:rPr>
          <w:rFonts w:ascii="Arial" w:hAnsi="Arial" w:cs="Arial"/>
          <w:lang w:val="es-CO"/>
        </w:rPr>
      </w:pPr>
      <w:r w:rsidRPr="00E25191">
        <w:rPr>
          <w:rFonts w:ascii="Arial" w:hAnsi="Arial" w:cs="Arial"/>
          <w:lang w:val="es-CO"/>
        </w:rPr>
        <w:t>referenciada, barreras cualitativas que eximen al asegurador a la prestación señalada en el contrato,</w:t>
      </w:r>
    </w:p>
    <w:p w14:paraId="3C445C61" w14:textId="77777777" w:rsidR="000A5CD4" w:rsidRPr="00E25191" w:rsidRDefault="000A5CD4" w:rsidP="000A5CD4">
      <w:pPr>
        <w:spacing w:line="360" w:lineRule="auto"/>
        <w:jc w:val="both"/>
        <w:rPr>
          <w:rFonts w:ascii="Arial" w:hAnsi="Arial" w:cs="Arial"/>
          <w:i/>
          <w:iCs/>
          <w:lang w:val="es-CO"/>
        </w:rPr>
      </w:pPr>
      <w:r w:rsidRPr="00E25191">
        <w:rPr>
          <w:rFonts w:ascii="Arial" w:hAnsi="Arial" w:cs="Arial"/>
          <w:lang w:val="es-CO"/>
        </w:rPr>
        <w:t xml:space="preserve">las cuales se conocen generalmente como </w:t>
      </w:r>
      <w:r w:rsidRPr="00E25191">
        <w:rPr>
          <w:rFonts w:ascii="Arial" w:hAnsi="Arial" w:cs="Arial"/>
          <w:i/>
          <w:iCs/>
          <w:lang w:val="es-CO"/>
        </w:rPr>
        <w:t>exclusiones de la cobertura.</w:t>
      </w:r>
    </w:p>
    <w:p w14:paraId="2598B980" w14:textId="77777777" w:rsidR="000A5CD4" w:rsidRPr="00E25191" w:rsidRDefault="000A5CD4" w:rsidP="000A5CD4">
      <w:pPr>
        <w:spacing w:line="360" w:lineRule="auto"/>
        <w:jc w:val="both"/>
        <w:rPr>
          <w:rFonts w:ascii="Arial" w:hAnsi="Arial" w:cs="Arial"/>
          <w:i/>
          <w:iCs/>
          <w:lang w:val="es-CO"/>
        </w:rPr>
      </w:pPr>
    </w:p>
    <w:p w14:paraId="6F11292E" w14:textId="77777777" w:rsidR="000A5CD4" w:rsidRPr="00E25191" w:rsidRDefault="000A5CD4" w:rsidP="000A5CD4">
      <w:pPr>
        <w:spacing w:line="360" w:lineRule="auto"/>
        <w:jc w:val="both"/>
        <w:rPr>
          <w:rFonts w:ascii="Arial" w:hAnsi="Arial" w:cs="Arial"/>
          <w:lang w:val="es-CO"/>
        </w:rPr>
      </w:pPr>
      <w:r w:rsidRPr="00E25191">
        <w:rPr>
          <w:rFonts w:ascii="Arial" w:hAnsi="Arial" w:cs="Arial"/>
          <w:lang w:val="es-CO"/>
        </w:rPr>
        <w:t>De lograrse acreditar al menos una de las exclusiones consignadas en las condiciones generales o</w:t>
      </w:r>
    </w:p>
    <w:p w14:paraId="0065C712" w14:textId="5AA4251F" w:rsidR="000A5CD4" w:rsidRPr="00E25191" w:rsidRDefault="000A5CD4" w:rsidP="000A5CD4">
      <w:pPr>
        <w:spacing w:line="360" w:lineRule="auto"/>
        <w:jc w:val="both"/>
        <w:rPr>
          <w:rFonts w:ascii="Arial" w:hAnsi="Arial" w:cs="Arial"/>
          <w:lang w:val="es-CO"/>
        </w:rPr>
      </w:pPr>
      <w:r w:rsidRPr="00E25191">
        <w:rPr>
          <w:rFonts w:ascii="Arial" w:hAnsi="Arial" w:cs="Arial"/>
          <w:lang w:val="es-CO"/>
        </w:rPr>
        <w:t xml:space="preserve">particulares de la Póliza Seguro Responsabilidad Civil Extracontractual No. </w:t>
      </w:r>
      <w:r w:rsidR="00D800F4" w:rsidRPr="00D800F4">
        <w:rPr>
          <w:rFonts w:ascii="Arial" w:hAnsi="Arial" w:cs="Arial"/>
          <w:lang w:val="es-CO"/>
        </w:rPr>
        <w:t>2201217017756</w:t>
      </w:r>
      <w:r w:rsidRPr="00E25191">
        <w:rPr>
          <w:rFonts w:ascii="Arial" w:hAnsi="Arial" w:cs="Arial"/>
          <w:lang w:val="es-CO"/>
        </w:rPr>
        <w:t>, no habría lugar a indemnización de ningún tipo por parte de mi representada.</w:t>
      </w:r>
    </w:p>
    <w:p w14:paraId="44F7E015" w14:textId="77777777" w:rsidR="000A5CD4" w:rsidRPr="00E25191" w:rsidRDefault="000A5CD4" w:rsidP="000A5CD4">
      <w:pPr>
        <w:widowControl/>
        <w:adjustRightInd w:val="0"/>
        <w:spacing w:line="360" w:lineRule="auto"/>
        <w:jc w:val="both"/>
        <w:rPr>
          <w:rFonts w:ascii="Arial" w:hAnsi="Arial" w:cs="Arial"/>
          <w:lang w:val="es-CO"/>
        </w:rPr>
      </w:pPr>
    </w:p>
    <w:p w14:paraId="18C5EC35" w14:textId="77777777" w:rsidR="004B1503" w:rsidRPr="00BD7F61" w:rsidRDefault="004B1503" w:rsidP="00BD7F61">
      <w:pPr>
        <w:widowControl/>
        <w:adjustRightInd w:val="0"/>
        <w:spacing w:line="360" w:lineRule="auto"/>
        <w:jc w:val="both"/>
        <w:rPr>
          <w:rFonts w:ascii="Arial" w:eastAsiaTheme="minorHAnsi" w:hAnsi="Arial" w:cs="Arial"/>
          <w:color w:val="000000"/>
          <w:lang w:val="es-CO"/>
        </w:rPr>
      </w:pPr>
    </w:p>
    <w:p w14:paraId="2E8802AC" w14:textId="01CAC0D7" w:rsidR="004B1503" w:rsidRPr="00BD7F61" w:rsidRDefault="004B1503" w:rsidP="002376C9">
      <w:pPr>
        <w:pStyle w:val="Prrafodelista"/>
        <w:widowControl/>
        <w:numPr>
          <w:ilvl w:val="0"/>
          <w:numId w:val="57"/>
        </w:numPr>
        <w:adjustRightInd w:val="0"/>
        <w:spacing w:line="360" w:lineRule="auto"/>
        <w:jc w:val="both"/>
        <w:rPr>
          <w:rFonts w:ascii="Arial" w:eastAsiaTheme="minorHAnsi" w:hAnsi="Arial" w:cs="Arial"/>
          <w:b/>
          <w:bCs/>
          <w:color w:val="000000"/>
          <w:lang w:val="es-CO"/>
        </w:rPr>
      </w:pPr>
      <w:r w:rsidRPr="00BD7F61">
        <w:rPr>
          <w:rFonts w:ascii="Arial" w:eastAsiaTheme="minorHAnsi" w:hAnsi="Arial" w:cs="Arial"/>
          <w:b/>
          <w:bCs/>
          <w:color w:val="000000"/>
          <w:lang w:val="es-CO"/>
        </w:rPr>
        <w:lastRenderedPageBreak/>
        <w:t>EL CONTRATO DE</w:t>
      </w:r>
      <w:bookmarkStart w:id="4" w:name="_Hlk200606609"/>
      <w:r w:rsidRPr="00BD7F61">
        <w:rPr>
          <w:rFonts w:ascii="Arial" w:eastAsiaTheme="minorHAnsi" w:hAnsi="Arial" w:cs="Arial"/>
          <w:b/>
          <w:bCs/>
          <w:color w:val="000000"/>
          <w:lang w:val="es-CO"/>
        </w:rPr>
        <w:t xml:space="preserve"> SEGURO </w:t>
      </w:r>
      <w:bookmarkEnd w:id="4"/>
      <w:r w:rsidR="00B07C75" w:rsidRPr="000A5CD4">
        <w:rPr>
          <w:rFonts w:ascii="Arial" w:hAnsi="Arial" w:cs="Arial"/>
          <w:b/>
          <w:bCs/>
          <w:lang w:val="es-CO"/>
        </w:rPr>
        <w:t xml:space="preserve">DE RESPONSABILIDAD CIVIL EXTRACONTRACTUAL No. </w:t>
      </w:r>
      <w:r w:rsidR="00D800F4">
        <w:rPr>
          <w:rFonts w:eastAsia="Arial Unicode MS"/>
          <w:b/>
          <w:kern w:val="3"/>
          <w:lang w:eastAsia="zh-CN" w:bidi="hi-IN"/>
        </w:rPr>
        <w:t>2201217017756</w:t>
      </w:r>
      <w:r w:rsidR="00B07C75">
        <w:rPr>
          <w:rFonts w:ascii="Arial" w:hAnsi="Arial" w:cs="Arial"/>
          <w:b/>
          <w:bCs/>
          <w:lang w:val="es-CO"/>
        </w:rPr>
        <w:t xml:space="preserve"> </w:t>
      </w:r>
      <w:r w:rsidRPr="00BD7F61">
        <w:rPr>
          <w:rFonts w:ascii="Arial" w:eastAsiaTheme="minorHAnsi" w:hAnsi="Arial" w:cs="Arial"/>
          <w:b/>
          <w:bCs/>
          <w:color w:val="000000"/>
          <w:lang w:val="es-CO"/>
        </w:rPr>
        <w:t xml:space="preserve">REVISTE UN CARÁCTER </w:t>
      </w:r>
      <w:r w:rsidRPr="00B07C75">
        <w:rPr>
          <w:rFonts w:ascii="Arial" w:eastAsiaTheme="minorHAnsi" w:hAnsi="Arial" w:cs="Arial"/>
          <w:b/>
          <w:bCs/>
          <w:color w:val="000000"/>
          <w:lang w:val="es-CO"/>
        </w:rPr>
        <w:t>ESTRICTAMENTE INDEMNIZATORIO QUE IMPIDE EL ENRIQUECIMIENTO DEL ASEGURADO O DE LA VÍCTIMA.</w:t>
      </w:r>
    </w:p>
    <w:p w14:paraId="0661F934" w14:textId="77777777" w:rsidR="004B1503" w:rsidRPr="00BD7F61" w:rsidRDefault="004B1503" w:rsidP="00BD7F61">
      <w:pPr>
        <w:pStyle w:val="Prrafodelista"/>
        <w:widowControl/>
        <w:adjustRightInd w:val="0"/>
        <w:spacing w:line="360" w:lineRule="auto"/>
        <w:jc w:val="both"/>
        <w:rPr>
          <w:rFonts w:ascii="Arial" w:eastAsiaTheme="minorHAnsi" w:hAnsi="Arial" w:cs="Arial"/>
          <w:b/>
          <w:bCs/>
          <w:color w:val="000000"/>
          <w:lang w:val="es-CO"/>
        </w:rPr>
      </w:pPr>
    </w:p>
    <w:p w14:paraId="5EBF7DF7" w14:textId="3145C80A" w:rsidR="004B1503" w:rsidRPr="00BD7F61" w:rsidRDefault="004B1503" w:rsidP="00BD7F61">
      <w:pPr>
        <w:widowControl/>
        <w:adjustRightInd w:val="0"/>
        <w:spacing w:line="360" w:lineRule="auto"/>
        <w:jc w:val="both"/>
        <w:rPr>
          <w:rFonts w:ascii="Arial" w:eastAsiaTheme="minorHAnsi" w:hAnsi="Arial" w:cs="Arial"/>
          <w:i/>
          <w:iCs/>
          <w:color w:val="000000"/>
          <w:lang w:val="es-CO"/>
        </w:rPr>
      </w:pPr>
      <w:r w:rsidRPr="00BD7F61">
        <w:rPr>
          <w:rFonts w:ascii="Arial" w:eastAsiaTheme="minorHAnsi" w:hAnsi="Arial" w:cs="Arial"/>
          <w:color w:val="000000"/>
          <w:lang w:val="es-CO"/>
        </w:rPr>
        <w:t xml:space="preserve">Uno de los principios esenciales que rige el contrato de seguro de daños, es su naturaleza estrictamente indemnizatoria. Esto significa que su objeto no es otro que reparar el perjuicio efectivamente sufrido por el asegurado o el tercero damnificado, sin que pueda en modo alguno representar una fuente de ganancia o enriquecimiento para quienes lo invocan. Este principio, reiteradamente reconocido tanto en la doctrina como en la jurisprudencia nacional, ha sido expresado de forma categórica por la Corte Suprema de Justicia. En sentencia de la Sala de Casación Civil del 22 de julio de 1999 (Expediente 5065), se indicó con claridad que: </w:t>
      </w:r>
      <w:r w:rsidRPr="00BD7F61">
        <w:rPr>
          <w:rFonts w:ascii="Arial" w:eastAsiaTheme="minorHAnsi" w:hAnsi="Arial" w:cs="Arial"/>
          <w:i/>
          <w:iCs/>
          <w:color w:val="000000"/>
          <w:lang w:val="es-CO"/>
        </w:rPr>
        <w:t>“Este contrato no puede ser fuente de ganancias y menos de riqueza, sino que se caracteriza por ser indemnizatorio. [...] El asegurador debe efectuar [el pago] una vez colocada aquella obligación en situación de solución o pago inmediato”.</w:t>
      </w:r>
    </w:p>
    <w:p w14:paraId="73BFAE17" w14:textId="77777777" w:rsidR="004B1503" w:rsidRPr="00BD7F61" w:rsidRDefault="004B1503" w:rsidP="00BD7F61">
      <w:pPr>
        <w:widowControl/>
        <w:adjustRightInd w:val="0"/>
        <w:spacing w:line="360" w:lineRule="auto"/>
        <w:jc w:val="both"/>
        <w:rPr>
          <w:rFonts w:ascii="Arial" w:eastAsiaTheme="minorHAnsi" w:hAnsi="Arial" w:cs="Arial"/>
          <w:i/>
          <w:iCs/>
          <w:color w:val="000000"/>
          <w:lang w:val="es-CO"/>
        </w:rPr>
      </w:pPr>
    </w:p>
    <w:p w14:paraId="73504F09" w14:textId="179497E7" w:rsidR="004B1503" w:rsidRPr="00BD7F61" w:rsidRDefault="004B1503" w:rsidP="00BD7F61">
      <w:pPr>
        <w:widowControl/>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 xml:space="preserve">De igual forma, el artículo 1127 del Código de Comercio, modificado por la Ley 45 de 1990, establece </w:t>
      </w:r>
      <w:r w:rsidR="00333590" w:rsidRPr="00BD7F61">
        <w:rPr>
          <w:rFonts w:ascii="Arial" w:eastAsiaTheme="minorHAnsi" w:hAnsi="Arial" w:cs="Arial"/>
          <w:color w:val="000000"/>
          <w:lang w:val="es-CO"/>
        </w:rPr>
        <w:t>que,</w:t>
      </w:r>
      <w:r w:rsidRPr="00BD7F61">
        <w:rPr>
          <w:rFonts w:ascii="Arial" w:eastAsiaTheme="minorHAnsi" w:hAnsi="Arial" w:cs="Arial"/>
          <w:color w:val="000000"/>
          <w:lang w:val="es-CO"/>
        </w:rPr>
        <w:t xml:space="preserve"> en el seguro de responsabilidad, el asegurador tiene la obligación de indemnizar los perjuicios patrimoniales causados por el asegurado, siempre que haya lugar a ello conforme a la ley, pero únicamente hasta el valor efectivamente demostrado, dentro de los límites del contrato.</w:t>
      </w:r>
    </w:p>
    <w:p w14:paraId="6AF4F218" w14:textId="6B663993" w:rsidR="004B1503" w:rsidRPr="00BD7F61" w:rsidRDefault="004B1503" w:rsidP="00BD7F61">
      <w:pPr>
        <w:widowControl/>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En el presente proceso se encuentra demostrado que las pretensiones indemnizatorias formuladas por la parte actora, particularmente aquellas relacionadas con los perjuicios morales y el daño a la salud, desbordan claramente los márgenes de indemnización permitidos por el contrato de seguro. Se ha probado también que tales rubros, en adición a no haber sido debidamente acreditados, resultarían incompatibles con el carácter estrictamente indemnizatorio del contrato, toda vez que:</w:t>
      </w:r>
    </w:p>
    <w:p w14:paraId="17706E1C" w14:textId="77777777" w:rsidR="004B1503" w:rsidRPr="00BD7F61" w:rsidRDefault="004B1503" w:rsidP="00BD7F61">
      <w:pPr>
        <w:widowControl/>
        <w:adjustRightInd w:val="0"/>
        <w:spacing w:line="360" w:lineRule="auto"/>
        <w:jc w:val="both"/>
        <w:rPr>
          <w:rFonts w:ascii="Arial" w:eastAsiaTheme="minorHAnsi" w:hAnsi="Arial" w:cs="Arial"/>
          <w:color w:val="000000"/>
          <w:lang w:val="es-CO"/>
        </w:rPr>
      </w:pPr>
    </w:p>
    <w:p w14:paraId="51F87D3A" w14:textId="77777777" w:rsidR="004B1503" w:rsidRPr="00BD7F61" w:rsidRDefault="004B1503" w:rsidP="00BD7F61">
      <w:pPr>
        <w:widowControl/>
        <w:numPr>
          <w:ilvl w:val="0"/>
          <w:numId w:val="42"/>
        </w:numPr>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No guardan relación directa y proporcional con el daño efectivo causado;</w:t>
      </w:r>
    </w:p>
    <w:p w14:paraId="44E8F34F" w14:textId="77777777" w:rsidR="004B1503" w:rsidRPr="00BD7F61" w:rsidRDefault="004B1503" w:rsidP="00BD7F61">
      <w:pPr>
        <w:widowControl/>
        <w:numPr>
          <w:ilvl w:val="0"/>
          <w:numId w:val="42"/>
        </w:numPr>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No se encuentran debidamente demostrados mediante prueba idónea;</w:t>
      </w:r>
    </w:p>
    <w:p w14:paraId="37CB045A" w14:textId="77777777" w:rsidR="004B1503" w:rsidRPr="00BD7F61" w:rsidRDefault="004B1503" w:rsidP="00BD7F61">
      <w:pPr>
        <w:widowControl/>
        <w:numPr>
          <w:ilvl w:val="0"/>
          <w:numId w:val="42"/>
        </w:numPr>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Y su reconocimiento implicaría, de facto, un enriquecimiento sin causa de los demandantes.</w:t>
      </w:r>
    </w:p>
    <w:p w14:paraId="5330B66A" w14:textId="77777777" w:rsidR="00333590" w:rsidRDefault="00333590" w:rsidP="00333590">
      <w:pPr>
        <w:widowControl/>
        <w:adjustRightInd w:val="0"/>
        <w:spacing w:line="360" w:lineRule="auto"/>
        <w:jc w:val="both"/>
        <w:rPr>
          <w:rFonts w:ascii="Arial" w:eastAsiaTheme="minorHAnsi" w:hAnsi="Arial" w:cs="Arial"/>
          <w:color w:val="000000"/>
        </w:rPr>
      </w:pPr>
    </w:p>
    <w:p w14:paraId="704CB83C" w14:textId="6A793597" w:rsidR="004B1503" w:rsidRDefault="00333590" w:rsidP="00333590">
      <w:pPr>
        <w:widowControl/>
        <w:adjustRightInd w:val="0"/>
        <w:spacing w:line="360" w:lineRule="auto"/>
        <w:jc w:val="both"/>
        <w:rPr>
          <w:rFonts w:ascii="Arial" w:eastAsiaTheme="minorHAnsi" w:hAnsi="Arial" w:cs="Arial"/>
          <w:color w:val="000000"/>
        </w:rPr>
      </w:pPr>
      <w:r w:rsidRPr="00333590">
        <w:rPr>
          <w:rFonts w:ascii="Arial" w:eastAsiaTheme="minorHAnsi" w:hAnsi="Arial" w:cs="Arial"/>
          <w:color w:val="000000"/>
        </w:rPr>
        <w:t xml:space="preserve">En suma, el contrato de seguro de responsabilidad civil </w:t>
      </w:r>
      <w:r w:rsidR="00B07C75">
        <w:rPr>
          <w:rFonts w:ascii="Arial" w:eastAsiaTheme="minorHAnsi" w:hAnsi="Arial" w:cs="Arial"/>
          <w:color w:val="000000"/>
        </w:rPr>
        <w:t xml:space="preserve">extracontractual </w:t>
      </w:r>
      <w:r w:rsidRPr="00333590">
        <w:rPr>
          <w:rFonts w:ascii="Arial" w:eastAsiaTheme="minorHAnsi" w:hAnsi="Arial" w:cs="Arial"/>
          <w:color w:val="000000"/>
        </w:rPr>
        <w:t>tiene un carácter estrictamente indemnizatorio, lo que impide que se convierta en una fuente de lucro para el asegurado o para terceros. En el presente caso, las pretensiones formuladas por la parte actora no solo exceden los límites contractuales, sino que además carecen de prueba suficiente y proporcionalidad frente al daño efectivamente demostrado. Por ello, cualquier reconocimiento económico deberá limitarse a lo que esté debidamente acreditado y dentro del valor asegurado, evitando así un enriquecimiento sin causa contrario a la ley y al objeto del contrato de seguro.</w:t>
      </w:r>
    </w:p>
    <w:p w14:paraId="55F05497" w14:textId="77777777" w:rsidR="004625F6" w:rsidRDefault="004625F6" w:rsidP="00333590">
      <w:pPr>
        <w:widowControl/>
        <w:adjustRightInd w:val="0"/>
        <w:spacing w:line="360" w:lineRule="auto"/>
        <w:jc w:val="both"/>
        <w:rPr>
          <w:rFonts w:ascii="Arial" w:eastAsiaTheme="minorHAnsi" w:hAnsi="Arial" w:cs="Arial"/>
          <w:color w:val="000000"/>
        </w:rPr>
      </w:pPr>
    </w:p>
    <w:p w14:paraId="4E138D63" w14:textId="77777777" w:rsidR="004625F6" w:rsidRPr="00BD7F61" w:rsidRDefault="004625F6" w:rsidP="00333590">
      <w:pPr>
        <w:widowControl/>
        <w:adjustRightInd w:val="0"/>
        <w:spacing w:line="360" w:lineRule="auto"/>
        <w:jc w:val="both"/>
        <w:rPr>
          <w:rFonts w:ascii="Arial" w:eastAsiaTheme="minorHAnsi" w:hAnsi="Arial" w:cs="Arial"/>
          <w:color w:val="000000"/>
          <w:lang w:val="es-CO"/>
        </w:rPr>
      </w:pPr>
    </w:p>
    <w:p w14:paraId="6A50DF74" w14:textId="179F1D15" w:rsidR="004B1503" w:rsidRPr="00BD7F61" w:rsidRDefault="004B1503" w:rsidP="002376C9">
      <w:pPr>
        <w:pStyle w:val="Prrafodelista"/>
        <w:widowControl/>
        <w:numPr>
          <w:ilvl w:val="0"/>
          <w:numId w:val="57"/>
        </w:numPr>
        <w:adjustRightInd w:val="0"/>
        <w:spacing w:line="360" w:lineRule="auto"/>
        <w:jc w:val="both"/>
        <w:rPr>
          <w:rFonts w:ascii="Arial" w:eastAsiaTheme="minorHAnsi" w:hAnsi="Arial" w:cs="Arial"/>
          <w:b/>
          <w:bCs/>
          <w:color w:val="000000"/>
          <w:lang w:val="es-CO"/>
        </w:rPr>
      </w:pPr>
      <w:r w:rsidRPr="00BD7F61">
        <w:rPr>
          <w:rFonts w:ascii="Arial" w:eastAsiaTheme="minorHAnsi" w:hAnsi="Arial" w:cs="Arial"/>
          <w:b/>
          <w:bCs/>
          <w:color w:val="000000"/>
          <w:lang w:val="es-CO"/>
        </w:rPr>
        <w:lastRenderedPageBreak/>
        <w:t>LA OBLIGACIÓN DE LA ASEGURADORA, EN CASO DE EVENTUAL CONDENA, ESTARÍA LIMITADA A UN REEMBOLSO Y NO A UN PAGO DIRECTO A LOS DEMANDANTES.</w:t>
      </w:r>
    </w:p>
    <w:p w14:paraId="71D678DB" w14:textId="77777777" w:rsidR="004B1503" w:rsidRPr="00BD7F61" w:rsidRDefault="004B1503" w:rsidP="00BD7F61">
      <w:pPr>
        <w:pStyle w:val="Prrafodelista"/>
        <w:widowControl/>
        <w:adjustRightInd w:val="0"/>
        <w:spacing w:line="360" w:lineRule="auto"/>
        <w:jc w:val="both"/>
        <w:rPr>
          <w:rFonts w:ascii="Arial" w:eastAsiaTheme="minorHAnsi" w:hAnsi="Arial" w:cs="Arial"/>
          <w:b/>
          <w:bCs/>
          <w:color w:val="000000"/>
          <w:lang w:val="es-CO"/>
        </w:rPr>
      </w:pPr>
    </w:p>
    <w:p w14:paraId="3B994516" w14:textId="5478ABF7" w:rsidR="004B1503" w:rsidRPr="00BD7F61" w:rsidRDefault="004B1503" w:rsidP="00BD7F61">
      <w:pPr>
        <w:widowControl/>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 xml:space="preserve">En el evento hipotético, y no admitido, de que se llegara a emitir una sentencia condenatoria que implique una obligación indemnizatoria en el marco de la </w:t>
      </w:r>
      <w:r w:rsidR="000A5CD4" w:rsidRPr="00E25191">
        <w:rPr>
          <w:rFonts w:ascii="Arial" w:hAnsi="Arial" w:cs="Arial"/>
          <w:lang w:val="es-CO"/>
        </w:rPr>
        <w:t xml:space="preserve">Responsabilidad Civil Extracontractual No. </w:t>
      </w:r>
      <w:r w:rsidR="007B6B52" w:rsidRPr="007B6B52">
        <w:rPr>
          <w:rFonts w:ascii="Arial" w:hAnsi="Arial" w:cs="Arial"/>
          <w:lang w:val="es-CO"/>
        </w:rPr>
        <w:t>2201217017756</w:t>
      </w:r>
      <w:r w:rsidR="00EB60AE" w:rsidRPr="00EB60AE">
        <w:rPr>
          <w:rFonts w:ascii="Arial" w:eastAsiaTheme="minorHAnsi" w:hAnsi="Arial" w:cs="Arial"/>
          <w:color w:val="000000"/>
          <w:lang w:val="es-CO"/>
        </w:rPr>
        <w:t xml:space="preserve"> </w:t>
      </w:r>
      <w:r w:rsidRPr="00BD7F61">
        <w:rPr>
          <w:rFonts w:ascii="Arial" w:eastAsiaTheme="minorHAnsi" w:hAnsi="Arial" w:cs="Arial"/>
          <w:color w:val="000000"/>
          <w:lang w:val="es-CO"/>
        </w:rPr>
        <w:t xml:space="preserve">es indispensable tener presente que la modalidad de cumplimiento del contrato de seguro sería exclusivamente por reembolso y no mediante pago directo a los demandantes. </w:t>
      </w:r>
    </w:p>
    <w:p w14:paraId="75CBF3AE" w14:textId="77777777" w:rsidR="004B1503" w:rsidRPr="00BD7F61" w:rsidRDefault="004B1503" w:rsidP="00BD7F61">
      <w:pPr>
        <w:widowControl/>
        <w:adjustRightInd w:val="0"/>
        <w:spacing w:line="360" w:lineRule="auto"/>
        <w:jc w:val="both"/>
        <w:rPr>
          <w:rFonts w:ascii="Arial" w:eastAsiaTheme="minorHAnsi" w:hAnsi="Arial" w:cs="Arial"/>
          <w:color w:val="000000"/>
          <w:lang w:val="es-CO"/>
        </w:rPr>
      </w:pPr>
    </w:p>
    <w:p w14:paraId="01FC3A5B" w14:textId="0E9A2841" w:rsidR="004B1503" w:rsidRDefault="004B1503" w:rsidP="00BD7F61">
      <w:pPr>
        <w:widowControl/>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 xml:space="preserve">Esto, por cuanto se ha acreditado en el proceso que la póliza fue contratada por </w:t>
      </w:r>
      <w:r w:rsidR="00EB60AE">
        <w:rPr>
          <w:rFonts w:ascii="Arial" w:eastAsiaTheme="minorHAnsi" w:hAnsi="Arial" w:cs="Arial"/>
          <w:color w:val="000000"/>
          <w:lang w:val="es-CO"/>
        </w:rPr>
        <w:t xml:space="preserve">el </w:t>
      </w:r>
      <w:r w:rsidR="007B6B52">
        <w:rPr>
          <w:rFonts w:eastAsiaTheme="minorHAnsi"/>
        </w:rPr>
        <w:t>INSTITUTO NACIONAL DE VÍAS - INVIAS</w:t>
      </w:r>
      <w:r w:rsidR="007B6B52" w:rsidRPr="00BD7F61">
        <w:rPr>
          <w:rFonts w:ascii="Arial" w:eastAsiaTheme="minorHAnsi" w:hAnsi="Arial" w:cs="Arial"/>
          <w:color w:val="000000"/>
          <w:lang w:val="es-CO"/>
        </w:rPr>
        <w:t xml:space="preserve"> </w:t>
      </w:r>
      <w:r w:rsidRPr="00BD7F61">
        <w:rPr>
          <w:rFonts w:ascii="Arial" w:eastAsiaTheme="minorHAnsi" w:hAnsi="Arial" w:cs="Arial"/>
          <w:color w:val="000000"/>
          <w:lang w:val="es-CO"/>
        </w:rPr>
        <w:t>en calidad de tomador, y que la asegurada</w:t>
      </w:r>
      <w:r w:rsidR="00EB60AE">
        <w:rPr>
          <w:rFonts w:ascii="Arial" w:eastAsiaTheme="minorHAnsi" w:hAnsi="Arial" w:cs="Arial"/>
          <w:color w:val="000000"/>
          <w:lang w:val="es-CO"/>
        </w:rPr>
        <w:t>,</w:t>
      </w:r>
      <w:r w:rsidRPr="00BD7F61">
        <w:rPr>
          <w:rFonts w:ascii="Arial" w:eastAsiaTheme="minorHAnsi" w:hAnsi="Arial" w:cs="Arial"/>
          <w:color w:val="000000"/>
          <w:lang w:val="es-CO"/>
        </w:rPr>
        <w:t xml:space="preserve"> por tanto, únic</w:t>
      </w:r>
      <w:r w:rsidR="00EB60AE">
        <w:rPr>
          <w:rFonts w:ascii="Arial" w:eastAsiaTheme="minorHAnsi" w:hAnsi="Arial" w:cs="Arial"/>
          <w:color w:val="000000"/>
          <w:lang w:val="es-CO"/>
        </w:rPr>
        <w:t>o</w:t>
      </w:r>
      <w:r w:rsidRPr="00BD7F61">
        <w:rPr>
          <w:rFonts w:ascii="Arial" w:eastAsiaTheme="minorHAnsi" w:hAnsi="Arial" w:cs="Arial"/>
          <w:color w:val="000000"/>
          <w:lang w:val="es-CO"/>
        </w:rPr>
        <w:t xml:space="preserve"> beneficiari</w:t>
      </w:r>
      <w:r w:rsidR="00EB60AE">
        <w:rPr>
          <w:rFonts w:ascii="Arial" w:eastAsiaTheme="minorHAnsi" w:hAnsi="Arial" w:cs="Arial"/>
          <w:color w:val="000000"/>
          <w:lang w:val="es-CO"/>
        </w:rPr>
        <w:t>o</w:t>
      </w:r>
      <w:r w:rsidRPr="00BD7F61">
        <w:rPr>
          <w:rFonts w:ascii="Arial" w:eastAsiaTheme="minorHAnsi" w:hAnsi="Arial" w:cs="Arial"/>
          <w:color w:val="000000"/>
          <w:lang w:val="es-CO"/>
        </w:rPr>
        <w:t xml:space="preserve"> en el sentido contractual</w:t>
      </w:r>
      <w:r w:rsidR="00EB60AE">
        <w:rPr>
          <w:rFonts w:ascii="Arial" w:eastAsiaTheme="minorHAnsi" w:hAnsi="Arial" w:cs="Arial"/>
          <w:color w:val="000000"/>
          <w:lang w:val="es-CO"/>
        </w:rPr>
        <w:t>,</w:t>
      </w:r>
      <w:r w:rsidRPr="00BD7F61">
        <w:rPr>
          <w:rFonts w:ascii="Arial" w:eastAsiaTheme="minorHAnsi" w:hAnsi="Arial" w:cs="Arial"/>
          <w:color w:val="000000"/>
          <w:lang w:val="es-CO"/>
        </w:rPr>
        <w:t xml:space="preserve"> es</w:t>
      </w:r>
      <w:r w:rsidR="00EB60AE">
        <w:rPr>
          <w:rFonts w:ascii="Arial" w:eastAsiaTheme="minorHAnsi" w:hAnsi="Arial" w:cs="Arial"/>
          <w:color w:val="000000"/>
          <w:lang w:val="es-CO"/>
        </w:rPr>
        <w:t xml:space="preserve"> el </w:t>
      </w:r>
      <w:r w:rsidR="007B6B52">
        <w:rPr>
          <w:rFonts w:eastAsiaTheme="minorHAnsi"/>
        </w:rPr>
        <w:t>INSTITUTO NACIONAL DE VÍAS - INVIAS</w:t>
      </w:r>
      <w:r w:rsidRPr="00BD7F61">
        <w:rPr>
          <w:rFonts w:ascii="Arial" w:eastAsiaTheme="minorHAnsi" w:hAnsi="Arial" w:cs="Arial"/>
          <w:color w:val="000000"/>
          <w:lang w:val="es-CO"/>
        </w:rPr>
        <w:t>. En consecuencia, cualquier condena proferida en contra del asegurado que implique un desembolso a los actores, no generaría una obligación directa a cargo de la compañía aseguradora frente a estos últimos, sino una obligación de reembolso posterior al asegurado, en los términos pactados contractualmente.</w:t>
      </w:r>
    </w:p>
    <w:p w14:paraId="32E8F7DF" w14:textId="77777777" w:rsidR="00A10183" w:rsidRDefault="00A10183" w:rsidP="00BD7F61">
      <w:pPr>
        <w:widowControl/>
        <w:adjustRightInd w:val="0"/>
        <w:spacing w:line="360" w:lineRule="auto"/>
        <w:jc w:val="both"/>
        <w:rPr>
          <w:rFonts w:ascii="Arial" w:eastAsiaTheme="minorHAnsi" w:hAnsi="Arial" w:cs="Arial"/>
          <w:color w:val="000000"/>
          <w:lang w:val="es-CO"/>
        </w:rPr>
      </w:pPr>
    </w:p>
    <w:p w14:paraId="445774F9" w14:textId="77777777" w:rsidR="004B1503" w:rsidRPr="00BD7F61" w:rsidRDefault="004B1503" w:rsidP="00BD7F61">
      <w:pPr>
        <w:widowControl/>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Este mecanismo se ajusta a la modalidad habitual del seguro de responsabilidad civil, en la que la aseguradora solo actúa frente al asegurado, y no frente a la víctima directamente, salvo que exista estipulación en contrario o subrogación legal, situaciones que no se configuran en el presente caso.</w:t>
      </w:r>
    </w:p>
    <w:p w14:paraId="1F5660F4" w14:textId="4FD22CBC" w:rsidR="004B1503" w:rsidRPr="00BD7F61" w:rsidRDefault="004B1503" w:rsidP="00BD7F61">
      <w:pPr>
        <w:widowControl/>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Así las cosas, y sin perjuicio del resultado del proceso, la compañía aseguradora solo estaría llamada a reembolsar lo efectivamente pagado por el asegurado en ejecución de la sentencia, teniendo en cuenta:</w:t>
      </w:r>
    </w:p>
    <w:p w14:paraId="38809FDB" w14:textId="77777777" w:rsidR="004B1503" w:rsidRPr="00BD7F61" w:rsidRDefault="004B1503" w:rsidP="00BD7F61">
      <w:pPr>
        <w:widowControl/>
        <w:adjustRightInd w:val="0"/>
        <w:spacing w:line="360" w:lineRule="auto"/>
        <w:jc w:val="both"/>
        <w:rPr>
          <w:rFonts w:ascii="Arial" w:eastAsiaTheme="minorHAnsi" w:hAnsi="Arial" w:cs="Arial"/>
          <w:color w:val="000000"/>
          <w:lang w:val="es-CO"/>
        </w:rPr>
      </w:pPr>
    </w:p>
    <w:p w14:paraId="3382864B" w14:textId="77777777" w:rsidR="004B1503" w:rsidRPr="00BD7F61" w:rsidRDefault="004B1503" w:rsidP="00BD7F61">
      <w:pPr>
        <w:widowControl/>
        <w:numPr>
          <w:ilvl w:val="0"/>
          <w:numId w:val="43"/>
        </w:numPr>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El límite asegurado por evento establecido en la póliza;</w:t>
      </w:r>
    </w:p>
    <w:p w14:paraId="3166C83C" w14:textId="77777777" w:rsidR="004B1503" w:rsidRPr="00BD7F61" w:rsidRDefault="004B1503" w:rsidP="00BD7F61">
      <w:pPr>
        <w:widowControl/>
        <w:numPr>
          <w:ilvl w:val="0"/>
          <w:numId w:val="43"/>
        </w:numPr>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El deducible previamente pactado;</w:t>
      </w:r>
    </w:p>
    <w:p w14:paraId="4F1C693B" w14:textId="77777777" w:rsidR="004B1503" w:rsidRPr="00BD7F61" w:rsidRDefault="004B1503" w:rsidP="00BD7F61">
      <w:pPr>
        <w:widowControl/>
        <w:numPr>
          <w:ilvl w:val="0"/>
          <w:numId w:val="43"/>
        </w:numPr>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Y las condiciones particulares del contrato de seguro que limitan la cobertura y delimitan la obligación indemnizatoria.</w:t>
      </w:r>
    </w:p>
    <w:p w14:paraId="346C9CA0" w14:textId="77777777" w:rsidR="004B1503" w:rsidRPr="00BD7F61" w:rsidRDefault="004B1503" w:rsidP="00BD7F61">
      <w:pPr>
        <w:widowControl/>
        <w:adjustRightInd w:val="0"/>
        <w:spacing w:line="360" w:lineRule="auto"/>
        <w:ind w:left="720"/>
        <w:jc w:val="both"/>
        <w:rPr>
          <w:rFonts w:ascii="Arial" w:eastAsiaTheme="minorHAnsi" w:hAnsi="Arial" w:cs="Arial"/>
          <w:color w:val="000000"/>
          <w:lang w:val="es-CO"/>
        </w:rPr>
      </w:pPr>
    </w:p>
    <w:p w14:paraId="0FFDE88F" w14:textId="77777777" w:rsidR="004B1503" w:rsidRPr="00BD7F61" w:rsidRDefault="004B1503" w:rsidP="00BD7F61">
      <w:pPr>
        <w:widowControl/>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Por lo anterior, se solicita al despacho tener en cuenta esta limitación contractual y declarar probada esta excepción, para que cualquier efecto jurídico derivado de una eventual condena sea canalizado exclusivamente a través de la figura del reembolso y no del pago directo a los demandantes.</w:t>
      </w:r>
    </w:p>
    <w:p w14:paraId="1ACF6D8C" w14:textId="45C17B05" w:rsidR="004B1503" w:rsidRPr="00BD7F61" w:rsidRDefault="004B1503" w:rsidP="00BD7F61">
      <w:pPr>
        <w:widowControl/>
        <w:adjustRightInd w:val="0"/>
        <w:spacing w:line="360" w:lineRule="auto"/>
        <w:jc w:val="both"/>
        <w:rPr>
          <w:rFonts w:ascii="Arial" w:eastAsiaTheme="minorHAnsi" w:hAnsi="Arial" w:cs="Arial"/>
          <w:color w:val="000000"/>
          <w:lang w:val="es-CO"/>
        </w:rPr>
      </w:pPr>
    </w:p>
    <w:p w14:paraId="4E4C6EE2" w14:textId="77777777" w:rsidR="00492562" w:rsidRPr="00BD7F61" w:rsidRDefault="00492562" w:rsidP="00BD7F61">
      <w:pPr>
        <w:spacing w:line="360" w:lineRule="auto"/>
        <w:jc w:val="center"/>
        <w:rPr>
          <w:rFonts w:ascii="Arial" w:hAnsi="Arial" w:cs="Arial"/>
          <w:lang w:val="es-CO"/>
        </w:rPr>
      </w:pPr>
    </w:p>
    <w:p w14:paraId="5F360437" w14:textId="1FDEE72C" w:rsidR="009C5730" w:rsidRPr="00BD7F61" w:rsidRDefault="009C5730" w:rsidP="00BD7F61">
      <w:pPr>
        <w:spacing w:line="360" w:lineRule="auto"/>
        <w:jc w:val="center"/>
        <w:rPr>
          <w:rFonts w:ascii="Arial" w:hAnsi="Arial" w:cs="Arial"/>
          <w:b/>
          <w:bCs/>
          <w:u w:val="single"/>
          <w:lang w:val="es-CO"/>
        </w:rPr>
      </w:pPr>
      <w:r w:rsidRPr="00BD7F61">
        <w:rPr>
          <w:rFonts w:ascii="Arial" w:hAnsi="Arial" w:cs="Arial"/>
          <w:b/>
          <w:bCs/>
          <w:u w:val="single"/>
          <w:lang w:val="es-CO"/>
        </w:rPr>
        <w:t>CAPÍTULO IV.   PETICIÓN</w:t>
      </w:r>
    </w:p>
    <w:p w14:paraId="41FE6E6E" w14:textId="77777777" w:rsidR="009C5730" w:rsidRPr="00BD7F61" w:rsidRDefault="009C5730" w:rsidP="00BD7F61">
      <w:pPr>
        <w:spacing w:line="360" w:lineRule="auto"/>
        <w:jc w:val="center"/>
        <w:rPr>
          <w:rFonts w:ascii="Arial" w:hAnsi="Arial" w:cs="Arial"/>
          <w:lang w:val="es-CO"/>
        </w:rPr>
      </w:pPr>
    </w:p>
    <w:p w14:paraId="364CA871" w14:textId="77777777" w:rsidR="009C5730" w:rsidRPr="00BD7F61" w:rsidRDefault="009C5730" w:rsidP="00BD7F61">
      <w:pPr>
        <w:spacing w:line="360" w:lineRule="auto"/>
        <w:jc w:val="both"/>
        <w:rPr>
          <w:rFonts w:ascii="Arial" w:hAnsi="Arial" w:cs="Arial"/>
          <w:lang w:val="es-CO"/>
        </w:rPr>
      </w:pPr>
      <w:r w:rsidRPr="00BD7F61">
        <w:rPr>
          <w:rFonts w:ascii="Arial" w:hAnsi="Arial" w:cs="Arial"/>
          <w:lang w:val="es-CO"/>
        </w:rPr>
        <w:t xml:space="preserve">En mérito de lo expuesto, de manera respetuosa, ruego: </w:t>
      </w:r>
    </w:p>
    <w:p w14:paraId="09940756" w14:textId="77777777" w:rsidR="009C5730" w:rsidRPr="00BD7F61" w:rsidRDefault="009C5730" w:rsidP="00BD7F61">
      <w:pPr>
        <w:spacing w:line="360" w:lineRule="auto"/>
        <w:jc w:val="both"/>
        <w:rPr>
          <w:rFonts w:ascii="Arial" w:hAnsi="Arial" w:cs="Arial"/>
          <w:lang w:val="es-CO"/>
        </w:rPr>
      </w:pPr>
    </w:p>
    <w:p w14:paraId="35E6D78F" w14:textId="57002D7F" w:rsidR="009C5730" w:rsidRPr="00BD7F61" w:rsidRDefault="009C5730" w:rsidP="00BD7F61">
      <w:pPr>
        <w:spacing w:line="360" w:lineRule="auto"/>
        <w:jc w:val="both"/>
        <w:rPr>
          <w:rFonts w:ascii="Arial" w:hAnsi="Arial" w:cs="Arial"/>
          <w:lang w:val="es-CO"/>
        </w:rPr>
      </w:pPr>
      <w:r w:rsidRPr="00BD7F61">
        <w:rPr>
          <w:rFonts w:ascii="Arial" w:hAnsi="Arial" w:cs="Arial"/>
          <w:b/>
          <w:bCs/>
          <w:lang w:val="es-CO"/>
        </w:rPr>
        <w:t xml:space="preserve">PRIMERO: </w:t>
      </w:r>
      <w:r w:rsidR="001436E6" w:rsidRPr="001436E6">
        <w:rPr>
          <w:rFonts w:ascii="Arial" w:hAnsi="Arial" w:cs="Arial"/>
          <w:b/>
          <w:bCs/>
          <w:lang w:val="es-CO"/>
        </w:rPr>
        <w:t>NEGAR</w:t>
      </w:r>
      <w:r w:rsidRPr="00BD7F61">
        <w:rPr>
          <w:rFonts w:ascii="Arial" w:hAnsi="Arial" w:cs="Arial"/>
          <w:lang w:val="es-CO"/>
        </w:rPr>
        <w:t xml:space="preserve"> todas y cada una de las pretensiones de la demanda, declarando probadas las excepciones de fondo y mérito presentadas por </w:t>
      </w:r>
      <w:r w:rsidR="007B6B52">
        <w:rPr>
          <w:rFonts w:eastAsiaTheme="minorHAnsi"/>
        </w:rPr>
        <w:t>INSTITUTO NACIONAL DE VÍAS - INVIAS</w:t>
      </w:r>
      <w:r w:rsidR="007B6B52" w:rsidRPr="00BD7F61">
        <w:rPr>
          <w:rFonts w:ascii="Arial" w:hAnsi="Arial" w:cs="Arial"/>
          <w:lang w:val="es-CO"/>
        </w:rPr>
        <w:t xml:space="preserve"> </w:t>
      </w:r>
      <w:r w:rsidRPr="00BD7F61">
        <w:rPr>
          <w:rFonts w:ascii="Arial" w:hAnsi="Arial" w:cs="Arial"/>
          <w:lang w:val="es-CO"/>
        </w:rPr>
        <w:t xml:space="preserve">y en </w:t>
      </w:r>
      <w:r w:rsidRPr="00BD7F61">
        <w:rPr>
          <w:rFonts w:ascii="Arial" w:hAnsi="Arial" w:cs="Arial"/>
          <w:lang w:val="es-CO"/>
        </w:rPr>
        <w:lastRenderedPageBreak/>
        <w:t xml:space="preserve">consecuencia se absuelva a mi representada a pago alguno por conceptos de indemnizaciones por los supuestos perjuicios alegados. </w:t>
      </w:r>
    </w:p>
    <w:p w14:paraId="2F5A565D" w14:textId="77777777" w:rsidR="009C5730" w:rsidRPr="00BD7F61" w:rsidRDefault="009C5730" w:rsidP="00BD7F61">
      <w:pPr>
        <w:spacing w:line="360" w:lineRule="auto"/>
        <w:jc w:val="both"/>
        <w:rPr>
          <w:rFonts w:ascii="Arial" w:hAnsi="Arial" w:cs="Arial"/>
          <w:lang w:val="es-CO"/>
        </w:rPr>
      </w:pPr>
    </w:p>
    <w:p w14:paraId="77086EDB" w14:textId="2953402C" w:rsidR="009C5730" w:rsidRPr="00BD7F61" w:rsidRDefault="009C5730" w:rsidP="00BD7F61">
      <w:pPr>
        <w:spacing w:line="360" w:lineRule="auto"/>
        <w:jc w:val="both"/>
        <w:rPr>
          <w:rFonts w:ascii="Arial" w:hAnsi="Arial" w:cs="Arial"/>
          <w:lang w:val="es-CO"/>
        </w:rPr>
      </w:pPr>
      <w:r w:rsidRPr="00BD7F61">
        <w:rPr>
          <w:rFonts w:ascii="Arial" w:hAnsi="Arial" w:cs="Arial"/>
          <w:b/>
          <w:bCs/>
          <w:lang w:val="es-CO"/>
        </w:rPr>
        <w:t xml:space="preserve">SEGUNDO: </w:t>
      </w:r>
      <w:r w:rsidRPr="00BD7F61">
        <w:rPr>
          <w:rFonts w:ascii="Arial" w:hAnsi="Arial" w:cs="Arial"/>
          <w:lang w:val="es-CO"/>
        </w:rPr>
        <w:t xml:space="preserve">En el remoto evento en que los argumentos esbozados en el presente escrito no fueran de su convencimiento, no pierda de vista </w:t>
      </w:r>
      <w:r w:rsidR="007B6B52">
        <w:rPr>
          <w:rFonts w:ascii="Arial" w:hAnsi="Arial" w:cs="Arial"/>
          <w:lang w:val="es-CO"/>
        </w:rPr>
        <w:t>la</w:t>
      </w:r>
      <w:r w:rsidR="007B6B52">
        <w:rPr>
          <w:rFonts w:ascii="Arial" w:hAnsi="Arial" w:cs="Arial"/>
          <w:b/>
        </w:rPr>
        <w:t xml:space="preserve"> ineficacia del llamamiento en garantía</w:t>
      </w:r>
      <w:r w:rsidR="007B6B52">
        <w:rPr>
          <w:rFonts w:ascii="Arial" w:hAnsi="Arial" w:cs="Arial"/>
        </w:rPr>
        <w:t xml:space="preserve">, y subsidiariamente </w:t>
      </w:r>
      <w:r w:rsidR="0069313A">
        <w:rPr>
          <w:rFonts w:ascii="Arial" w:hAnsi="Arial" w:cs="Arial"/>
          <w:lang w:val="es-CO"/>
        </w:rPr>
        <w:t>el coaseguro del contrato de seguro</w:t>
      </w:r>
      <w:r w:rsidR="00EB60AE">
        <w:rPr>
          <w:rFonts w:ascii="Arial" w:hAnsi="Arial" w:cs="Arial"/>
          <w:lang w:val="es-CO"/>
        </w:rPr>
        <w:t>,</w:t>
      </w:r>
      <w:r w:rsidR="007B6B52">
        <w:rPr>
          <w:rFonts w:ascii="Arial" w:hAnsi="Arial" w:cs="Arial"/>
          <w:lang w:val="es-CO"/>
        </w:rPr>
        <w:t xml:space="preserve"> </w:t>
      </w:r>
      <w:r w:rsidR="00EB60AE">
        <w:rPr>
          <w:rFonts w:ascii="Arial" w:hAnsi="Arial" w:cs="Arial"/>
          <w:lang w:val="es-CO"/>
        </w:rPr>
        <w:t xml:space="preserve"> </w:t>
      </w:r>
      <w:r w:rsidRPr="00BD7F61">
        <w:rPr>
          <w:rFonts w:ascii="Arial" w:hAnsi="Arial" w:cs="Arial"/>
          <w:lang w:val="es-CO"/>
        </w:rPr>
        <w:t>las limitaciones</w:t>
      </w:r>
      <w:r w:rsidR="00730E34" w:rsidRPr="00BD7F61">
        <w:rPr>
          <w:rFonts w:ascii="Arial" w:hAnsi="Arial" w:cs="Arial"/>
          <w:lang w:val="es-CO"/>
        </w:rPr>
        <w:t>, deducible</w:t>
      </w:r>
      <w:r w:rsidR="00EB60AE">
        <w:rPr>
          <w:rFonts w:ascii="Arial" w:hAnsi="Arial" w:cs="Arial"/>
          <w:lang w:val="es-CO"/>
        </w:rPr>
        <w:t xml:space="preserve"> </w:t>
      </w:r>
      <w:r w:rsidRPr="00BD7F61">
        <w:rPr>
          <w:rFonts w:ascii="Arial" w:hAnsi="Arial" w:cs="Arial"/>
          <w:lang w:val="es-CO"/>
        </w:rPr>
        <w:t xml:space="preserve">y exclusiones sobre la cobertura de la póliza con fundamento en la cual </w:t>
      </w:r>
      <w:r w:rsidR="005E43DF" w:rsidRPr="00BD7F61">
        <w:rPr>
          <w:rFonts w:ascii="Arial" w:hAnsi="Arial" w:cs="Arial"/>
          <w:lang w:val="es-CO"/>
        </w:rPr>
        <w:t>el</w:t>
      </w:r>
      <w:r w:rsidRPr="00BD7F61">
        <w:rPr>
          <w:rFonts w:ascii="Arial" w:hAnsi="Arial" w:cs="Arial"/>
          <w:b/>
          <w:bCs/>
          <w:lang w:val="es-CO"/>
        </w:rPr>
        <w:t xml:space="preserve"> </w:t>
      </w:r>
      <w:r w:rsidR="007B6B52">
        <w:rPr>
          <w:rFonts w:eastAsiaTheme="minorHAnsi"/>
        </w:rPr>
        <w:t>INSTITUTO NACIONAL DE VÍAS - INVIAS</w:t>
      </w:r>
      <w:r w:rsidR="007B6B52" w:rsidRPr="00BD7F61">
        <w:rPr>
          <w:rFonts w:ascii="Arial" w:hAnsi="Arial" w:cs="Arial"/>
          <w:lang w:val="es-CO"/>
        </w:rPr>
        <w:t xml:space="preserve"> </w:t>
      </w:r>
      <w:r w:rsidRPr="00BD7F61">
        <w:rPr>
          <w:rFonts w:ascii="Arial" w:hAnsi="Arial" w:cs="Arial"/>
          <w:lang w:val="es-CO"/>
        </w:rPr>
        <w:t>llamó en garantía a mi representada, esto, de conformidad con las consideraciones expuestas por mi defendida en esta oportunidad procesal.</w:t>
      </w:r>
    </w:p>
    <w:p w14:paraId="1C1C874B" w14:textId="77777777" w:rsidR="00AA5BFF" w:rsidRDefault="00AA5BFF" w:rsidP="00BD7F61">
      <w:pPr>
        <w:spacing w:line="360" w:lineRule="auto"/>
        <w:jc w:val="both"/>
        <w:rPr>
          <w:rFonts w:ascii="Arial" w:hAnsi="Arial" w:cs="Arial"/>
        </w:rPr>
      </w:pPr>
    </w:p>
    <w:p w14:paraId="36315044" w14:textId="77777777" w:rsidR="00E0292B" w:rsidRDefault="00E0292B" w:rsidP="00BD7F61">
      <w:pPr>
        <w:spacing w:line="360" w:lineRule="auto"/>
        <w:jc w:val="both"/>
        <w:rPr>
          <w:rFonts w:ascii="Arial" w:hAnsi="Arial" w:cs="Arial"/>
        </w:rPr>
      </w:pPr>
      <w:r w:rsidRPr="00E0292B">
        <w:rPr>
          <w:rFonts w:ascii="Arial" w:hAnsi="Arial" w:cs="Arial"/>
          <w:b/>
          <w:bCs/>
        </w:rPr>
        <w:t>TERCERO:</w:t>
      </w:r>
      <w:r>
        <w:rPr>
          <w:rFonts w:ascii="Arial" w:hAnsi="Arial" w:cs="Arial"/>
        </w:rPr>
        <w:t xml:space="preserve"> En el remoto e hipotético caso en que se profiera una sentencia en contra de los intereses de mi representada, solicito al despacho que cualquier condena impuesta a la aseguradora llamada en garantía se realice a través de la figura de reembolso.</w:t>
      </w:r>
    </w:p>
    <w:p w14:paraId="39EADBF0" w14:textId="77777777" w:rsidR="009B2AD7" w:rsidRDefault="009B2AD7" w:rsidP="00BD7F61">
      <w:pPr>
        <w:spacing w:line="360" w:lineRule="auto"/>
        <w:jc w:val="both"/>
        <w:rPr>
          <w:rFonts w:ascii="Arial" w:hAnsi="Arial" w:cs="Arial"/>
        </w:rPr>
      </w:pPr>
    </w:p>
    <w:p w14:paraId="3F674D5A" w14:textId="77777777" w:rsidR="00C4603E" w:rsidRDefault="00C4603E" w:rsidP="00C4603E">
      <w:pPr>
        <w:spacing w:line="360" w:lineRule="auto"/>
        <w:jc w:val="both"/>
        <w:rPr>
          <w:rFonts w:ascii="Arial" w:hAnsi="Arial" w:cs="Arial"/>
        </w:rPr>
      </w:pPr>
      <w:r w:rsidRPr="00C4603E">
        <w:rPr>
          <w:rFonts w:ascii="Arial" w:hAnsi="Arial" w:cs="Arial"/>
          <w:b/>
          <w:bCs/>
        </w:rPr>
        <w:t>CUARTA:</w:t>
      </w:r>
      <w:r w:rsidRPr="004E2AE9">
        <w:rPr>
          <w:rFonts w:ascii="Arial" w:hAnsi="Arial" w:cs="Arial"/>
        </w:rPr>
        <w:t xml:space="preserve"> En el evento de una eventual condena, solicito al despacho tenga en cuenta el porcentaje en el que se obliga la aseguradora en virtud al coaseguro.</w:t>
      </w:r>
      <w:r>
        <w:rPr>
          <w:rFonts w:ascii="Arial" w:hAnsi="Arial" w:cs="Arial"/>
        </w:rPr>
        <w:t xml:space="preserve"> </w:t>
      </w:r>
    </w:p>
    <w:p w14:paraId="2FC8A4CE" w14:textId="77777777" w:rsidR="00C4603E" w:rsidRDefault="00C4603E" w:rsidP="00BD7F61">
      <w:pPr>
        <w:spacing w:line="360" w:lineRule="auto"/>
        <w:jc w:val="both"/>
        <w:rPr>
          <w:rFonts w:ascii="Arial" w:hAnsi="Arial" w:cs="Arial"/>
        </w:rPr>
      </w:pPr>
    </w:p>
    <w:p w14:paraId="7C4F44F0" w14:textId="77777777" w:rsidR="009B2AD7" w:rsidRDefault="009B2AD7" w:rsidP="00BD7F61">
      <w:pPr>
        <w:spacing w:line="360" w:lineRule="auto"/>
        <w:jc w:val="both"/>
        <w:rPr>
          <w:rFonts w:ascii="Arial" w:hAnsi="Arial" w:cs="Arial"/>
        </w:rPr>
      </w:pPr>
    </w:p>
    <w:p w14:paraId="198D6033" w14:textId="77777777" w:rsidR="009B2AD7" w:rsidRPr="00BD7F61" w:rsidRDefault="009B2AD7" w:rsidP="00BD7F61">
      <w:pPr>
        <w:spacing w:line="360" w:lineRule="auto"/>
        <w:jc w:val="both"/>
        <w:rPr>
          <w:rFonts w:ascii="Arial" w:hAnsi="Arial" w:cs="Arial"/>
        </w:rPr>
      </w:pPr>
    </w:p>
    <w:p w14:paraId="0D7F0F6E" w14:textId="77777777" w:rsidR="00AA5BFF" w:rsidRPr="00BD7F61" w:rsidRDefault="00AA5BFF" w:rsidP="00BD7F61">
      <w:pPr>
        <w:tabs>
          <w:tab w:val="left" w:pos="9356"/>
        </w:tabs>
        <w:spacing w:line="360" w:lineRule="auto"/>
        <w:ind w:right="142"/>
        <w:jc w:val="center"/>
        <w:rPr>
          <w:rFonts w:ascii="Arial" w:hAnsi="Arial" w:cs="Arial"/>
          <w:b/>
          <w:bCs/>
          <w:u w:val="single"/>
        </w:rPr>
      </w:pPr>
      <w:r w:rsidRPr="00BD7F61">
        <w:rPr>
          <w:rFonts w:ascii="Arial" w:hAnsi="Arial" w:cs="Arial"/>
          <w:b/>
          <w:bCs/>
          <w:u w:val="single"/>
        </w:rPr>
        <w:t>CAPÍTULO V. NOTIFICACIONES</w:t>
      </w:r>
    </w:p>
    <w:p w14:paraId="5E7FB7DD" w14:textId="77777777" w:rsidR="00AA5BFF" w:rsidRPr="00BD7F61" w:rsidRDefault="00AA5BFF" w:rsidP="00BD7F61">
      <w:pPr>
        <w:tabs>
          <w:tab w:val="left" w:pos="9356"/>
        </w:tabs>
        <w:spacing w:line="360" w:lineRule="auto"/>
        <w:ind w:left="-5" w:right="142"/>
        <w:jc w:val="both"/>
        <w:rPr>
          <w:rFonts w:ascii="Arial" w:hAnsi="Arial" w:cs="Arial"/>
        </w:rPr>
      </w:pPr>
    </w:p>
    <w:p w14:paraId="5732138A" w14:textId="231569BB" w:rsidR="00AA5BFF" w:rsidRPr="00BD7F61" w:rsidRDefault="00AA5BFF" w:rsidP="00BD7F61">
      <w:pPr>
        <w:tabs>
          <w:tab w:val="left" w:pos="9356"/>
        </w:tabs>
        <w:spacing w:line="360" w:lineRule="auto"/>
        <w:ind w:left="-5" w:right="142"/>
        <w:jc w:val="both"/>
        <w:rPr>
          <w:rFonts w:ascii="Arial" w:hAnsi="Arial" w:cs="Arial"/>
          <w:b/>
          <w:bCs/>
          <w:u w:val="single"/>
        </w:rPr>
      </w:pPr>
      <w:r w:rsidRPr="00BD7F61">
        <w:rPr>
          <w:rFonts w:ascii="Arial" w:hAnsi="Arial" w:cs="Arial"/>
        </w:rPr>
        <w:t xml:space="preserve">Al suscrito, en la Avenida 6 A Bis No. 35N-100 oficina 212 de la Ciudad de Cali (V), correo electrónico: </w:t>
      </w:r>
      <w:hyperlink r:id="rId15" w:history="1">
        <w:r w:rsidRPr="00BD7F61">
          <w:rPr>
            <w:rStyle w:val="Hipervnculo"/>
            <w:rFonts w:ascii="Arial" w:hAnsi="Arial" w:cs="Arial"/>
            <w:b/>
            <w:bCs/>
            <w:color w:val="auto"/>
          </w:rPr>
          <w:t>notificaciones@gha.com.co</w:t>
        </w:r>
      </w:hyperlink>
    </w:p>
    <w:p w14:paraId="443CC6D2" w14:textId="0785F3C5" w:rsidR="009451E5" w:rsidRDefault="009451E5" w:rsidP="00BD7F61">
      <w:pPr>
        <w:tabs>
          <w:tab w:val="left" w:pos="9356"/>
        </w:tabs>
        <w:spacing w:line="360" w:lineRule="auto"/>
        <w:ind w:right="142"/>
        <w:jc w:val="both"/>
        <w:rPr>
          <w:rFonts w:ascii="Arial" w:hAnsi="Arial" w:cs="Arial"/>
        </w:rPr>
      </w:pPr>
      <w:r w:rsidRPr="00BD7F61">
        <w:rPr>
          <w:rFonts w:ascii="Arial" w:hAnsi="Arial" w:cs="Arial"/>
          <w:noProof/>
          <w:lang w:val="es-CO" w:eastAsia="es-CO"/>
        </w:rPr>
        <w:drawing>
          <wp:anchor distT="0" distB="0" distL="114300" distR="114300" simplePos="0" relativeHeight="251659264" behindDoc="1" locked="0" layoutInCell="1" allowOverlap="0" wp14:anchorId="5FBB3432" wp14:editId="1769C329">
            <wp:simplePos x="0" y="0"/>
            <wp:positionH relativeFrom="margin">
              <wp:posOffset>152400</wp:posOffset>
            </wp:positionH>
            <wp:positionV relativeFrom="paragraph">
              <wp:posOffset>128270</wp:posOffset>
            </wp:positionV>
            <wp:extent cx="1874520" cy="1371600"/>
            <wp:effectExtent l="0" t="0" r="0" b="0"/>
            <wp:wrapNone/>
            <wp:docPr id="6512" name="Picture 6512"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6512" name="Picture 6512" descr="Texto, Carta&#10;&#10;Descripción generada automáticamente"/>
                    <pic:cNvPicPr/>
                  </pic:nvPicPr>
                  <pic:blipFill>
                    <a:blip r:embed="rId16"/>
                    <a:stretch>
                      <a:fillRect/>
                    </a:stretch>
                  </pic:blipFill>
                  <pic:spPr>
                    <a:xfrm>
                      <a:off x="0" y="0"/>
                      <a:ext cx="1874520" cy="1371600"/>
                    </a:xfrm>
                    <a:prstGeom prst="rect">
                      <a:avLst/>
                    </a:prstGeom>
                  </pic:spPr>
                </pic:pic>
              </a:graphicData>
            </a:graphic>
          </wp:anchor>
        </w:drawing>
      </w:r>
    </w:p>
    <w:p w14:paraId="13675FFD" w14:textId="08D73C9B" w:rsidR="002D23F7" w:rsidRPr="00BD7F61" w:rsidRDefault="00AA5BFF" w:rsidP="00BD7F61">
      <w:pPr>
        <w:tabs>
          <w:tab w:val="left" w:pos="9356"/>
        </w:tabs>
        <w:spacing w:line="360" w:lineRule="auto"/>
        <w:ind w:right="142"/>
        <w:jc w:val="both"/>
        <w:rPr>
          <w:rFonts w:ascii="Arial" w:hAnsi="Arial" w:cs="Arial"/>
          <w:b/>
        </w:rPr>
      </w:pPr>
      <w:r w:rsidRPr="00BD7F61">
        <w:rPr>
          <w:rFonts w:ascii="Arial" w:hAnsi="Arial" w:cs="Arial"/>
        </w:rPr>
        <w:t>Cordialmente,</w:t>
      </w:r>
    </w:p>
    <w:p w14:paraId="06E109BA" w14:textId="77777777" w:rsidR="002D23F7" w:rsidRPr="00BD7F61" w:rsidRDefault="002D23F7" w:rsidP="00BD7F61">
      <w:pPr>
        <w:spacing w:line="360" w:lineRule="auto"/>
        <w:jc w:val="both"/>
        <w:rPr>
          <w:rFonts w:ascii="Arial" w:hAnsi="Arial" w:cs="Arial"/>
          <w:b/>
        </w:rPr>
      </w:pPr>
    </w:p>
    <w:p w14:paraId="26A5A6B6" w14:textId="698C323A" w:rsidR="00E4056A" w:rsidRPr="00BD7F61" w:rsidRDefault="00E4056A" w:rsidP="00BD7F61">
      <w:pPr>
        <w:spacing w:line="360" w:lineRule="auto"/>
        <w:jc w:val="both"/>
        <w:rPr>
          <w:rFonts w:ascii="Arial" w:hAnsi="Arial" w:cs="Arial"/>
          <w:b/>
        </w:rPr>
      </w:pPr>
    </w:p>
    <w:p w14:paraId="3633DE6A" w14:textId="77777777" w:rsidR="006620AE" w:rsidRDefault="006620AE" w:rsidP="00BD7F61">
      <w:pPr>
        <w:jc w:val="both"/>
        <w:rPr>
          <w:rFonts w:ascii="Arial" w:hAnsi="Arial" w:cs="Arial"/>
          <w:b/>
        </w:rPr>
      </w:pPr>
    </w:p>
    <w:p w14:paraId="446FF857" w14:textId="77777777" w:rsidR="006620AE" w:rsidRDefault="006620AE" w:rsidP="00BD7F61">
      <w:pPr>
        <w:jc w:val="both"/>
        <w:rPr>
          <w:rFonts w:ascii="Arial" w:hAnsi="Arial" w:cs="Arial"/>
          <w:b/>
        </w:rPr>
      </w:pPr>
    </w:p>
    <w:p w14:paraId="4E17270A" w14:textId="79F844AF" w:rsidR="00AA5BFF" w:rsidRPr="00BD7F61" w:rsidRDefault="00AA5BFF" w:rsidP="00BD7F61">
      <w:pPr>
        <w:jc w:val="both"/>
        <w:rPr>
          <w:rFonts w:ascii="Arial" w:hAnsi="Arial" w:cs="Arial"/>
        </w:rPr>
      </w:pPr>
      <w:r w:rsidRPr="00BD7F61">
        <w:rPr>
          <w:rFonts w:ascii="Arial" w:hAnsi="Arial" w:cs="Arial"/>
          <w:b/>
        </w:rPr>
        <w:t xml:space="preserve">GUSTAVO ALBERTO HERRERA ÁVILA </w:t>
      </w:r>
    </w:p>
    <w:p w14:paraId="69419554" w14:textId="77777777" w:rsidR="00AA5BFF" w:rsidRPr="00BD7F61" w:rsidRDefault="00AA5BFF" w:rsidP="00BD7F61">
      <w:pPr>
        <w:jc w:val="both"/>
        <w:rPr>
          <w:rFonts w:ascii="Arial" w:hAnsi="Arial" w:cs="Arial"/>
        </w:rPr>
      </w:pPr>
      <w:r w:rsidRPr="00BD7F61">
        <w:rPr>
          <w:rFonts w:ascii="Arial" w:hAnsi="Arial" w:cs="Arial"/>
        </w:rPr>
        <w:t xml:space="preserve">C.C.  No. 19.395.114 de Bogotá </w:t>
      </w:r>
    </w:p>
    <w:p w14:paraId="79F4C27D" w14:textId="00BC85BC" w:rsidR="00B27113" w:rsidRPr="00BD7F61" w:rsidRDefault="00AA5BFF" w:rsidP="00BD7F61">
      <w:pPr>
        <w:jc w:val="both"/>
        <w:rPr>
          <w:rFonts w:ascii="Arial" w:hAnsi="Arial" w:cs="Arial"/>
        </w:rPr>
      </w:pPr>
      <w:r w:rsidRPr="00BD7F61">
        <w:rPr>
          <w:rFonts w:ascii="Arial" w:hAnsi="Arial" w:cs="Arial"/>
        </w:rPr>
        <w:t>T.P. No. 39.116 del C. S. de la J.</w:t>
      </w:r>
    </w:p>
    <w:sectPr w:rsidR="00B27113" w:rsidRPr="00BD7F61" w:rsidSect="00D800F4">
      <w:headerReference w:type="default" r:id="rId17"/>
      <w:footerReference w:type="default" r:id="rId18"/>
      <w:pgSz w:w="12240" w:h="20160" w:code="5"/>
      <w:pgMar w:top="1985" w:right="1304" w:bottom="2835" w:left="1304" w:header="510"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5AD806" w14:textId="77777777" w:rsidR="00B16E08" w:rsidRDefault="00B16E08" w:rsidP="0025591F">
      <w:r>
        <w:separator/>
      </w:r>
    </w:p>
  </w:endnote>
  <w:endnote w:type="continuationSeparator" w:id="0">
    <w:p w14:paraId="060D0158" w14:textId="77777777" w:rsidR="00B16E08" w:rsidRDefault="00B16E08"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entury Gothic">
    <w:panose1 w:val="020B0502020202020204"/>
    <w:charset w:val="00"/>
    <w:family w:val="swiss"/>
    <w:pitch w:val="variable"/>
    <w:sig w:usb0="00000287" w:usb1="00000000" w:usb2="00000000" w:usb3="00000000" w:csb0="0000009F"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E71A6" w14:textId="1E06BC09" w:rsidR="009B2AD7" w:rsidRDefault="009B2AD7" w:rsidP="00227B4A">
    <w:pPr>
      <w:rPr>
        <w:noProof/>
      </w:rPr>
    </w:pPr>
    <w:r>
      <w:rPr>
        <w:noProof/>
      </w:rPr>
      <w:drawing>
        <wp:anchor distT="0" distB="0" distL="114300" distR="114300" simplePos="0" relativeHeight="251663360" behindDoc="0" locked="0" layoutInCell="1" allowOverlap="1" wp14:anchorId="17D53CFD" wp14:editId="1822DB05">
          <wp:simplePos x="0" y="0"/>
          <wp:positionH relativeFrom="margin">
            <wp:align>right</wp:align>
          </wp:positionH>
          <wp:positionV relativeFrom="paragraph">
            <wp:posOffset>-258445</wp:posOffset>
          </wp:positionV>
          <wp:extent cx="756000" cy="423070"/>
          <wp:effectExtent l="0" t="0" r="6350" b="0"/>
          <wp:wrapNone/>
          <wp:docPr id="1448657948"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56000" cy="423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1" locked="0" layoutInCell="1" allowOverlap="1" wp14:anchorId="094B919C" wp14:editId="20C5C20D">
              <wp:simplePos x="0" y="0"/>
              <wp:positionH relativeFrom="margin">
                <wp:posOffset>3556635</wp:posOffset>
              </wp:positionH>
              <wp:positionV relativeFrom="bottomMargin">
                <wp:posOffset>456565</wp:posOffset>
              </wp:positionV>
              <wp:extent cx="1872615" cy="645235"/>
              <wp:effectExtent l="0" t="0" r="0" b="2540"/>
              <wp:wrapNone/>
              <wp:docPr id="4" name="Rectángulo 4"/>
              <wp:cNvGraphicFramePr/>
              <a:graphic xmlns:a="http://schemas.openxmlformats.org/drawingml/2006/main">
                <a:graphicData uri="http://schemas.microsoft.com/office/word/2010/wordprocessingShape">
                  <wps:wsp>
                    <wps:cNvSpPr/>
                    <wps:spPr>
                      <a:xfrm>
                        <a:off x="0" y="0"/>
                        <a:ext cx="1872615" cy="6452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6240F1" w14:textId="77777777" w:rsidR="00227B4A" w:rsidRPr="00A20704" w:rsidRDefault="00227B4A" w:rsidP="00227B4A">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227B4A">
                            <w:rPr>
                              <w:rFonts w:ascii="Arial" w:hAnsi="Arial" w:cs="Arial"/>
                              <w:color w:val="11213B"/>
                              <w:w w:val="105"/>
                              <w:sz w:val="12"/>
                              <w:szCs w:val="12"/>
                              <w:lang w:val="pt-PT"/>
                            </w:rPr>
                            <w:t xml:space="preserve">Centro Empresarial Chipichape </w:t>
                          </w:r>
                          <w:r w:rsidRPr="00227B4A">
                            <w:rPr>
                              <w:rFonts w:ascii="Arial" w:hAnsi="Arial" w:cs="Arial"/>
                              <w:color w:val="11213B"/>
                              <w:w w:val="105"/>
                              <w:sz w:val="12"/>
                              <w:szCs w:val="12"/>
                              <w:lang w:val="pt-PT"/>
                            </w:rPr>
                            <w:b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B919C" id="Rectángulo 4" o:spid="_x0000_s1026" style="position:absolute;margin-left:280.05pt;margin-top:35.95pt;width:147.45pt;height:50.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ZVcgIAAEEFAAAOAAAAZHJzL2Uyb0RvYy54bWysVMFu2zAMvQ/YPwi6r46zpO2COkXQosOA&#10;og3WDj0rslQbkEWNUmJnXz9KdpyuLXYY5oNMieQj+UTq4rJrDNsp9DXYgucnE86UlVDW9rngPx5v&#10;Pp1z5oOwpTBgVcH3yvPL5ccPF61bqClUYEqFjECsX7Su4FUIbpFlXlaqEf4EnLKk1ICNCLTF56xE&#10;0RJ6Y7LpZHKatYClQ5DKezq97pV8mfC1VjLca+1VYKbglFtIK6Z1E9dseSEWzyhcVcshDfEPWTSi&#10;thR0hLoWQbAt1m+gmloieNDhREKTgda1VKkGqiafvKrmoRJOpVqIHO9Gmvz/g5V3uwe3RqKhdX7h&#10;SYxVdBqb+Kf8WJfI2o9kqS4wSYf5+dn0NJ9zJkl3OptPP88jm9nR26EPXxU0LAoFR7qMxJHY3frQ&#10;mx5MYjALN7Ux6UKM/eOAMONJdkwxSWFvVLQz9rvSrC4pqWkKkLpHXRlkO0H3LqRUNuS9qhKl6o/n&#10;E/qGlEePVEACjMiaEhqxB4DYmW+x+3IG++iqUvONzpO/JdY7jx4pMtgwOje1BXwPwFBVQ+Te/kBS&#10;T01kKXSbjkyiuIFyv0aG0E+Bd/Kmppu5FT6sBVLb04DQKId7WrSBtuAwSJxVgL/eO4/21I2k5ayl&#10;MSq4/7kVqDgz3yz16Zd8Notzlzaz+dmUNvhSs3mpsdvmCujGcno0nExitA/mIGqE5okmfhWjkkpY&#10;SbELLgMeNlehH296M6RarZIZzZoT4dY+OBnBI8Gx8x67J4FuaM9AjX0Hh5ETi1dd2ttGTwurbQBd&#10;pxY+8jpQT3Oaemh4U+JD8HKfrI4v3/I3AAAA//8DAFBLAwQUAAYACAAAACEA2LAuL98AAAAKAQAA&#10;DwAAAGRycy9kb3ducmV2LnhtbEyPy07DMBBF90j8gzVI7KgTUNo0jVMBEkKoi4oCe8d2k4h4HNnO&#10;o3/PsILlaI7uPbfcL7Znk/GhcyggXSXADCqnO2wEfH683OXAQpSoZe/QCLiYAPvq+qqUhXYzvpvp&#10;FBtGIRgKKaCNcSg4D6o1VoaVGwzS7+y8lZFO33Dt5Uzhtuf3SbLmVnZIDa0czHNr1PdptAK+3Plp&#10;tqrGt+ly7MbXg1cqPwhxe7M87oBFs8Q/GH71SR0qcqrdiDqwXkC2TlJCBWzSLTAC8iyjcTWRm4cM&#10;eFXy/xOqHwAAAP//AwBQSwECLQAUAAYACAAAACEAtoM4kv4AAADhAQAAEwAAAAAAAAAAAAAAAAAA&#10;AAAAW0NvbnRlbnRfVHlwZXNdLnhtbFBLAQItABQABgAIAAAAIQA4/SH/1gAAAJQBAAALAAAAAAAA&#10;AAAAAAAAAC8BAABfcmVscy8ucmVsc1BLAQItABQABgAIAAAAIQAvKyZVcgIAAEEFAAAOAAAAAAAA&#10;AAAAAAAAAC4CAABkcnMvZTJvRG9jLnhtbFBLAQItABQABgAIAAAAIQDYsC4v3wAAAAoBAAAPAAAA&#10;AAAAAAAAAAAAAMwEAABkcnMvZG93bnJldi54bWxQSwUGAAAAAAQABADzAAAA2AUAAAAA&#10;" filled="f" stroked="f" strokeweight="1pt">
              <v:textbox>
                <w:txbxContent>
                  <w:p w14:paraId="1E6240F1" w14:textId="77777777" w:rsidR="00227B4A" w:rsidRPr="00A20704" w:rsidRDefault="00227B4A" w:rsidP="00227B4A">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227B4A">
                      <w:rPr>
                        <w:rFonts w:ascii="Arial" w:hAnsi="Arial" w:cs="Arial"/>
                        <w:color w:val="11213B"/>
                        <w:w w:val="105"/>
                        <w:sz w:val="12"/>
                        <w:szCs w:val="12"/>
                        <w:lang w:val="pt-PT"/>
                      </w:rPr>
                      <w:t xml:space="preserve">Centro Empresarial Chipichape </w:t>
                    </w:r>
                    <w:r w:rsidRPr="00227B4A">
                      <w:rPr>
                        <w:rFonts w:ascii="Arial" w:hAnsi="Arial" w:cs="Arial"/>
                        <w:color w:val="11213B"/>
                        <w:w w:val="105"/>
                        <w:sz w:val="12"/>
                        <w:szCs w:val="12"/>
                        <w:lang w:val="pt-PT"/>
                      </w:rPr>
                      <w:br/>
                      <w:t>+57 315 577 6200 - 602-6594075</w:t>
                    </w:r>
                  </w:p>
                </w:txbxContent>
              </v:textbox>
              <w10:wrap anchorx="margin" anchory="margin"/>
            </v:rect>
          </w:pict>
        </mc:Fallback>
      </mc:AlternateContent>
    </w:r>
    <w:r>
      <w:rPr>
        <w:noProof/>
      </w:rPr>
      <mc:AlternateContent>
        <mc:Choice Requires="wps">
          <w:drawing>
            <wp:anchor distT="0" distB="0" distL="114300" distR="114300" simplePos="0" relativeHeight="251661312" behindDoc="1" locked="0" layoutInCell="1" allowOverlap="1" wp14:anchorId="680626D1" wp14:editId="36253EE9">
              <wp:simplePos x="0" y="0"/>
              <wp:positionH relativeFrom="margin">
                <wp:align>left</wp:align>
              </wp:positionH>
              <wp:positionV relativeFrom="bottomMargin">
                <wp:posOffset>579755</wp:posOffset>
              </wp:positionV>
              <wp:extent cx="704850" cy="304502"/>
              <wp:effectExtent l="0" t="0" r="0" b="635"/>
              <wp:wrapNone/>
              <wp:docPr id="5" name="Rectángulo 5"/>
              <wp:cNvGraphicFramePr/>
              <a:graphic xmlns:a="http://schemas.openxmlformats.org/drawingml/2006/main">
                <a:graphicData uri="http://schemas.microsoft.com/office/word/2010/wordprocessingShape">
                  <wps:wsp>
                    <wps:cNvSpPr/>
                    <wps:spPr>
                      <a:xfrm>
                        <a:off x="0" y="0"/>
                        <a:ext cx="704850" cy="3045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623272" w14:textId="64983A45" w:rsidR="00227B4A" w:rsidRPr="00DF71AF" w:rsidRDefault="00227B4A" w:rsidP="00227B4A">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EMC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626D1" id="Rectángulo 5" o:spid="_x0000_s1027" style="position:absolute;margin-left:0;margin-top:45.65pt;width:55.5pt;height:24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4v0dAIAAEcFAAAOAAAAZHJzL2Uyb0RvYy54bWysVE1v2zAMvQ/YfxB0X+1kydoFdYqgRYcB&#10;RRu0HXpWZKk2IIsapcTOfv0o2XG6tthhWA6OxI9H8pHU+UXXGLZT6GuwBZ+c5JwpK6Gs7XPBfzxe&#10;fzrjzAdhS2HAqoLvlecXy48fzlu3UFOowJQKGYFYv2hdwasQ3CLLvKxUI/wJOGVJqQEbEeiKz1mJ&#10;oiX0xmTTPP+StYClQ5DKe5Je9Uq+TPhaKxnutPYqMFNwyi2kL6bvJn6z5blYPKNwVS2HNMQ/ZNGI&#10;2lLQEepKBMG2WL+BamqJ4EGHEwlNBlrXUqUaqJpJ/qqah0o4lWohcrwbafL/D1be7h7cGomG1vmF&#10;p2OsotPYxH/Kj3WJrP1IluoCkyQ8zWdnc6JUkupzPpvn00hmdnR26MM3BQ2Lh4Ij9SJRJHY3PvSm&#10;B5MYy8J1bUzqh7F/CAgzSrJjhukU9kZFO2PvlWZ1STlNU4A0POrSINsJaruQUtkw6VWVKFUvnuf0&#10;G1IePVIBCTAia0poxB4A4mC+xe7LGeyjq0qzNzrnf0usdx49UmSwYXRuagv4HoChqobIvf2BpJ6a&#10;yFLoNh1xQ6sZLaNkA+V+jQyh3wXv5HVNDboRPqwF0vBTT2mhwx19tIG24DCcOKsAf70nj/Y0k6Tl&#10;rKVlKrj/uRWoODPfLU3r18lsFrcvXWbz0yld8KVm81Jjt80lUOMm9HQ4mY7RPpjDUSM0T7T3qxiV&#10;VMJKil1wGfBwuQz9ktPLIdVqlcxo45wIN/bByQgeeY4D+Ng9CXTDlAYa71s4LJ5YvBrW3jZ6Wlht&#10;A+g6TfKR16EDtK1plIaXJT4HL+/J6vj+LX8DAAD//wMAUEsDBBQABgAIAAAAIQAtmruT3AAAAAcB&#10;AAAPAAAAZHJzL2Rvd25yZXYueG1sTI/NTsMwEITvSLyDtZW4USdEQm2IUxUkhFAPiBbujr1NIuJ1&#10;FDs/fXu2J7jt7Kxmvi12i+vEhENoPSlI1wkIJONtS7WCr9Pr/QZEiJqs7jyhggsG2JW3N4XOrZ/p&#10;E6djrAWHUMi1gibGPpcymAadDmvfI7F39oPTkeVQSzvomcNdJx+S5FE63RI3NLrHlwbNz3F0Cr79&#10;+Xl2pqL36fLRjm+HwZjNQam71bJ/AhFxiX/HcMVndCiZqfIj2SA6BfxIVLBNMxBXN015UfGQbTOQ&#10;ZSH/85e/AAAA//8DAFBLAQItABQABgAIAAAAIQC2gziS/gAAAOEBAAATAAAAAAAAAAAAAAAAAAAA&#10;AABbQ29udGVudF9UeXBlc10ueG1sUEsBAi0AFAAGAAgAAAAhADj9If/WAAAAlAEAAAsAAAAAAAAA&#10;AAAAAAAALwEAAF9yZWxzLy5yZWxzUEsBAi0AFAAGAAgAAAAhAO1bi/R0AgAARwUAAA4AAAAAAAAA&#10;AAAAAAAALgIAAGRycy9lMm9Eb2MueG1sUEsBAi0AFAAGAAgAAAAhAC2au5PcAAAABwEAAA8AAAAA&#10;AAAAAAAAAAAAzgQAAGRycy9kb3ducmV2LnhtbFBLBQYAAAAABAAEAPMAAADXBQAAAAA=&#10;" filled="f" stroked="f" strokeweight="1pt">
              <v:textbox>
                <w:txbxContent>
                  <w:p w14:paraId="3A623272" w14:textId="64983A45" w:rsidR="00227B4A" w:rsidRPr="00DF71AF" w:rsidRDefault="00227B4A" w:rsidP="00227B4A">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EMC</w:t>
                    </w:r>
                  </w:p>
                </w:txbxContent>
              </v:textbox>
              <w10:wrap anchorx="margin" anchory="margin"/>
            </v:rect>
          </w:pict>
        </mc:Fallback>
      </mc:AlternateContent>
    </w:r>
  </w:p>
  <w:p w14:paraId="2CD8DCDC" w14:textId="594FD2DD" w:rsidR="009B2AD7" w:rsidRDefault="009B2AD7" w:rsidP="00227B4A">
    <w:pPr>
      <w:rPr>
        <w:noProof/>
      </w:rPr>
    </w:pPr>
  </w:p>
  <w:p w14:paraId="64361189" w14:textId="45937950" w:rsidR="00227B4A" w:rsidRPr="00957ECF" w:rsidRDefault="00227B4A" w:rsidP="00227B4A">
    <w:pPr>
      <w:rPr>
        <w:color w:val="222A35" w:themeColor="text2" w:themeShade="80"/>
      </w:rPr>
    </w:pPr>
    <w:r>
      <w:rPr>
        <w:color w:val="222A35" w:themeColor="text2" w:themeShade="80"/>
      </w:rPr>
      <w:t xml:space="preserve">                                         </w:t>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t xml:space="preserve">          </w:t>
    </w:r>
    <w:r w:rsidRPr="00194DAC">
      <w:rPr>
        <w:rFonts w:ascii="Raleway" w:hAnsi="Raleway"/>
        <w:b/>
        <w:bCs/>
        <w:color w:val="222A35" w:themeColor="text2" w:themeShade="80"/>
        <w:sz w:val="16"/>
        <w:szCs w:val="16"/>
      </w:rPr>
      <w:t xml:space="preserve">  </w:t>
    </w:r>
    <w:r w:rsidRPr="000B00A8">
      <w:rPr>
        <w:rFonts w:ascii="Arial" w:hAnsi="Arial" w:cs="Arial"/>
        <w:b/>
        <w:bCs/>
        <w:color w:val="222A35" w:themeColor="text2" w:themeShade="80"/>
        <w:sz w:val="14"/>
        <w:szCs w:val="14"/>
      </w:rPr>
      <w:t xml:space="preserve">Página </w:t>
    </w:r>
    <w:r w:rsidRPr="000B00A8">
      <w:rPr>
        <w:rFonts w:ascii="Arial" w:hAnsi="Arial" w:cs="Arial"/>
        <w:b/>
        <w:bCs/>
        <w:color w:val="222A35" w:themeColor="text2" w:themeShade="80"/>
        <w:sz w:val="14"/>
        <w:szCs w:val="14"/>
      </w:rPr>
      <w:fldChar w:fldCharType="begin"/>
    </w:r>
    <w:r w:rsidRPr="000B00A8">
      <w:rPr>
        <w:rFonts w:ascii="Arial" w:hAnsi="Arial" w:cs="Arial"/>
        <w:b/>
        <w:bCs/>
        <w:color w:val="222A35" w:themeColor="text2" w:themeShade="80"/>
        <w:sz w:val="14"/>
        <w:szCs w:val="14"/>
      </w:rPr>
      <w:instrText>PAGE   \* MERGEFORMAT</w:instrText>
    </w:r>
    <w:r w:rsidRPr="000B00A8">
      <w:rPr>
        <w:rFonts w:ascii="Arial" w:hAnsi="Arial" w:cs="Arial"/>
        <w:b/>
        <w:bCs/>
        <w:color w:val="222A35" w:themeColor="text2" w:themeShade="80"/>
        <w:sz w:val="14"/>
        <w:szCs w:val="14"/>
      </w:rPr>
      <w:fldChar w:fldCharType="separate"/>
    </w:r>
    <w:r>
      <w:rPr>
        <w:rFonts w:ascii="Arial" w:hAnsi="Arial" w:cs="Arial"/>
        <w:b/>
        <w:bCs/>
        <w:color w:val="222A35" w:themeColor="text2" w:themeShade="80"/>
        <w:sz w:val="14"/>
        <w:szCs w:val="14"/>
      </w:rPr>
      <w:t>1</w:t>
    </w:r>
    <w:r w:rsidRPr="000B00A8">
      <w:rPr>
        <w:rFonts w:ascii="Arial" w:hAnsi="Arial" w:cs="Arial"/>
        <w:b/>
        <w:bCs/>
        <w:color w:val="222A35" w:themeColor="text2" w:themeShade="80"/>
        <w:sz w:val="14"/>
        <w:szCs w:val="14"/>
      </w:rPr>
      <w:fldChar w:fldCharType="end"/>
    </w:r>
    <w:r w:rsidRPr="000B00A8">
      <w:rPr>
        <w:rFonts w:ascii="Arial" w:hAnsi="Arial" w:cs="Arial"/>
        <w:b/>
        <w:bCs/>
        <w:color w:val="222A35" w:themeColor="text2" w:themeShade="80"/>
        <w:sz w:val="14"/>
        <w:szCs w:val="14"/>
      </w:rPr>
      <w:t xml:space="preserve"> | </w:t>
    </w:r>
    <w:r w:rsidRPr="000B00A8">
      <w:rPr>
        <w:rFonts w:ascii="Arial" w:hAnsi="Arial" w:cs="Arial"/>
        <w:b/>
        <w:bCs/>
        <w:color w:val="222A35" w:themeColor="text2" w:themeShade="80"/>
        <w:sz w:val="14"/>
        <w:szCs w:val="14"/>
      </w:rPr>
      <w:fldChar w:fldCharType="begin"/>
    </w:r>
    <w:r w:rsidRPr="000B00A8">
      <w:rPr>
        <w:rFonts w:ascii="Arial" w:hAnsi="Arial" w:cs="Arial"/>
        <w:b/>
        <w:bCs/>
        <w:color w:val="222A35" w:themeColor="text2" w:themeShade="80"/>
        <w:sz w:val="14"/>
        <w:szCs w:val="14"/>
      </w:rPr>
      <w:instrText>NUMPAGES  \* Arabic  \* MERGEFORMAT</w:instrText>
    </w:r>
    <w:r w:rsidRPr="000B00A8">
      <w:rPr>
        <w:rFonts w:ascii="Arial" w:hAnsi="Arial" w:cs="Arial"/>
        <w:b/>
        <w:bCs/>
        <w:color w:val="222A35" w:themeColor="text2" w:themeShade="80"/>
        <w:sz w:val="14"/>
        <w:szCs w:val="14"/>
      </w:rPr>
      <w:fldChar w:fldCharType="separate"/>
    </w:r>
    <w:r>
      <w:rPr>
        <w:rFonts w:ascii="Arial" w:hAnsi="Arial" w:cs="Arial"/>
        <w:b/>
        <w:bCs/>
        <w:color w:val="222A35" w:themeColor="text2" w:themeShade="80"/>
        <w:sz w:val="14"/>
        <w:szCs w:val="14"/>
      </w:rPr>
      <w:t>3</w:t>
    </w:r>
    <w:r w:rsidRPr="000B00A8">
      <w:rPr>
        <w:rFonts w:ascii="Arial" w:hAnsi="Arial" w:cs="Arial"/>
        <w:b/>
        <w:bCs/>
        <w:color w:val="222A35" w:themeColor="text2" w:themeShade="80"/>
        <w:sz w:val="14"/>
        <w:szCs w:val="14"/>
      </w:rPr>
      <w:fldChar w:fldCharType="end"/>
    </w:r>
  </w:p>
  <w:p w14:paraId="2148D06E" w14:textId="0097C11B" w:rsidR="00AC4D61" w:rsidRDefault="00AC4D61" w:rsidP="00C544B3">
    <w:pPr>
      <w:pStyle w:val="Piedepgina"/>
      <w:tabs>
        <w:tab w:val="clear" w:pos="4419"/>
        <w:tab w:val="clear" w:pos="8838"/>
        <w:tab w:val="left" w:pos="59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7826D" w14:textId="77777777" w:rsidR="00B16E08" w:rsidRDefault="00B16E08" w:rsidP="0025591F">
      <w:r>
        <w:separator/>
      </w:r>
    </w:p>
  </w:footnote>
  <w:footnote w:type="continuationSeparator" w:id="0">
    <w:p w14:paraId="726303A5" w14:textId="77777777" w:rsidR="00B16E08" w:rsidRDefault="00B16E08" w:rsidP="0025591F">
      <w:r>
        <w:continuationSeparator/>
      </w:r>
    </w:p>
  </w:footnote>
  <w:footnote w:id="1">
    <w:p w14:paraId="239A3D3E" w14:textId="4308418D" w:rsidR="00AC4D61" w:rsidRPr="002D55A1" w:rsidRDefault="00AC4D61" w:rsidP="00A9541E">
      <w:pPr>
        <w:pStyle w:val="Textonotapie"/>
        <w:jc w:val="both"/>
        <w:rPr>
          <w:rFonts w:ascii="Arial" w:hAnsi="Arial" w:cs="Arial"/>
          <w:sz w:val="16"/>
          <w:szCs w:val="16"/>
          <w:lang w:val="es-ES"/>
        </w:rPr>
      </w:pPr>
      <w:r w:rsidRPr="002D55A1">
        <w:rPr>
          <w:rStyle w:val="Refdenotaalpie"/>
          <w:rFonts w:ascii="Arial" w:hAnsi="Arial" w:cs="Arial"/>
          <w:sz w:val="16"/>
          <w:szCs w:val="16"/>
        </w:rPr>
        <w:footnoteRef/>
      </w:r>
      <w:r w:rsidRPr="002D55A1">
        <w:rPr>
          <w:rFonts w:ascii="Arial" w:hAnsi="Arial" w:cs="Arial"/>
          <w:sz w:val="16"/>
          <w:szCs w:val="16"/>
        </w:rPr>
        <w:t xml:space="preserve"> </w:t>
      </w:r>
      <w:r w:rsidRPr="002D55A1">
        <w:rPr>
          <w:rFonts w:ascii="Arial" w:hAnsi="Arial" w:cs="Arial"/>
          <w:sz w:val="16"/>
          <w:szCs w:val="16"/>
          <w:lang w:val="es-ES"/>
        </w:rPr>
        <w:t xml:space="preserve">Acta de audiencia inicial </w:t>
      </w:r>
      <w:r w:rsidR="0057139D" w:rsidRPr="0057139D">
        <w:rPr>
          <w:rFonts w:ascii="Arial" w:hAnsi="Arial" w:cs="Arial"/>
          <w:sz w:val="16"/>
          <w:szCs w:val="16"/>
          <w:lang w:val="es-ES"/>
        </w:rPr>
        <w:t xml:space="preserve">No. </w:t>
      </w:r>
      <w:r w:rsidR="00B305B9">
        <w:rPr>
          <w:rFonts w:ascii="Arial" w:hAnsi="Arial" w:cs="Arial"/>
          <w:sz w:val="16"/>
          <w:szCs w:val="16"/>
          <w:lang w:val="es-ES"/>
        </w:rPr>
        <w:t>008</w:t>
      </w:r>
      <w:r w:rsidR="0057139D">
        <w:rPr>
          <w:rFonts w:ascii="Arial" w:hAnsi="Arial" w:cs="Arial"/>
          <w:sz w:val="16"/>
          <w:szCs w:val="16"/>
          <w:lang w:val="es-ES"/>
        </w:rPr>
        <w:t xml:space="preserve"> </w:t>
      </w:r>
      <w:r w:rsidR="00451AC0">
        <w:rPr>
          <w:rFonts w:ascii="Arial" w:hAnsi="Arial" w:cs="Arial"/>
          <w:sz w:val="16"/>
          <w:szCs w:val="16"/>
          <w:lang w:val="es-ES"/>
        </w:rPr>
        <w:t xml:space="preserve">de fecha </w:t>
      </w:r>
      <w:r w:rsidR="00B305B9">
        <w:rPr>
          <w:rFonts w:ascii="Arial" w:hAnsi="Arial" w:cs="Arial"/>
          <w:sz w:val="16"/>
          <w:szCs w:val="16"/>
          <w:lang w:val="es-ES"/>
        </w:rPr>
        <w:t xml:space="preserve">12 de febrero de </w:t>
      </w:r>
      <w:r w:rsidR="0057139D">
        <w:rPr>
          <w:rFonts w:ascii="Arial" w:hAnsi="Arial" w:cs="Arial"/>
          <w:sz w:val="16"/>
          <w:szCs w:val="16"/>
          <w:lang w:val="es-ES"/>
        </w:rPr>
        <w:t>2025</w:t>
      </w:r>
      <w:r w:rsidR="00451AC0">
        <w:rPr>
          <w:rFonts w:ascii="Arial" w:hAnsi="Arial" w:cs="Arial"/>
          <w:sz w:val="16"/>
          <w:szCs w:val="16"/>
          <w:lang w:val="es-ES"/>
        </w:rPr>
        <w:t>.</w:t>
      </w:r>
    </w:p>
  </w:footnote>
  <w:footnote w:id="2">
    <w:p w14:paraId="505F7D31" w14:textId="11042593" w:rsidR="00284427" w:rsidRPr="00284427" w:rsidRDefault="00284427" w:rsidP="00284427">
      <w:pPr>
        <w:pStyle w:val="Textonotapie"/>
        <w:jc w:val="both"/>
        <w:rPr>
          <w:rFonts w:ascii="Arial" w:hAnsi="Arial" w:cs="Arial"/>
          <w:sz w:val="16"/>
          <w:szCs w:val="16"/>
        </w:rPr>
      </w:pPr>
      <w:r w:rsidRPr="00284427">
        <w:rPr>
          <w:rStyle w:val="Refdenotaalpie"/>
          <w:rFonts w:ascii="Arial" w:hAnsi="Arial" w:cs="Arial"/>
          <w:sz w:val="16"/>
          <w:szCs w:val="16"/>
        </w:rPr>
        <w:footnoteRef/>
      </w:r>
      <w:r w:rsidRPr="00284427">
        <w:rPr>
          <w:rFonts w:ascii="Arial" w:hAnsi="Arial" w:cs="Arial"/>
          <w:sz w:val="16"/>
          <w:szCs w:val="16"/>
        </w:rPr>
        <w:t xml:space="preserve"> Magistrado Ponente: LUIS ALBERTO ÁLVAREZ PARRA Bogotá, D. C., veinticuatro (24) de febrero de dos mil veintidós (2022) Referencia: ACCIÓN DE TUTELA Radicación No: 20001-23-33-000-2021-00392-01 Demandante: ORBE CONSTRUCCIONES SAS Demandado: JUZGADO PRIMERO ADMINISTRATIVO DEL CIRCUITO JUDICIAL DE   VALLEDUPAR</w:t>
      </w:r>
      <w:r>
        <w:rPr>
          <w:rFonts w:ascii="Arial" w:hAnsi="Arial" w:cs="Arial"/>
          <w:sz w:val="16"/>
          <w:szCs w:val="16"/>
        </w:rPr>
        <w:t xml:space="preserve">. </w:t>
      </w:r>
    </w:p>
  </w:footnote>
  <w:footnote w:id="3">
    <w:p w14:paraId="3185B2F5" w14:textId="77777777" w:rsidR="002721E8" w:rsidRDefault="002721E8" w:rsidP="002721E8">
      <w:pPr>
        <w:pStyle w:val="Textonotapie"/>
      </w:pPr>
      <w:r>
        <w:rPr>
          <w:rStyle w:val="Refdenotaalpie"/>
        </w:rPr>
        <w:footnoteRef/>
      </w:r>
      <w:r>
        <w:t xml:space="preserve"> </w:t>
      </w:r>
      <w:r w:rsidRPr="00984230">
        <w:rPr>
          <w:rFonts w:ascii="Arial" w:hAnsi="Arial" w:cs="Arial"/>
        </w:rPr>
        <w:t>Consejo de Estado, Sección Tercera, No. 16530 de 2008</w:t>
      </w:r>
    </w:p>
  </w:footnote>
  <w:footnote w:id="4">
    <w:p w14:paraId="7801F188" w14:textId="6271EE55" w:rsidR="00E938F6" w:rsidRPr="00D800F4" w:rsidRDefault="00E938F6">
      <w:pPr>
        <w:pStyle w:val="Textonotapie"/>
        <w:rPr>
          <w:rFonts w:ascii="Arial" w:hAnsi="Arial" w:cs="Arial"/>
          <w:sz w:val="16"/>
          <w:szCs w:val="16"/>
        </w:rPr>
      </w:pPr>
      <w:r w:rsidRPr="00D800F4">
        <w:rPr>
          <w:rStyle w:val="Refdenotaalpie"/>
          <w:rFonts w:ascii="Arial" w:hAnsi="Arial" w:cs="Arial"/>
          <w:sz w:val="16"/>
          <w:szCs w:val="16"/>
        </w:rPr>
        <w:footnoteRef/>
      </w:r>
      <w:r w:rsidRPr="00D800F4">
        <w:rPr>
          <w:rFonts w:ascii="Arial" w:hAnsi="Arial" w:cs="Arial"/>
          <w:sz w:val="16"/>
          <w:szCs w:val="16"/>
        </w:rPr>
        <w:t xml:space="preserve"> </w:t>
      </w:r>
      <w:r w:rsidRPr="00D800F4">
        <w:rPr>
          <w:rFonts w:ascii="Arial" w:hAnsi="Arial" w:cs="Arial"/>
          <w:color w:val="000000"/>
          <w:sz w:val="16"/>
          <w:szCs w:val="16"/>
        </w:rPr>
        <w:t>Consejo de Estado, 2022, 25000232600020110122201 (50.698)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CD16A" w14:textId="4BEB0401" w:rsidR="00AC4D61" w:rsidRDefault="00227B4A">
    <w:pPr>
      <w:pStyle w:val="Encabezado"/>
    </w:pPr>
    <w:r>
      <w:rPr>
        <w:noProof/>
      </w:rPr>
      <w:drawing>
        <wp:anchor distT="0" distB="0" distL="114300" distR="114300" simplePos="0" relativeHeight="251659264" behindDoc="0" locked="0" layoutInCell="1" allowOverlap="1" wp14:anchorId="12057F72" wp14:editId="50E72749">
          <wp:simplePos x="0" y="0"/>
          <wp:positionH relativeFrom="margin">
            <wp:align>right</wp:align>
          </wp:positionH>
          <wp:positionV relativeFrom="paragraph">
            <wp:posOffset>-274955</wp:posOffset>
          </wp:positionV>
          <wp:extent cx="2134159" cy="900638"/>
          <wp:effectExtent l="0" t="0" r="0" b="0"/>
          <wp:wrapNone/>
          <wp:docPr id="207413418"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D61">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AD84179"/>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0A526F"/>
    <w:multiLevelType w:val="hybridMultilevel"/>
    <w:tmpl w:val="44DC0768"/>
    <w:lvl w:ilvl="0" w:tplc="6850498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3DA5E92"/>
    <w:multiLevelType w:val="multilevel"/>
    <w:tmpl w:val="847E5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124EE7"/>
    <w:multiLevelType w:val="hybridMultilevel"/>
    <w:tmpl w:val="9F54D1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550799F"/>
    <w:multiLevelType w:val="hybridMultilevel"/>
    <w:tmpl w:val="4112AB34"/>
    <w:lvl w:ilvl="0" w:tplc="78A6FDA4">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5F4180B"/>
    <w:multiLevelType w:val="hybridMultilevel"/>
    <w:tmpl w:val="39B67DAE"/>
    <w:lvl w:ilvl="0" w:tplc="EAB233A6">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67B4B54"/>
    <w:multiLevelType w:val="hybridMultilevel"/>
    <w:tmpl w:val="07A0E6A6"/>
    <w:lvl w:ilvl="0" w:tplc="DC7AC3FA">
      <w:start w:val="2"/>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89E4097"/>
    <w:multiLevelType w:val="hybridMultilevel"/>
    <w:tmpl w:val="A7D293BE"/>
    <w:lvl w:ilvl="0" w:tplc="8B66726E">
      <w:start w:val="1"/>
      <w:numFmt w:val="upperLetter"/>
      <w:lvlText w:val="%1."/>
      <w:lvlJc w:val="left"/>
      <w:pPr>
        <w:ind w:left="3636" w:hanging="375"/>
      </w:pPr>
      <w:rPr>
        <w:rFonts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FBA0356"/>
    <w:multiLevelType w:val="hybridMultilevel"/>
    <w:tmpl w:val="8AE4AE6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0610BC7"/>
    <w:multiLevelType w:val="multilevel"/>
    <w:tmpl w:val="00CA8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BB40261"/>
    <w:multiLevelType w:val="hybridMultilevel"/>
    <w:tmpl w:val="FC9CAC0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1FE4325A"/>
    <w:multiLevelType w:val="hybridMultilevel"/>
    <w:tmpl w:val="2D4C167C"/>
    <w:lvl w:ilvl="0" w:tplc="D39C8F54">
      <w:start w:val="1"/>
      <w:numFmt w:val="upperLetter"/>
      <w:lvlText w:val="%1."/>
      <w:lvlJc w:val="left"/>
      <w:pPr>
        <w:ind w:left="720" w:hanging="360"/>
      </w:pPr>
      <w:rPr>
        <w:rFonts w:ascii="Arial" w:hAnsi="Arial" w:cs="Arial"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4687279"/>
    <w:multiLevelType w:val="multilevel"/>
    <w:tmpl w:val="C7989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DA007E"/>
    <w:multiLevelType w:val="hybridMultilevel"/>
    <w:tmpl w:val="4502D9C0"/>
    <w:lvl w:ilvl="0" w:tplc="4E766B3A">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B0F0670"/>
    <w:multiLevelType w:val="multilevel"/>
    <w:tmpl w:val="4C326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F56762"/>
    <w:multiLevelType w:val="hybridMultilevel"/>
    <w:tmpl w:val="EF1232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DE02C02"/>
    <w:multiLevelType w:val="hybridMultilevel"/>
    <w:tmpl w:val="4E72D4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16A6D6F"/>
    <w:multiLevelType w:val="hybridMultilevel"/>
    <w:tmpl w:val="36A003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3CE20ED"/>
    <w:multiLevelType w:val="hybridMultilevel"/>
    <w:tmpl w:val="1E88BCA8"/>
    <w:lvl w:ilvl="0" w:tplc="CFB02D9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8F3783E"/>
    <w:multiLevelType w:val="hybridMultilevel"/>
    <w:tmpl w:val="C2688DFC"/>
    <w:lvl w:ilvl="0" w:tplc="0FAECF10">
      <w:start w:val="1"/>
      <w:numFmt w:val="upperLetter"/>
      <w:lvlText w:val="%1."/>
      <w:lvlJc w:val="left"/>
      <w:pPr>
        <w:ind w:left="360" w:hanging="360"/>
      </w:pPr>
      <w:rPr>
        <w:b/>
        <w:bCs/>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21" w15:restartNumberingAfterBreak="0">
    <w:nsid w:val="396A48E7"/>
    <w:multiLevelType w:val="hybridMultilevel"/>
    <w:tmpl w:val="5D12F2FE"/>
    <w:lvl w:ilvl="0" w:tplc="4A1099F8">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22" w15:restartNumberingAfterBreak="0">
    <w:nsid w:val="39745D9E"/>
    <w:multiLevelType w:val="hybridMultilevel"/>
    <w:tmpl w:val="2996DC7A"/>
    <w:lvl w:ilvl="0" w:tplc="CED08636">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99C4EB0"/>
    <w:multiLevelType w:val="multilevel"/>
    <w:tmpl w:val="DEB20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A73312"/>
    <w:multiLevelType w:val="hybridMultilevel"/>
    <w:tmpl w:val="FAF42842"/>
    <w:lvl w:ilvl="0" w:tplc="FAF05E2A">
      <w:start w:val="1"/>
      <w:numFmt w:val="decimal"/>
      <w:lvlText w:val="%1."/>
      <w:lvlJc w:val="left"/>
      <w:pPr>
        <w:ind w:left="720" w:hanging="360"/>
      </w:pPr>
      <w:rPr>
        <w:rFonts w:eastAsia="Arial MT"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D00787A"/>
    <w:multiLevelType w:val="hybridMultilevel"/>
    <w:tmpl w:val="6A7CB0C2"/>
    <w:lvl w:ilvl="0" w:tplc="D7A0CC8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3E5A38C2"/>
    <w:multiLevelType w:val="hybridMultilevel"/>
    <w:tmpl w:val="2996DC7A"/>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F513BD0"/>
    <w:multiLevelType w:val="multilevel"/>
    <w:tmpl w:val="C2E44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F8A560D"/>
    <w:multiLevelType w:val="hybridMultilevel"/>
    <w:tmpl w:val="F2380EF4"/>
    <w:lvl w:ilvl="0" w:tplc="5C0476CC">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0E844A3"/>
    <w:multiLevelType w:val="hybridMultilevel"/>
    <w:tmpl w:val="1E88BCA8"/>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0F4194E"/>
    <w:multiLevelType w:val="hybridMultilevel"/>
    <w:tmpl w:val="5246BA52"/>
    <w:lvl w:ilvl="0" w:tplc="F4EA37C0">
      <w:start w:val="5"/>
      <w:numFmt w:val="bullet"/>
      <w:lvlText w:val="-"/>
      <w:lvlJc w:val="left"/>
      <w:pPr>
        <w:ind w:left="360" w:hanging="360"/>
      </w:pPr>
      <w:rPr>
        <w:rFonts w:ascii="Century Gothic" w:eastAsiaTheme="minorHAnsi" w:hAnsi="Century Gothic" w:cstheme="minorBidi"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31" w15:restartNumberingAfterBreak="0">
    <w:nsid w:val="41C5611E"/>
    <w:multiLevelType w:val="hybridMultilevel"/>
    <w:tmpl w:val="94FCF344"/>
    <w:lvl w:ilvl="0" w:tplc="6A6C2B0E">
      <w:start w:val="1"/>
      <w:numFmt w:val="upperLetter"/>
      <w:lvlText w:val="%1."/>
      <w:lvlJc w:val="left"/>
      <w:pPr>
        <w:ind w:left="720" w:hanging="360"/>
      </w:pPr>
      <w:rPr>
        <w:rFonts w:hint="default"/>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490054A4"/>
    <w:multiLevelType w:val="hybridMultilevel"/>
    <w:tmpl w:val="E654C40A"/>
    <w:lvl w:ilvl="0" w:tplc="41DC2522">
      <w:start w:val="1"/>
      <w:numFmt w:val="decimal"/>
      <w:lvlText w:val="%1."/>
      <w:lvlJc w:val="left"/>
      <w:pPr>
        <w:ind w:left="1146" w:hanging="360"/>
      </w:pPr>
      <w:rPr>
        <w:rFonts w:hint="default"/>
        <w:b/>
      </w:r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33" w15:restartNumberingAfterBreak="0">
    <w:nsid w:val="4BCC1835"/>
    <w:multiLevelType w:val="hybridMultilevel"/>
    <w:tmpl w:val="9F54D1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BE01145"/>
    <w:multiLevelType w:val="hybridMultilevel"/>
    <w:tmpl w:val="626E7AC4"/>
    <w:lvl w:ilvl="0" w:tplc="4CD87472">
      <w:start w:val="1"/>
      <w:numFmt w:val="upperLetter"/>
      <w:lvlText w:val="%1."/>
      <w:lvlJc w:val="left"/>
      <w:pPr>
        <w:ind w:left="720" w:hanging="360"/>
      </w:pPr>
      <w:rPr>
        <w:rFonts w:ascii="Arial" w:hAnsi="Arial" w:cs="Arial"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4F8D263D"/>
    <w:multiLevelType w:val="hybridMultilevel"/>
    <w:tmpl w:val="E176EC7A"/>
    <w:lvl w:ilvl="0" w:tplc="A6C671E0">
      <w:start w:val="1"/>
      <w:numFmt w:val="upperLetter"/>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54145424"/>
    <w:multiLevelType w:val="hybridMultilevel"/>
    <w:tmpl w:val="58B465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49E0519"/>
    <w:multiLevelType w:val="hybridMultilevel"/>
    <w:tmpl w:val="89A8731C"/>
    <w:lvl w:ilvl="0" w:tplc="610228B2">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557A6F91"/>
    <w:multiLevelType w:val="hybridMultilevel"/>
    <w:tmpl w:val="6E60E7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56472A7A"/>
    <w:multiLevelType w:val="hybridMultilevel"/>
    <w:tmpl w:val="F4309CFA"/>
    <w:lvl w:ilvl="0" w:tplc="BF26B8F6">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58212FC2"/>
    <w:multiLevelType w:val="multilevel"/>
    <w:tmpl w:val="BA6E9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AF946AF"/>
    <w:multiLevelType w:val="multilevel"/>
    <w:tmpl w:val="EE9EB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E35566C"/>
    <w:multiLevelType w:val="multilevel"/>
    <w:tmpl w:val="7C265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F771F2"/>
    <w:multiLevelType w:val="hybridMultilevel"/>
    <w:tmpl w:val="830A7FB8"/>
    <w:lvl w:ilvl="0" w:tplc="4036E736">
      <w:start w:val="1"/>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4" w15:restartNumberingAfterBreak="0">
    <w:nsid w:val="66FC2A27"/>
    <w:multiLevelType w:val="hybridMultilevel"/>
    <w:tmpl w:val="06901F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671F6597"/>
    <w:multiLevelType w:val="hybridMultilevel"/>
    <w:tmpl w:val="60BED8CA"/>
    <w:lvl w:ilvl="0" w:tplc="599C446E">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68A54815"/>
    <w:multiLevelType w:val="hybridMultilevel"/>
    <w:tmpl w:val="84CAA7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6C8908DA"/>
    <w:multiLevelType w:val="multilevel"/>
    <w:tmpl w:val="88A810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1616A13"/>
    <w:multiLevelType w:val="multilevel"/>
    <w:tmpl w:val="3BD00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31413B9"/>
    <w:multiLevelType w:val="multilevel"/>
    <w:tmpl w:val="9070B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53D6B50"/>
    <w:multiLevelType w:val="hybridMultilevel"/>
    <w:tmpl w:val="660E7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756D1E53"/>
    <w:multiLevelType w:val="multilevel"/>
    <w:tmpl w:val="3F5C2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C423D53"/>
    <w:multiLevelType w:val="hybridMultilevel"/>
    <w:tmpl w:val="AAA039D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7E914FBF"/>
    <w:multiLevelType w:val="hybridMultilevel"/>
    <w:tmpl w:val="CA06D1F4"/>
    <w:lvl w:ilvl="0" w:tplc="D11E2384">
      <w:start w:val="4"/>
      <w:numFmt w:val="bullet"/>
      <w:lvlText w:val=""/>
      <w:lvlJc w:val="left"/>
      <w:pPr>
        <w:ind w:left="720" w:hanging="360"/>
      </w:pPr>
      <w:rPr>
        <w:rFonts w:ascii="Symbol" w:eastAsia="Arial MT"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7FB102BA"/>
    <w:multiLevelType w:val="hybridMultilevel"/>
    <w:tmpl w:val="451CB5C4"/>
    <w:lvl w:ilvl="0" w:tplc="77C4FDE0">
      <w:start w:val="1"/>
      <w:numFmt w:val="decimal"/>
      <w:lvlText w:val="%1."/>
      <w:lvlJc w:val="left"/>
      <w:pPr>
        <w:ind w:left="720" w:hanging="360"/>
      </w:pPr>
      <w:rPr>
        <w:rFonts w:hint="default"/>
        <w:b/>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559365470">
    <w:abstractNumId w:val="10"/>
  </w:num>
  <w:num w:numId="2" w16cid:durableId="191000859">
    <w:abstractNumId w:val="14"/>
  </w:num>
  <w:num w:numId="3" w16cid:durableId="6584638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43640298">
    <w:abstractNumId w:val="50"/>
  </w:num>
  <w:num w:numId="5" w16cid:durableId="568659481">
    <w:abstractNumId w:val="16"/>
  </w:num>
  <w:num w:numId="6" w16cid:durableId="1183131752">
    <w:abstractNumId w:val="34"/>
  </w:num>
  <w:num w:numId="7" w16cid:durableId="432242501">
    <w:abstractNumId w:val="7"/>
  </w:num>
  <w:num w:numId="8" w16cid:durableId="806895090">
    <w:abstractNumId w:val="46"/>
  </w:num>
  <w:num w:numId="9" w16cid:durableId="1325745840">
    <w:abstractNumId w:val="12"/>
  </w:num>
  <w:num w:numId="10" w16cid:durableId="1978216423">
    <w:abstractNumId w:val="20"/>
  </w:num>
  <w:num w:numId="11" w16cid:durableId="1792019142">
    <w:abstractNumId w:val="4"/>
  </w:num>
  <w:num w:numId="12" w16cid:durableId="1571110696">
    <w:abstractNumId w:val="31"/>
  </w:num>
  <w:num w:numId="13" w16cid:durableId="360060603">
    <w:abstractNumId w:val="35"/>
  </w:num>
  <w:num w:numId="14" w16cid:durableId="573782166">
    <w:abstractNumId w:val="28"/>
  </w:num>
  <w:num w:numId="15" w16cid:durableId="1406754898">
    <w:abstractNumId w:val="6"/>
  </w:num>
  <w:num w:numId="16" w16cid:durableId="71465367">
    <w:abstractNumId w:val="8"/>
  </w:num>
  <w:num w:numId="17" w16cid:durableId="1326518623">
    <w:abstractNumId w:val="41"/>
  </w:num>
  <w:num w:numId="18" w16cid:durableId="672873281">
    <w:abstractNumId w:val="39"/>
  </w:num>
  <w:num w:numId="19" w16cid:durableId="1499419706">
    <w:abstractNumId w:val="19"/>
  </w:num>
  <w:num w:numId="20" w16cid:durableId="1371300319">
    <w:abstractNumId w:val="52"/>
  </w:num>
  <w:num w:numId="21" w16cid:durableId="816802158">
    <w:abstractNumId w:val="0"/>
  </w:num>
  <w:num w:numId="22" w16cid:durableId="669598509">
    <w:abstractNumId w:val="40"/>
  </w:num>
  <w:num w:numId="23" w16cid:durableId="1251231351">
    <w:abstractNumId w:val="5"/>
  </w:num>
  <w:num w:numId="24" w16cid:durableId="589462666">
    <w:abstractNumId w:val="27"/>
  </w:num>
  <w:num w:numId="25" w16cid:durableId="841625177">
    <w:abstractNumId w:val="53"/>
  </w:num>
  <w:num w:numId="26" w16cid:durableId="1736514220">
    <w:abstractNumId w:val="29"/>
  </w:num>
  <w:num w:numId="27" w16cid:durableId="1140808452">
    <w:abstractNumId w:val="22"/>
  </w:num>
  <w:num w:numId="28" w16cid:durableId="94910622">
    <w:abstractNumId w:val="2"/>
  </w:num>
  <w:num w:numId="29" w16cid:durableId="1513104610">
    <w:abstractNumId w:val="37"/>
  </w:num>
  <w:num w:numId="30" w16cid:durableId="655230057">
    <w:abstractNumId w:val="26"/>
  </w:num>
  <w:num w:numId="31" w16cid:durableId="260064097">
    <w:abstractNumId w:val="43"/>
  </w:num>
  <w:num w:numId="32" w16cid:durableId="453058992">
    <w:abstractNumId w:val="44"/>
  </w:num>
  <w:num w:numId="33" w16cid:durableId="1460299390">
    <w:abstractNumId w:val="54"/>
  </w:num>
  <w:num w:numId="34" w16cid:durableId="368409457">
    <w:abstractNumId w:val="15"/>
  </w:num>
  <w:num w:numId="35" w16cid:durableId="1167328260">
    <w:abstractNumId w:val="38"/>
  </w:num>
  <w:num w:numId="36" w16cid:durableId="1032338396">
    <w:abstractNumId w:val="1"/>
  </w:num>
  <w:num w:numId="37" w16cid:durableId="2041010724">
    <w:abstractNumId w:val="45"/>
  </w:num>
  <w:num w:numId="38" w16cid:durableId="888882656">
    <w:abstractNumId w:val="3"/>
  </w:num>
  <w:num w:numId="39" w16cid:durableId="1456370835">
    <w:abstractNumId w:val="33"/>
  </w:num>
  <w:num w:numId="40" w16cid:durableId="14817354">
    <w:abstractNumId w:val="13"/>
  </w:num>
  <w:num w:numId="41" w16cid:durableId="519665956">
    <w:abstractNumId w:val="17"/>
  </w:num>
  <w:num w:numId="42" w16cid:durableId="1994210986">
    <w:abstractNumId w:val="51"/>
  </w:num>
  <w:num w:numId="43" w16cid:durableId="628050611">
    <w:abstractNumId w:val="23"/>
  </w:num>
  <w:num w:numId="44" w16cid:durableId="200560038">
    <w:abstractNumId w:val="21"/>
  </w:num>
  <w:num w:numId="45" w16cid:durableId="10762660">
    <w:abstractNumId w:val="30"/>
  </w:num>
  <w:num w:numId="46" w16cid:durableId="477117344">
    <w:abstractNumId w:val="11"/>
  </w:num>
  <w:num w:numId="47" w16cid:durableId="1034422284">
    <w:abstractNumId w:val="48"/>
  </w:num>
  <w:num w:numId="48" w16cid:durableId="936720129">
    <w:abstractNumId w:val="47"/>
  </w:num>
  <w:num w:numId="49" w16cid:durableId="1414744857">
    <w:abstractNumId w:val="42"/>
  </w:num>
  <w:num w:numId="50" w16cid:durableId="844245000">
    <w:abstractNumId w:val="25"/>
  </w:num>
  <w:num w:numId="51" w16cid:durableId="591388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27427854">
    <w:abstractNumId w:val="18"/>
  </w:num>
  <w:num w:numId="53" w16cid:durableId="103312499">
    <w:abstractNumId w:val="36"/>
  </w:num>
  <w:num w:numId="54" w16cid:durableId="892161300">
    <w:abstractNumId w:val="32"/>
  </w:num>
  <w:num w:numId="55" w16cid:durableId="1479036351">
    <w:abstractNumId w:val="49"/>
  </w:num>
  <w:num w:numId="56" w16cid:durableId="1722050179">
    <w:abstractNumId w:val="9"/>
  </w:num>
  <w:num w:numId="57" w16cid:durableId="19904776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9F6"/>
    <w:rsid w:val="000023BE"/>
    <w:rsid w:val="00003C2E"/>
    <w:rsid w:val="00010D6A"/>
    <w:rsid w:val="00016C32"/>
    <w:rsid w:val="000201E6"/>
    <w:rsid w:val="00020F63"/>
    <w:rsid w:val="00023DC5"/>
    <w:rsid w:val="0003111F"/>
    <w:rsid w:val="00034870"/>
    <w:rsid w:val="000350E8"/>
    <w:rsid w:val="00035F33"/>
    <w:rsid w:val="0004147F"/>
    <w:rsid w:val="000415C1"/>
    <w:rsid w:val="0004223C"/>
    <w:rsid w:val="00042740"/>
    <w:rsid w:val="000446C7"/>
    <w:rsid w:val="00055303"/>
    <w:rsid w:val="00056B3F"/>
    <w:rsid w:val="00060728"/>
    <w:rsid w:val="00063C7B"/>
    <w:rsid w:val="00063FE2"/>
    <w:rsid w:val="000662E8"/>
    <w:rsid w:val="00066CDD"/>
    <w:rsid w:val="00074C9B"/>
    <w:rsid w:val="0007726B"/>
    <w:rsid w:val="0007799A"/>
    <w:rsid w:val="00086254"/>
    <w:rsid w:val="00086FDF"/>
    <w:rsid w:val="00097C81"/>
    <w:rsid w:val="000A0D01"/>
    <w:rsid w:val="000A246B"/>
    <w:rsid w:val="000A2574"/>
    <w:rsid w:val="000A285B"/>
    <w:rsid w:val="000A5CD4"/>
    <w:rsid w:val="000A7846"/>
    <w:rsid w:val="000B0F45"/>
    <w:rsid w:val="000B2558"/>
    <w:rsid w:val="000B2A64"/>
    <w:rsid w:val="000B3913"/>
    <w:rsid w:val="000B4DDB"/>
    <w:rsid w:val="000B70BD"/>
    <w:rsid w:val="000C1330"/>
    <w:rsid w:val="000C2815"/>
    <w:rsid w:val="000C58EB"/>
    <w:rsid w:val="000C7196"/>
    <w:rsid w:val="000C7C04"/>
    <w:rsid w:val="000D0307"/>
    <w:rsid w:val="000D053D"/>
    <w:rsid w:val="000D2647"/>
    <w:rsid w:val="000D306A"/>
    <w:rsid w:val="000D3908"/>
    <w:rsid w:val="000D54A6"/>
    <w:rsid w:val="000D6C81"/>
    <w:rsid w:val="000E09FB"/>
    <w:rsid w:val="000E1EC0"/>
    <w:rsid w:val="000E5768"/>
    <w:rsid w:val="000E6CA3"/>
    <w:rsid w:val="000E6D82"/>
    <w:rsid w:val="000F0A35"/>
    <w:rsid w:val="000F1F69"/>
    <w:rsid w:val="000F1FB2"/>
    <w:rsid w:val="000F5EFA"/>
    <w:rsid w:val="000F685B"/>
    <w:rsid w:val="00103A4A"/>
    <w:rsid w:val="00104043"/>
    <w:rsid w:val="001051EA"/>
    <w:rsid w:val="00105544"/>
    <w:rsid w:val="00105562"/>
    <w:rsid w:val="001079AD"/>
    <w:rsid w:val="001107A1"/>
    <w:rsid w:val="00112024"/>
    <w:rsid w:val="0011253F"/>
    <w:rsid w:val="00112BF1"/>
    <w:rsid w:val="0011470B"/>
    <w:rsid w:val="001227E2"/>
    <w:rsid w:val="0012361D"/>
    <w:rsid w:val="00124A13"/>
    <w:rsid w:val="001272A3"/>
    <w:rsid w:val="00127575"/>
    <w:rsid w:val="0013138A"/>
    <w:rsid w:val="001315A7"/>
    <w:rsid w:val="00133EB1"/>
    <w:rsid w:val="0013615F"/>
    <w:rsid w:val="00142BE3"/>
    <w:rsid w:val="00142EFB"/>
    <w:rsid w:val="001436E6"/>
    <w:rsid w:val="00143DF4"/>
    <w:rsid w:val="00151067"/>
    <w:rsid w:val="0015318D"/>
    <w:rsid w:val="00153890"/>
    <w:rsid w:val="001544A8"/>
    <w:rsid w:val="00160755"/>
    <w:rsid w:val="00162197"/>
    <w:rsid w:val="001622D6"/>
    <w:rsid w:val="001645D1"/>
    <w:rsid w:val="00164AFC"/>
    <w:rsid w:val="00173090"/>
    <w:rsid w:val="00173C9D"/>
    <w:rsid w:val="00175D03"/>
    <w:rsid w:val="0018079D"/>
    <w:rsid w:val="00180C4A"/>
    <w:rsid w:val="00182ECA"/>
    <w:rsid w:val="00185AC5"/>
    <w:rsid w:val="001878D3"/>
    <w:rsid w:val="0019153E"/>
    <w:rsid w:val="001925A0"/>
    <w:rsid w:val="001929DF"/>
    <w:rsid w:val="00194DAC"/>
    <w:rsid w:val="001960FD"/>
    <w:rsid w:val="001963F8"/>
    <w:rsid w:val="001964B7"/>
    <w:rsid w:val="001A4CFC"/>
    <w:rsid w:val="001B0B95"/>
    <w:rsid w:val="001B3189"/>
    <w:rsid w:val="001B6075"/>
    <w:rsid w:val="001B6B38"/>
    <w:rsid w:val="001C0FC6"/>
    <w:rsid w:val="001C65F0"/>
    <w:rsid w:val="001D29ED"/>
    <w:rsid w:val="001D49D9"/>
    <w:rsid w:val="001D5103"/>
    <w:rsid w:val="001D5C6A"/>
    <w:rsid w:val="001D67DF"/>
    <w:rsid w:val="001D72F4"/>
    <w:rsid w:val="001E2A1C"/>
    <w:rsid w:val="001E5DD9"/>
    <w:rsid w:val="001E747B"/>
    <w:rsid w:val="001F3E0B"/>
    <w:rsid w:val="001F4801"/>
    <w:rsid w:val="001F5621"/>
    <w:rsid w:val="001F6AC0"/>
    <w:rsid w:val="00201F5A"/>
    <w:rsid w:val="00203B2D"/>
    <w:rsid w:val="00205437"/>
    <w:rsid w:val="00205AF5"/>
    <w:rsid w:val="00206941"/>
    <w:rsid w:val="00211047"/>
    <w:rsid w:val="00211674"/>
    <w:rsid w:val="00212AAD"/>
    <w:rsid w:val="00212EBE"/>
    <w:rsid w:val="0022036A"/>
    <w:rsid w:val="00221150"/>
    <w:rsid w:val="0022339F"/>
    <w:rsid w:val="0022542E"/>
    <w:rsid w:val="00227B4A"/>
    <w:rsid w:val="0023027E"/>
    <w:rsid w:val="002322E4"/>
    <w:rsid w:val="002324EE"/>
    <w:rsid w:val="0023303F"/>
    <w:rsid w:val="00234F3F"/>
    <w:rsid w:val="002376C9"/>
    <w:rsid w:val="00251F4E"/>
    <w:rsid w:val="0025476D"/>
    <w:rsid w:val="00254E27"/>
    <w:rsid w:val="0025591F"/>
    <w:rsid w:val="002678B3"/>
    <w:rsid w:val="00267DDC"/>
    <w:rsid w:val="00270574"/>
    <w:rsid w:val="00270591"/>
    <w:rsid w:val="002721E8"/>
    <w:rsid w:val="00273A21"/>
    <w:rsid w:val="00281D90"/>
    <w:rsid w:val="00282773"/>
    <w:rsid w:val="00283C59"/>
    <w:rsid w:val="00284427"/>
    <w:rsid w:val="0028528E"/>
    <w:rsid w:val="00293441"/>
    <w:rsid w:val="00295E70"/>
    <w:rsid w:val="002A1262"/>
    <w:rsid w:val="002A1277"/>
    <w:rsid w:val="002A27EB"/>
    <w:rsid w:val="002A3D76"/>
    <w:rsid w:val="002A5E23"/>
    <w:rsid w:val="002B0DD8"/>
    <w:rsid w:val="002B3FB9"/>
    <w:rsid w:val="002B4B92"/>
    <w:rsid w:val="002B4ED1"/>
    <w:rsid w:val="002B5E76"/>
    <w:rsid w:val="002B7B6C"/>
    <w:rsid w:val="002C029E"/>
    <w:rsid w:val="002C160C"/>
    <w:rsid w:val="002C1FF4"/>
    <w:rsid w:val="002C2DA7"/>
    <w:rsid w:val="002C301C"/>
    <w:rsid w:val="002C33F7"/>
    <w:rsid w:val="002C399F"/>
    <w:rsid w:val="002C3E4F"/>
    <w:rsid w:val="002C7777"/>
    <w:rsid w:val="002D02EF"/>
    <w:rsid w:val="002D1AE4"/>
    <w:rsid w:val="002D23F7"/>
    <w:rsid w:val="002D55A1"/>
    <w:rsid w:val="002D6CCC"/>
    <w:rsid w:val="002E2702"/>
    <w:rsid w:val="002E3145"/>
    <w:rsid w:val="002E32D6"/>
    <w:rsid w:val="002E53BA"/>
    <w:rsid w:val="002F1569"/>
    <w:rsid w:val="002F2039"/>
    <w:rsid w:val="002F3381"/>
    <w:rsid w:val="002F4D21"/>
    <w:rsid w:val="002F740F"/>
    <w:rsid w:val="0030257B"/>
    <w:rsid w:val="003118DB"/>
    <w:rsid w:val="00311F47"/>
    <w:rsid w:val="00322482"/>
    <w:rsid w:val="00323619"/>
    <w:rsid w:val="00323E42"/>
    <w:rsid w:val="00327992"/>
    <w:rsid w:val="00333590"/>
    <w:rsid w:val="00337093"/>
    <w:rsid w:val="00345F88"/>
    <w:rsid w:val="00350C96"/>
    <w:rsid w:val="00353FCF"/>
    <w:rsid w:val="003555BE"/>
    <w:rsid w:val="00360FC3"/>
    <w:rsid w:val="00361D5F"/>
    <w:rsid w:val="00362586"/>
    <w:rsid w:val="00367689"/>
    <w:rsid w:val="00375AFE"/>
    <w:rsid w:val="00376D3B"/>
    <w:rsid w:val="00377B6B"/>
    <w:rsid w:val="00383BE6"/>
    <w:rsid w:val="0038726A"/>
    <w:rsid w:val="003877EF"/>
    <w:rsid w:val="00391AD0"/>
    <w:rsid w:val="003969EC"/>
    <w:rsid w:val="00397D74"/>
    <w:rsid w:val="003A0BE1"/>
    <w:rsid w:val="003A1F10"/>
    <w:rsid w:val="003A2625"/>
    <w:rsid w:val="003A46DC"/>
    <w:rsid w:val="003B31F3"/>
    <w:rsid w:val="003B4890"/>
    <w:rsid w:val="003C15CD"/>
    <w:rsid w:val="003C2785"/>
    <w:rsid w:val="003C5231"/>
    <w:rsid w:val="003C5BCE"/>
    <w:rsid w:val="003C6951"/>
    <w:rsid w:val="003C78BF"/>
    <w:rsid w:val="003D2E9C"/>
    <w:rsid w:val="003D3E6A"/>
    <w:rsid w:val="003D659B"/>
    <w:rsid w:val="003D6ADD"/>
    <w:rsid w:val="003D6DCA"/>
    <w:rsid w:val="003E0F47"/>
    <w:rsid w:val="003E249A"/>
    <w:rsid w:val="003E41A7"/>
    <w:rsid w:val="003E4F00"/>
    <w:rsid w:val="003E66A9"/>
    <w:rsid w:val="003E7188"/>
    <w:rsid w:val="003E7886"/>
    <w:rsid w:val="003F26B0"/>
    <w:rsid w:val="003F65D2"/>
    <w:rsid w:val="004009FD"/>
    <w:rsid w:val="00404727"/>
    <w:rsid w:val="00404A7C"/>
    <w:rsid w:val="00411ED0"/>
    <w:rsid w:val="00416F84"/>
    <w:rsid w:val="00417798"/>
    <w:rsid w:val="00417CE6"/>
    <w:rsid w:val="0042095D"/>
    <w:rsid w:val="0042497F"/>
    <w:rsid w:val="00431618"/>
    <w:rsid w:val="00431C77"/>
    <w:rsid w:val="00440720"/>
    <w:rsid w:val="004421D1"/>
    <w:rsid w:val="00442712"/>
    <w:rsid w:val="00443F36"/>
    <w:rsid w:val="0044575D"/>
    <w:rsid w:val="004507A5"/>
    <w:rsid w:val="00451AC0"/>
    <w:rsid w:val="004545CE"/>
    <w:rsid w:val="0045497E"/>
    <w:rsid w:val="00456A9A"/>
    <w:rsid w:val="00457AE1"/>
    <w:rsid w:val="004625F6"/>
    <w:rsid w:val="00470810"/>
    <w:rsid w:val="0047326F"/>
    <w:rsid w:val="00473785"/>
    <w:rsid w:val="00485CE6"/>
    <w:rsid w:val="004870BE"/>
    <w:rsid w:val="00492562"/>
    <w:rsid w:val="00495D29"/>
    <w:rsid w:val="004A0E18"/>
    <w:rsid w:val="004A356B"/>
    <w:rsid w:val="004A657E"/>
    <w:rsid w:val="004A67C4"/>
    <w:rsid w:val="004B1503"/>
    <w:rsid w:val="004B1C75"/>
    <w:rsid w:val="004B1F1C"/>
    <w:rsid w:val="004B3E1D"/>
    <w:rsid w:val="004B42CD"/>
    <w:rsid w:val="004B64CB"/>
    <w:rsid w:val="004C01CE"/>
    <w:rsid w:val="004C133F"/>
    <w:rsid w:val="004C248B"/>
    <w:rsid w:val="004C44EE"/>
    <w:rsid w:val="004C7DCE"/>
    <w:rsid w:val="004D1CFA"/>
    <w:rsid w:val="004D3306"/>
    <w:rsid w:val="004D350E"/>
    <w:rsid w:val="004D36C3"/>
    <w:rsid w:val="004D422E"/>
    <w:rsid w:val="004E60BB"/>
    <w:rsid w:val="004E641B"/>
    <w:rsid w:val="004E7B1F"/>
    <w:rsid w:val="004F04CF"/>
    <w:rsid w:val="004F0F5F"/>
    <w:rsid w:val="004F2149"/>
    <w:rsid w:val="004F2F14"/>
    <w:rsid w:val="004F5463"/>
    <w:rsid w:val="004F59A6"/>
    <w:rsid w:val="004F5E22"/>
    <w:rsid w:val="0050090E"/>
    <w:rsid w:val="00502511"/>
    <w:rsid w:val="005031BF"/>
    <w:rsid w:val="00503730"/>
    <w:rsid w:val="00503F45"/>
    <w:rsid w:val="00505F3C"/>
    <w:rsid w:val="00507FE8"/>
    <w:rsid w:val="00510296"/>
    <w:rsid w:val="0051599F"/>
    <w:rsid w:val="0052064A"/>
    <w:rsid w:val="00522AC2"/>
    <w:rsid w:val="00522B2F"/>
    <w:rsid w:val="00522EEE"/>
    <w:rsid w:val="00530F84"/>
    <w:rsid w:val="00532FE5"/>
    <w:rsid w:val="005342E3"/>
    <w:rsid w:val="005355FC"/>
    <w:rsid w:val="005359D1"/>
    <w:rsid w:val="005362AA"/>
    <w:rsid w:val="0054031B"/>
    <w:rsid w:val="00543AA0"/>
    <w:rsid w:val="00543F6F"/>
    <w:rsid w:val="00543F90"/>
    <w:rsid w:val="00544C7C"/>
    <w:rsid w:val="005454D3"/>
    <w:rsid w:val="00550F65"/>
    <w:rsid w:val="0056013B"/>
    <w:rsid w:val="00566628"/>
    <w:rsid w:val="00567337"/>
    <w:rsid w:val="00570A25"/>
    <w:rsid w:val="0057139D"/>
    <w:rsid w:val="005756B0"/>
    <w:rsid w:val="00576285"/>
    <w:rsid w:val="00586F94"/>
    <w:rsid w:val="005916E2"/>
    <w:rsid w:val="0059368E"/>
    <w:rsid w:val="00595406"/>
    <w:rsid w:val="005A302E"/>
    <w:rsid w:val="005A3B53"/>
    <w:rsid w:val="005A3F2C"/>
    <w:rsid w:val="005A4BAF"/>
    <w:rsid w:val="005A5142"/>
    <w:rsid w:val="005A6B58"/>
    <w:rsid w:val="005B124A"/>
    <w:rsid w:val="005B2CC7"/>
    <w:rsid w:val="005B6A19"/>
    <w:rsid w:val="005C4608"/>
    <w:rsid w:val="005C4B3A"/>
    <w:rsid w:val="005C7FF3"/>
    <w:rsid w:val="005D35CD"/>
    <w:rsid w:val="005D52FC"/>
    <w:rsid w:val="005D5D86"/>
    <w:rsid w:val="005D6679"/>
    <w:rsid w:val="005D7117"/>
    <w:rsid w:val="005E1420"/>
    <w:rsid w:val="005E1BF6"/>
    <w:rsid w:val="005E2968"/>
    <w:rsid w:val="005E372E"/>
    <w:rsid w:val="005E3E09"/>
    <w:rsid w:val="005E40F3"/>
    <w:rsid w:val="005E43DF"/>
    <w:rsid w:val="005F1E5B"/>
    <w:rsid w:val="005F44B5"/>
    <w:rsid w:val="00600132"/>
    <w:rsid w:val="00601B1F"/>
    <w:rsid w:val="00601EF1"/>
    <w:rsid w:val="00612CA8"/>
    <w:rsid w:val="00615322"/>
    <w:rsid w:val="00615573"/>
    <w:rsid w:val="00620581"/>
    <w:rsid w:val="006205C0"/>
    <w:rsid w:val="00621D1B"/>
    <w:rsid w:val="00622A95"/>
    <w:rsid w:val="00622BFD"/>
    <w:rsid w:val="00625037"/>
    <w:rsid w:val="00626AB9"/>
    <w:rsid w:val="00626B91"/>
    <w:rsid w:val="0063033E"/>
    <w:rsid w:val="00630D89"/>
    <w:rsid w:val="00634CC6"/>
    <w:rsid w:val="00637020"/>
    <w:rsid w:val="0063715B"/>
    <w:rsid w:val="0063719F"/>
    <w:rsid w:val="00640197"/>
    <w:rsid w:val="0064033C"/>
    <w:rsid w:val="00640FEF"/>
    <w:rsid w:val="0064403E"/>
    <w:rsid w:val="006563BD"/>
    <w:rsid w:val="00656D70"/>
    <w:rsid w:val="00656DFE"/>
    <w:rsid w:val="006573A2"/>
    <w:rsid w:val="006620AE"/>
    <w:rsid w:val="00662F75"/>
    <w:rsid w:val="00663088"/>
    <w:rsid w:val="0066372B"/>
    <w:rsid w:val="006717BD"/>
    <w:rsid w:val="00680B4A"/>
    <w:rsid w:val="006810AB"/>
    <w:rsid w:val="00681C3A"/>
    <w:rsid w:val="00684258"/>
    <w:rsid w:val="006868E7"/>
    <w:rsid w:val="00692629"/>
    <w:rsid w:val="0069313A"/>
    <w:rsid w:val="00697509"/>
    <w:rsid w:val="006A1175"/>
    <w:rsid w:val="006A2E0C"/>
    <w:rsid w:val="006B309B"/>
    <w:rsid w:val="006B444F"/>
    <w:rsid w:val="006C190A"/>
    <w:rsid w:val="006C5513"/>
    <w:rsid w:val="006D2658"/>
    <w:rsid w:val="006D312B"/>
    <w:rsid w:val="006D3D58"/>
    <w:rsid w:val="006E68C5"/>
    <w:rsid w:val="006E68FF"/>
    <w:rsid w:val="006E774D"/>
    <w:rsid w:val="006F19CD"/>
    <w:rsid w:val="006F3504"/>
    <w:rsid w:val="006F387E"/>
    <w:rsid w:val="006F3F7B"/>
    <w:rsid w:val="006F494B"/>
    <w:rsid w:val="006F6464"/>
    <w:rsid w:val="00702E9B"/>
    <w:rsid w:val="007111C2"/>
    <w:rsid w:val="00712C4F"/>
    <w:rsid w:val="0071317A"/>
    <w:rsid w:val="007146D6"/>
    <w:rsid w:val="00716200"/>
    <w:rsid w:val="007164D1"/>
    <w:rsid w:val="00717550"/>
    <w:rsid w:val="00724E33"/>
    <w:rsid w:val="00730623"/>
    <w:rsid w:val="00730E34"/>
    <w:rsid w:val="00731C54"/>
    <w:rsid w:val="007324E5"/>
    <w:rsid w:val="00736F59"/>
    <w:rsid w:val="00742D10"/>
    <w:rsid w:val="00743E25"/>
    <w:rsid w:val="00760BE2"/>
    <w:rsid w:val="00761960"/>
    <w:rsid w:val="007619A7"/>
    <w:rsid w:val="0076241C"/>
    <w:rsid w:val="0076297B"/>
    <w:rsid w:val="007635CF"/>
    <w:rsid w:val="00764778"/>
    <w:rsid w:val="00765924"/>
    <w:rsid w:val="00766DC5"/>
    <w:rsid w:val="0076711F"/>
    <w:rsid w:val="00770D53"/>
    <w:rsid w:val="00771CF1"/>
    <w:rsid w:val="00792167"/>
    <w:rsid w:val="00793A37"/>
    <w:rsid w:val="00793C8E"/>
    <w:rsid w:val="007A19C5"/>
    <w:rsid w:val="007A5DB4"/>
    <w:rsid w:val="007B142E"/>
    <w:rsid w:val="007B1D94"/>
    <w:rsid w:val="007B3B7E"/>
    <w:rsid w:val="007B56E1"/>
    <w:rsid w:val="007B6B52"/>
    <w:rsid w:val="007B7F33"/>
    <w:rsid w:val="007C0301"/>
    <w:rsid w:val="007C1A65"/>
    <w:rsid w:val="007C401E"/>
    <w:rsid w:val="007D074D"/>
    <w:rsid w:val="007D27AF"/>
    <w:rsid w:val="007D3408"/>
    <w:rsid w:val="007D40FB"/>
    <w:rsid w:val="007D5E40"/>
    <w:rsid w:val="007E20F2"/>
    <w:rsid w:val="007E4CB0"/>
    <w:rsid w:val="007E4F38"/>
    <w:rsid w:val="007E52B6"/>
    <w:rsid w:val="007F0E7E"/>
    <w:rsid w:val="007F29C3"/>
    <w:rsid w:val="007F632D"/>
    <w:rsid w:val="007F638D"/>
    <w:rsid w:val="007F6A39"/>
    <w:rsid w:val="007F7FE2"/>
    <w:rsid w:val="0080167D"/>
    <w:rsid w:val="00803741"/>
    <w:rsid w:val="00805521"/>
    <w:rsid w:val="0080645B"/>
    <w:rsid w:val="00807E0F"/>
    <w:rsid w:val="0081387B"/>
    <w:rsid w:val="0081613C"/>
    <w:rsid w:val="00823018"/>
    <w:rsid w:val="0082392D"/>
    <w:rsid w:val="00824A73"/>
    <w:rsid w:val="00825F1C"/>
    <w:rsid w:val="0082651F"/>
    <w:rsid w:val="00826F09"/>
    <w:rsid w:val="0082770B"/>
    <w:rsid w:val="008303A1"/>
    <w:rsid w:val="0083587C"/>
    <w:rsid w:val="008360AA"/>
    <w:rsid w:val="0084159B"/>
    <w:rsid w:val="00842305"/>
    <w:rsid w:val="008475E2"/>
    <w:rsid w:val="00850139"/>
    <w:rsid w:val="00851B07"/>
    <w:rsid w:val="00855746"/>
    <w:rsid w:val="00856F2A"/>
    <w:rsid w:val="008570F5"/>
    <w:rsid w:val="00857645"/>
    <w:rsid w:val="00860488"/>
    <w:rsid w:val="008714A8"/>
    <w:rsid w:val="00873E86"/>
    <w:rsid w:val="008830A7"/>
    <w:rsid w:val="0088636B"/>
    <w:rsid w:val="00893350"/>
    <w:rsid w:val="0089435B"/>
    <w:rsid w:val="0089472E"/>
    <w:rsid w:val="00897EC4"/>
    <w:rsid w:val="008A0BFF"/>
    <w:rsid w:val="008A15EE"/>
    <w:rsid w:val="008A1C7B"/>
    <w:rsid w:val="008A2023"/>
    <w:rsid w:val="008A3EE5"/>
    <w:rsid w:val="008A4B45"/>
    <w:rsid w:val="008A5669"/>
    <w:rsid w:val="008A733F"/>
    <w:rsid w:val="008B109E"/>
    <w:rsid w:val="008B4C78"/>
    <w:rsid w:val="008B768B"/>
    <w:rsid w:val="008C03F6"/>
    <w:rsid w:val="008C57EB"/>
    <w:rsid w:val="008C68A2"/>
    <w:rsid w:val="008C7E44"/>
    <w:rsid w:val="008D0149"/>
    <w:rsid w:val="008D0373"/>
    <w:rsid w:val="008D0BF2"/>
    <w:rsid w:val="008D28EF"/>
    <w:rsid w:val="008D2DF6"/>
    <w:rsid w:val="008D6430"/>
    <w:rsid w:val="008D685F"/>
    <w:rsid w:val="008E4E08"/>
    <w:rsid w:val="008E769F"/>
    <w:rsid w:val="008F1E2F"/>
    <w:rsid w:val="008F6CEB"/>
    <w:rsid w:val="008F7DDF"/>
    <w:rsid w:val="009116F6"/>
    <w:rsid w:val="00911717"/>
    <w:rsid w:val="009154B9"/>
    <w:rsid w:val="00916BAA"/>
    <w:rsid w:val="00916BDA"/>
    <w:rsid w:val="009207B8"/>
    <w:rsid w:val="00926B46"/>
    <w:rsid w:val="009309F6"/>
    <w:rsid w:val="00935E38"/>
    <w:rsid w:val="009401BC"/>
    <w:rsid w:val="00941759"/>
    <w:rsid w:val="00943ECF"/>
    <w:rsid w:val="009451E5"/>
    <w:rsid w:val="00951F03"/>
    <w:rsid w:val="009525BB"/>
    <w:rsid w:val="0095362F"/>
    <w:rsid w:val="00954F46"/>
    <w:rsid w:val="00954FA9"/>
    <w:rsid w:val="0095624B"/>
    <w:rsid w:val="00963E1D"/>
    <w:rsid w:val="00964759"/>
    <w:rsid w:val="009747D3"/>
    <w:rsid w:val="009814D9"/>
    <w:rsid w:val="0098399D"/>
    <w:rsid w:val="00984230"/>
    <w:rsid w:val="009857CE"/>
    <w:rsid w:val="009857E2"/>
    <w:rsid w:val="00986156"/>
    <w:rsid w:val="009878C8"/>
    <w:rsid w:val="00995E38"/>
    <w:rsid w:val="00997C0E"/>
    <w:rsid w:val="009A19A5"/>
    <w:rsid w:val="009A4F30"/>
    <w:rsid w:val="009A55D1"/>
    <w:rsid w:val="009A5D8E"/>
    <w:rsid w:val="009B24FD"/>
    <w:rsid w:val="009B29C6"/>
    <w:rsid w:val="009B2AD7"/>
    <w:rsid w:val="009B3313"/>
    <w:rsid w:val="009B3518"/>
    <w:rsid w:val="009C556D"/>
    <w:rsid w:val="009C5730"/>
    <w:rsid w:val="009C70E4"/>
    <w:rsid w:val="009D1225"/>
    <w:rsid w:val="009D18A1"/>
    <w:rsid w:val="009D1EE7"/>
    <w:rsid w:val="009D3436"/>
    <w:rsid w:val="009D764C"/>
    <w:rsid w:val="009E057E"/>
    <w:rsid w:val="009E3FAA"/>
    <w:rsid w:val="009E593D"/>
    <w:rsid w:val="009E5DD2"/>
    <w:rsid w:val="009E6CE1"/>
    <w:rsid w:val="009E74B7"/>
    <w:rsid w:val="009F3290"/>
    <w:rsid w:val="009F5A47"/>
    <w:rsid w:val="009F5C44"/>
    <w:rsid w:val="00A01097"/>
    <w:rsid w:val="00A02F72"/>
    <w:rsid w:val="00A04829"/>
    <w:rsid w:val="00A05F9B"/>
    <w:rsid w:val="00A10183"/>
    <w:rsid w:val="00A1266F"/>
    <w:rsid w:val="00A152DF"/>
    <w:rsid w:val="00A15A2F"/>
    <w:rsid w:val="00A15BEF"/>
    <w:rsid w:val="00A200C4"/>
    <w:rsid w:val="00A21F90"/>
    <w:rsid w:val="00A25081"/>
    <w:rsid w:val="00A269A5"/>
    <w:rsid w:val="00A328EA"/>
    <w:rsid w:val="00A35164"/>
    <w:rsid w:val="00A3614C"/>
    <w:rsid w:val="00A36AB8"/>
    <w:rsid w:val="00A40C06"/>
    <w:rsid w:val="00A42C22"/>
    <w:rsid w:val="00A45212"/>
    <w:rsid w:val="00A473B3"/>
    <w:rsid w:val="00A50151"/>
    <w:rsid w:val="00A61086"/>
    <w:rsid w:val="00A70794"/>
    <w:rsid w:val="00A7176C"/>
    <w:rsid w:val="00A760BB"/>
    <w:rsid w:val="00A80BFC"/>
    <w:rsid w:val="00A81205"/>
    <w:rsid w:val="00A81C2B"/>
    <w:rsid w:val="00A854EC"/>
    <w:rsid w:val="00A877E6"/>
    <w:rsid w:val="00A9541E"/>
    <w:rsid w:val="00A964F5"/>
    <w:rsid w:val="00AA0A86"/>
    <w:rsid w:val="00AA11C2"/>
    <w:rsid w:val="00AA3052"/>
    <w:rsid w:val="00AA513C"/>
    <w:rsid w:val="00AA5BFF"/>
    <w:rsid w:val="00AA76AB"/>
    <w:rsid w:val="00AB0065"/>
    <w:rsid w:val="00AB1684"/>
    <w:rsid w:val="00AB38C1"/>
    <w:rsid w:val="00AB3A2C"/>
    <w:rsid w:val="00AB5312"/>
    <w:rsid w:val="00AC173C"/>
    <w:rsid w:val="00AC4D61"/>
    <w:rsid w:val="00AD03AA"/>
    <w:rsid w:val="00AD048F"/>
    <w:rsid w:val="00AD6D32"/>
    <w:rsid w:val="00AE0538"/>
    <w:rsid w:val="00AF11C4"/>
    <w:rsid w:val="00AF22B9"/>
    <w:rsid w:val="00AF3748"/>
    <w:rsid w:val="00B006F6"/>
    <w:rsid w:val="00B07C75"/>
    <w:rsid w:val="00B1273B"/>
    <w:rsid w:val="00B12DEB"/>
    <w:rsid w:val="00B14BF0"/>
    <w:rsid w:val="00B15EBE"/>
    <w:rsid w:val="00B16E08"/>
    <w:rsid w:val="00B1784A"/>
    <w:rsid w:val="00B20189"/>
    <w:rsid w:val="00B25598"/>
    <w:rsid w:val="00B265BB"/>
    <w:rsid w:val="00B27113"/>
    <w:rsid w:val="00B2775C"/>
    <w:rsid w:val="00B305B9"/>
    <w:rsid w:val="00B328E3"/>
    <w:rsid w:val="00B354AA"/>
    <w:rsid w:val="00B35CF3"/>
    <w:rsid w:val="00B362C3"/>
    <w:rsid w:val="00B378D1"/>
    <w:rsid w:val="00B41A93"/>
    <w:rsid w:val="00B42357"/>
    <w:rsid w:val="00B445D1"/>
    <w:rsid w:val="00B465D7"/>
    <w:rsid w:val="00B47C2C"/>
    <w:rsid w:val="00B539B1"/>
    <w:rsid w:val="00B53EA3"/>
    <w:rsid w:val="00B546FD"/>
    <w:rsid w:val="00B54DCC"/>
    <w:rsid w:val="00B5571F"/>
    <w:rsid w:val="00B55A62"/>
    <w:rsid w:val="00B56223"/>
    <w:rsid w:val="00B56A7A"/>
    <w:rsid w:val="00B60581"/>
    <w:rsid w:val="00B660D8"/>
    <w:rsid w:val="00B6676D"/>
    <w:rsid w:val="00B66D5D"/>
    <w:rsid w:val="00B71C8B"/>
    <w:rsid w:val="00B72A7C"/>
    <w:rsid w:val="00B7600D"/>
    <w:rsid w:val="00B8030D"/>
    <w:rsid w:val="00B83E06"/>
    <w:rsid w:val="00B871A7"/>
    <w:rsid w:val="00B87AE2"/>
    <w:rsid w:val="00B911E2"/>
    <w:rsid w:val="00B92F54"/>
    <w:rsid w:val="00B93438"/>
    <w:rsid w:val="00B954AD"/>
    <w:rsid w:val="00B97055"/>
    <w:rsid w:val="00B97A70"/>
    <w:rsid w:val="00BA161A"/>
    <w:rsid w:val="00BA1A63"/>
    <w:rsid w:val="00BA2376"/>
    <w:rsid w:val="00BA266C"/>
    <w:rsid w:val="00BA33E1"/>
    <w:rsid w:val="00BA5543"/>
    <w:rsid w:val="00BA610A"/>
    <w:rsid w:val="00BB14C9"/>
    <w:rsid w:val="00BB36D5"/>
    <w:rsid w:val="00BB50CD"/>
    <w:rsid w:val="00BB7105"/>
    <w:rsid w:val="00BC03AB"/>
    <w:rsid w:val="00BC4129"/>
    <w:rsid w:val="00BC43F9"/>
    <w:rsid w:val="00BC64A6"/>
    <w:rsid w:val="00BC6EC4"/>
    <w:rsid w:val="00BD000A"/>
    <w:rsid w:val="00BD378F"/>
    <w:rsid w:val="00BD6E17"/>
    <w:rsid w:val="00BD7F61"/>
    <w:rsid w:val="00BE6214"/>
    <w:rsid w:val="00BF0219"/>
    <w:rsid w:val="00BF1A90"/>
    <w:rsid w:val="00BF2EC0"/>
    <w:rsid w:val="00BF4306"/>
    <w:rsid w:val="00BF5892"/>
    <w:rsid w:val="00C0272C"/>
    <w:rsid w:val="00C03B9B"/>
    <w:rsid w:val="00C04D18"/>
    <w:rsid w:val="00C05D80"/>
    <w:rsid w:val="00C07757"/>
    <w:rsid w:val="00C110C8"/>
    <w:rsid w:val="00C1113D"/>
    <w:rsid w:val="00C1348F"/>
    <w:rsid w:val="00C202B0"/>
    <w:rsid w:val="00C33482"/>
    <w:rsid w:val="00C426C5"/>
    <w:rsid w:val="00C42A53"/>
    <w:rsid w:val="00C43B25"/>
    <w:rsid w:val="00C4603E"/>
    <w:rsid w:val="00C46448"/>
    <w:rsid w:val="00C50EAD"/>
    <w:rsid w:val="00C5305A"/>
    <w:rsid w:val="00C53500"/>
    <w:rsid w:val="00C544B3"/>
    <w:rsid w:val="00C57481"/>
    <w:rsid w:val="00C57715"/>
    <w:rsid w:val="00C6292F"/>
    <w:rsid w:val="00C6675E"/>
    <w:rsid w:val="00C6741F"/>
    <w:rsid w:val="00C705C1"/>
    <w:rsid w:val="00C70FF5"/>
    <w:rsid w:val="00C71177"/>
    <w:rsid w:val="00C808B7"/>
    <w:rsid w:val="00C849CD"/>
    <w:rsid w:val="00C86354"/>
    <w:rsid w:val="00CA0E35"/>
    <w:rsid w:val="00CA25F7"/>
    <w:rsid w:val="00CB40F5"/>
    <w:rsid w:val="00CB6521"/>
    <w:rsid w:val="00CB6A05"/>
    <w:rsid w:val="00CC2A3A"/>
    <w:rsid w:val="00CC2EE1"/>
    <w:rsid w:val="00CC3FD4"/>
    <w:rsid w:val="00CC5670"/>
    <w:rsid w:val="00CD0D2C"/>
    <w:rsid w:val="00CD1DE7"/>
    <w:rsid w:val="00CD65C8"/>
    <w:rsid w:val="00CD75DD"/>
    <w:rsid w:val="00CE1455"/>
    <w:rsid w:val="00CE4725"/>
    <w:rsid w:val="00CE5820"/>
    <w:rsid w:val="00CE620B"/>
    <w:rsid w:val="00CE6F86"/>
    <w:rsid w:val="00CF48DA"/>
    <w:rsid w:val="00CF4CB7"/>
    <w:rsid w:val="00CF539B"/>
    <w:rsid w:val="00CF6457"/>
    <w:rsid w:val="00D01163"/>
    <w:rsid w:val="00D02806"/>
    <w:rsid w:val="00D04B8E"/>
    <w:rsid w:val="00D04EC5"/>
    <w:rsid w:val="00D058C5"/>
    <w:rsid w:val="00D13575"/>
    <w:rsid w:val="00D1377F"/>
    <w:rsid w:val="00D14D59"/>
    <w:rsid w:val="00D20937"/>
    <w:rsid w:val="00D21187"/>
    <w:rsid w:val="00D21337"/>
    <w:rsid w:val="00D22B06"/>
    <w:rsid w:val="00D22CA4"/>
    <w:rsid w:val="00D23A48"/>
    <w:rsid w:val="00D27E21"/>
    <w:rsid w:val="00D30A60"/>
    <w:rsid w:val="00D3160B"/>
    <w:rsid w:val="00D35638"/>
    <w:rsid w:val="00D37338"/>
    <w:rsid w:val="00D42061"/>
    <w:rsid w:val="00D43C64"/>
    <w:rsid w:val="00D441FB"/>
    <w:rsid w:val="00D47E07"/>
    <w:rsid w:val="00D521D9"/>
    <w:rsid w:val="00D5430E"/>
    <w:rsid w:val="00D54845"/>
    <w:rsid w:val="00D56443"/>
    <w:rsid w:val="00D5724C"/>
    <w:rsid w:val="00D6046E"/>
    <w:rsid w:val="00D614C8"/>
    <w:rsid w:val="00D66386"/>
    <w:rsid w:val="00D6721B"/>
    <w:rsid w:val="00D71B10"/>
    <w:rsid w:val="00D800F4"/>
    <w:rsid w:val="00D80AE0"/>
    <w:rsid w:val="00D80B46"/>
    <w:rsid w:val="00D80CDD"/>
    <w:rsid w:val="00D82E4C"/>
    <w:rsid w:val="00D82FA1"/>
    <w:rsid w:val="00D87AA7"/>
    <w:rsid w:val="00D87B3B"/>
    <w:rsid w:val="00D90D4D"/>
    <w:rsid w:val="00D90E6C"/>
    <w:rsid w:val="00D92B4D"/>
    <w:rsid w:val="00D95DD4"/>
    <w:rsid w:val="00D96DE8"/>
    <w:rsid w:val="00D97303"/>
    <w:rsid w:val="00DA0E88"/>
    <w:rsid w:val="00DA2ED8"/>
    <w:rsid w:val="00DA318D"/>
    <w:rsid w:val="00DA395F"/>
    <w:rsid w:val="00DA614A"/>
    <w:rsid w:val="00DB06C7"/>
    <w:rsid w:val="00DB224D"/>
    <w:rsid w:val="00DB3498"/>
    <w:rsid w:val="00DB36D4"/>
    <w:rsid w:val="00DB57DB"/>
    <w:rsid w:val="00DC02F3"/>
    <w:rsid w:val="00DC2F04"/>
    <w:rsid w:val="00DC704B"/>
    <w:rsid w:val="00DD03F6"/>
    <w:rsid w:val="00DD3378"/>
    <w:rsid w:val="00DD7E25"/>
    <w:rsid w:val="00DE0129"/>
    <w:rsid w:val="00DE179A"/>
    <w:rsid w:val="00DE19C2"/>
    <w:rsid w:val="00DE3A97"/>
    <w:rsid w:val="00DE7EDC"/>
    <w:rsid w:val="00DF1101"/>
    <w:rsid w:val="00DF1122"/>
    <w:rsid w:val="00DF11FF"/>
    <w:rsid w:val="00DF5C9D"/>
    <w:rsid w:val="00DF74F5"/>
    <w:rsid w:val="00E0055F"/>
    <w:rsid w:val="00E01AF2"/>
    <w:rsid w:val="00E0292B"/>
    <w:rsid w:val="00E06F6B"/>
    <w:rsid w:val="00E0708D"/>
    <w:rsid w:val="00E07DCB"/>
    <w:rsid w:val="00E14B75"/>
    <w:rsid w:val="00E21086"/>
    <w:rsid w:val="00E21A42"/>
    <w:rsid w:val="00E23350"/>
    <w:rsid w:val="00E23490"/>
    <w:rsid w:val="00E23951"/>
    <w:rsid w:val="00E23DED"/>
    <w:rsid w:val="00E25191"/>
    <w:rsid w:val="00E262F5"/>
    <w:rsid w:val="00E268A7"/>
    <w:rsid w:val="00E26B02"/>
    <w:rsid w:val="00E2716A"/>
    <w:rsid w:val="00E277A8"/>
    <w:rsid w:val="00E27B1E"/>
    <w:rsid w:val="00E314A7"/>
    <w:rsid w:val="00E31913"/>
    <w:rsid w:val="00E325ED"/>
    <w:rsid w:val="00E376F1"/>
    <w:rsid w:val="00E4056A"/>
    <w:rsid w:val="00E422BB"/>
    <w:rsid w:val="00E43BA7"/>
    <w:rsid w:val="00E50D3D"/>
    <w:rsid w:val="00E512B5"/>
    <w:rsid w:val="00E528E2"/>
    <w:rsid w:val="00E52C7C"/>
    <w:rsid w:val="00E545F3"/>
    <w:rsid w:val="00E55D32"/>
    <w:rsid w:val="00E563A7"/>
    <w:rsid w:val="00E623D8"/>
    <w:rsid w:val="00E63102"/>
    <w:rsid w:val="00E63723"/>
    <w:rsid w:val="00E63CC0"/>
    <w:rsid w:val="00E63F31"/>
    <w:rsid w:val="00E651CA"/>
    <w:rsid w:val="00E65DA5"/>
    <w:rsid w:val="00E6714A"/>
    <w:rsid w:val="00E672BA"/>
    <w:rsid w:val="00E72126"/>
    <w:rsid w:val="00E74F8F"/>
    <w:rsid w:val="00E77019"/>
    <w:rsid w:val="00E778C3"/>
    <w:rsid w:val="00E818B6"/>
    <w:rsid w:val="00E81B6B"/>
    <w:rsid w:val="00E83207"/>
    <w:rsid w:val="00E851C9"/>
    <w:rsid w:val="00E85305"/>
    <w:rsid w:val="00E86853"/>
    <w:rsid w:val="00E86FA0"/>
    <w:rsid w:val="00E87C01"/>
    <w:rsid w:val="00E938F6"/>
    <w:rsid w:val="00E972F2"/>
    <w:rsid w:val="00EA02B2"/>
    <w:rsid w:val="00EA04D8"/>
    <w:rsid w:val="00EA280C"/>
    <w:rsid w:val="00EA6EE8"/>
    <w:rsid w:val="00EB06B6"/>
    <w:rsid w:val="00EB59AF"/>
    <w:rsid w:val="00EB60AE"/>
    <w:rsid w:val="00EC2BF7"/>
    <w:rsid w:val="00EC366C"/>
    <w:rsid w:val="00EC434B"/>
    <w:rsid w:val="00EC548E"/>
    <w:rsid w:val="00ED14A3"/>
    <w:rsid w:val="00ED2CDE"/>
    <w:rsid w:val="00ED5E23"/>
    <w:rsid w:val="00ED70B0"/>
    <w:rsid w:val="00EE2D77"/>
    <w:rsid w:val="00EE2EB4"/>
    <w:rsid w:val="00EE40E3"/>
    <w:rsid w:val="00EE77DB"/>
    <w:rsid w:val="00EF278F"/>
    <w:rsid w:val="00EF32F0"/>
    <w:rsid w:val="00EF34AF"/>
    <w:rsid w:val="00EF5526"/>
    <w:rsid w:val="00EF5A08"/>
    <w:rsid w:val="00F002CE"/>
    <w:rsid w:val="00F035F7"/>
    <w:rsid w:val="00F03B7F"/>
    <w:rsid w:val="00F057BE"/>
    <w:rsid w:val="00F06F00"/>
    <w:rsid w:val="00F1199F"/>
    <w:rsid w:val="00F15778"/>
    <w:rsid w:val="00F213D2"/>
    <w:rsid w:val="00F23251"/>
    <w:rsid w:val="00F24DA6"/>
    <w:rsid w:val="00F251E4"/>
    <w:rsid w:val="00F27885"/>
    <w:rsid w:val="00F27BA4"/>
    <w:rsid w:val="00F36A78"/>
    <w:rsid w:val="00F36EC4"/>
    <w:rsid w:val="00F40191"/>
    <w:rsid w:val="00F4292B"/>
    <w:rsid w:val="00F429DB"/>
    <w:rsid w:val="00F437F7"/>
    <w:rsid w:val="00F441B1"/>
    <w:rsid w:val="00F46998"/>
    <w:rsid w:val="00F46F79"/>
    <w:rsid w:val="00F53C05"/>
    <w:rsid w:val="00F55B69"/>
    <w:rsid w:val="00F603D2"/>
    <w:rsid w:val="00F61392"/>
    <w:rsid w:val="00F63D23"/>
    <w:rsid w:val="00F64C7E"/>
    <w:rsid w:val="00F66DC4"/>
    <w:rsid w:val="00F7241E"/>
    <w:rsid w:val="00F73F2B"/>
    <w:rsid w:val="00F76838"/>
    <w:rsid w:val="00F80638"/>
    <w:rsid w:val="00F80D22"/>
    <w:rsid w:val="00F83E14"/>
    <w:rsid w:val="00F84CE7"/>
    <w:rsid w:val="00F85BC3"/>
    <w:rsid w:val="00F86350"/>
    <w:rsid w:val="00F869B4"/>
    <w:rsid w:val="00F95354"/>
    <w:rsid w:val="00F96ED1"/>
    <w:rsid w:val="00F97536"/>
    <w:rsid w:val="00FA48D9"/>
    <w:rsid w:val="00FA4FFB"/>
    <w:rsid w:val="00FB5D0C"/>
    <w:rsid w:val="00FB70B7"/>
    <w:rsid w:val="00FC2E84"/>
    <w:rsid w:val="00FC62D8"/>
    <w:rsid w:val="00FC717B"/>
    <w:rsid w:val="00FC7F8A"/>
    <w:rsid w:val="00FD0193"/>
    <w:rsid w:val="00FD131B"/>
    <w:rsid w:val="00FD1FA5"/>
    <w:rsid w:val="00FD58C9"/>
    <w:rsid w:val="00FE048B"/>
    <w:rsid w:val="00FE10B5"/>
    <w:rsid w:val="00FE1293"/>
    <w:rsid w:val="00FE1382"/>
    <w:rsid w:val="00FE399B"/>
    <w:rsid w:val="00FE4D8B"/>
    <w:rsid w:val="00FE5E2E"/>
    <w:rsid w:val="00FE7141"/>
    <w:rsid w:val="00FF204B"/>
    <w:rsid w:val="00FF4FDB"/>
    <w:rsid w:val="00FF7ADC"/>
    <w:rsid w:val="00FF7CCF"/>
    <w:rsid w:val="349B7FA1"/>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DE6B8"/>
  <w15:chartTrackingRefBased/>
  <w15:docId w15:val="{F29F8F1F-F0F8-47F7-9648-879A1544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2B6"/>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2F4D2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4F0F5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0B255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customStyle="1" w:styleId="Default">
    <w:name w:val="Default"/>
    <w:rsid w:val="0047326F"/>
    <w:pPr>
      <w:autoSpaceDE w:val="0"/>
      <w:autoSpaceDN w:val="0"/>
      <w:adjustRightInd w:val="0"/>
      <w:spacing w:after="0" w:line="240" w:lineRule="auto"/>
    </w:pPr>
    <w:rPr>
      <w:rFonts w:ascii="Arial" w:eastAsiaTheme="minorEastAsia" w:hAnsi="Arial" w:cs="Arial"/>
      <w:color w:val="000000"/>
      <w:sz w:val="24"/>
      <w:szCs w:val="24"/>
      <w:lang w:eastAsia="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uiPriority w:val="99"/>
    <w:qFormat/>
    <w:locked/>
    <w:rsid w:val="00D42061"/>
    <w:rPr>
      <w:sz w:val="20"/>
      <w:szCs w:val="2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iPriority w:val="99"/>
    <w:unhideWhenUsed/>
    <w:qFormat/>
    <w:rsid w:val="00D42061"/>
    <w:pPr>
      <w:widowControl/>
      <w:autoSpaceDE/>
      <w:autoSpaceDN/>
    </w:pPr>
    <w:rPr>
      <w:rFonts w:asciiTheme="minorHAnsi" w:eastAsiaTheme="minorHAnsi" w:hAnsiTheme="minorHAnsi" w:cstheme="minorBidi"/>
      <w:sz w:val="20"/>
      <w:szCs w:val="20"/>
      <w:lang w:val="es-CO"/>
    </w:rPr>
  </w:style>
  <w:style w:type="character" w:customStyle="1" w:styleId="TextonotapieCar1">
    <w:name w:val="Texto nota pie Car1"/>
    <w:basedOn w:val="Fuentedeprrafopredeter"/>
    <w:uiPriority w:val="99"/>
    <w:semiHidden/>
    <w:rsid w:val="00D42061"/>
    <w:rPr>
      <w:rFonts w:ascii="Arial MT" w:eastAsia="Arial MT" w:hAnsi="Arial MT" w:cs="Arial MT"/>
      <w:sz w:val="20"/>
      <w:szCs w:val="20"/>
      <w:lang w:val="es-ES"/>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Ref,F,R"/>
    <w:basedOn w:val="Fuentedeprrafopredeter"/>
    <w:link w:val="4GChar"/>
    <w:uiPriority w:val="99"/>
    <w:unhideWhenUsed/>
    <w:qFormat/>
    <w:rsid w:val="00D42061"/>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D42061"/>
    <w:pPr>
      <w:widowControl/>
      <w:autoSpaceDE/>
      <w:autoSpaceDN/>
      <w:jc w:val="both"/>
    </w:pPr>
    <w:rPr>
      <w:rFonts w:asciiTheme="minorHAnsi" w:eastAsiaTheme="minorHAnsi" w:hAnsiTheme="minorHAnsi" w:cstheme="minorBidi"/>
      <w:vertAlign w:val="superscript"/>
      <w:lang w:val="es-CO"/>
    </w:rPr>
  </w:style>
  <w:style w:type="paragraph" w:styleId="Prrafodelista">
    <w:name w:val="List Paragraph"/>
    <w:aliases w:val="Bullets,titulo 3,List Paragraph,Ha,Nivel 1,Párrafo de lista1,Titulo 7,Párrafo de lista11"/>
    <w:basedOn w:val="Normal"/>
    <w:link w:val="PrrafodelistaCar"/>
    <w:uiPriority w:val="34"/>
    <w:qFormat/>
    <w:rsid w:val="00B27113"/>
    <w:pPr>
      <w:ind w:left="720"/>
      <w:contextualSpacing/>
    </w:pPr>
  </w:style>
  <w:style w:type="character" w:customStyle="1" w:styleId="footnotedescriptionChar">
    <w:name w:val="footnote description Char"/>
    <w:link w:val="footnotedescription"/>
    <w:locked/>
    <w:rsid w:val="00443F36"/>
    <w:rPr>
      <w:rFonts w:ascii="Arial" w:eastAsia="Arial" w:hAnsi="Arial" w:cs="Arial"/>
      <w:color w:val="000000"/>
      <w:sz w:val="16"/>
    </w:rPr>
  </w:style>
  <w:style w:type="paragraph" w:customStyle="1" w:styleId="footnotedescription">
    <w:name w:val="footnote description"/>
    <w:next w:val="Normal"/>
    <w:link w:val="footnotedescriptionChar"/>
    <w:rsid w:val="00443F36"/>
    <w:pPr>
      <w:spacing w:after="0" w:line="256" w:lineRule="auto"/>
      <w:jc w:val="both"/>
    </w:pPr>
    <w:rPr>
      <w:rFonts w:ascii="Arial" w:eastAsia="Arial" w:hAnsi="Arial" w:cs="Arial"/>
      <w:color w:val="000000"/>
      <w:sz w:val="16"/>
    </w:rPr>
  </w:style>
  <w:style w:type="character" w:customStyle="1" w:styleId="footnotemark">
    <w:name w:val="footnote mark"/>
    <w:rsid w:val="00443F36"/>
    <w:rPr>
      <w:rFonts w:ascii="Arial" w:eastAsia="Arial" w:hAnsi="Arial" w:cs="Arial" w:hint="default"/>
      <w:color w:val="000000"/>
      <w:sz w:val="16"/>
      <w:vertAlign w:val="superscript"/>
    </w:rPr>
  </w:style>
  <w:style w:type="character" w:customStyle="1" w:styleId="PrrafodelistaCar">
    <w:name w:val="Párrafo de lista Car"/>
    <w:aliases w:val="Bullets Car,titulo 3 Car,List Paragraph Car,Ha Car,Nivel 1 Car,Párrafo de lista1 Car,Titulo 7 Car,Párrafo de lista11 Car"/>
    <w:link w:val="Prrafodelista"/>
    <w:uiPriority w:val="34"/>
    <w:locked/>
    <w:rsid w:val="009D18A1"/>
    <w:rPr>
      <w:rFonts w:ascii="Arial MT" w:eastAsia="Arial MT" w:hAnsi="Arial MT" w:cs="Arial MT"/>
      <w:lang w:val="es-ES"/>
    </w:rPr>
  </w:style>
  <w:style w:type="paragraph" w:customStyle="1" w:styleId="paragraph">
    <w:name w:val="paragraph"/>
    <w:basedOn w:val="Normal"/>
    <w:rsid w:val="009D18A1"/>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9D18A1"/>
  </w:style>
  <w:style w:type="paragraph" w:styleId="NormalWeb">
    <w:name w:val="Normal (Web)"/>
    <w:basedOn w:val="Normal"/>
    <w:uiPriority w:val="99"/>
    <w:unhideWhenUsed/>
    <w:qFormat/>
    <w:rsid w:val="009D18A1"/>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eop">
    <w:name w:val="eop"/>
    <w:basedOn w:val="Fuentedeprrafopredeter"/>
    <w:rsid w:val="005D35CD"/>
  </w:style>
  <w:style w:type="character" w:customStyle="1" w:styleId="superscript">
    <w:name w:val="superscript"/>
    <w:basedOn w:val="Fuentedeprrafopredeter"/>
    <w:rsid w:val="005D35CD"/>
  </w:style>
  <w:style w:type="paragraph" w:customStyle="1" w:styleId="Estilo">
    <w:name w:val="Estilo"/>
    <w:rsid w:val="00AA5BFF"/>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styleId="Refdecomentario">
    <w:name w:val="annotation reference"/>
    <w:basedOn w:val="Fuentedeprrafopredeter"/>
    <w:uiPriority w:val="99"/>
    <w:semiHidden/>
    <w:unhideWhenUsed/>
    <w:rsid w:val="003F65D2"/>
    <w:rPr>
      <w:sz w:val="16"/>
      <w:szCs w:val="16"/>
    </w:rPr>
  </w:style>
  <w:style w:type="paragraph" w:styleId="Textocomentario">
    <w:name w:val="annotation text"/>
    <w:basedOn w:val="Normal"/>
    <w:link w:val="TextocomentarioCar"/>
    <w:uiPriority w:val="99"/>
    <w:unhideWhenUsed/>
    <w:rsid w:val="003F65D2"/>
    <w:rPr>
      <w:sz w:val="20"/>
      <w:szCs w:val="20"/>
    </w:rPr>
  </w:style>
  <w:style w:type="character" w:customStyle="1" w:styleId="TextocomentarioCar">
    <w:name w:val="Texto comentario Car"/>
    <w:basedOn w:val="Fuentedeprrafopredeter"/>
    <w:link w:val="Textocomentario"/>
    <w:uiPriority w:val="99"/>
    <w:rsid w:val="003F65D2"/>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3F65D2"/>
    <w:rPr>
      <w:b/>
      <w:bCs/>
    </w:rPr>
  </w:style>
  <w:style w:type="character" w:customStyle="1" w:styleId="AsuntodelcomentarioCar">
    <w:name w:val="Asunto del comentario Car"/>
    <w:basedOn w:val="TextocomentarioCar"/>
    <w:link w:val="Asuntodelcomentario"/>
    <w:uiPriority w:val="99"/>
    <w:semiHidden/>
    <w:rsid w:val="003F65D2"/>
    <w:rPr>
      <w:rFonts w:ascii="Arial MT" w:eastAsia="Arial MT" w:hAnsi="Arial MT" w:cs="Arial MT"/>
      <w:b/>
      <w:bCs/>
      <w:sz w:val="20"/>
      <w:szCs w:val="20"/>
      <w:lang w:val="es-ES"/>
    </w:rPr>
  </w:style>
  <w:style w:type="paragraph" w:styleId="Textodeglobo">
    <w:name w:val="Balloon Text"/>
    <w:basedOn w:val="Normal"/>
    <w:link w:val="TextodegloboCar"/>
    <w:uiPriority w:val="99"/>
    <w:semiHidden/>
    <w:unhideWhenUsed/>
    <w:rsid w:val="003F65D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65D2"/>
    <w:rPr>
      <w:rFonts w:ascii="Segoe UI" w:eastAsia="Arial MT" w:hAnsi="Segoe UI" w:cs="Segoe UI"/>
      <w:sz w:val="18"/>
      <w:szCs w:val="18"/>
      <w:lang w:val="es-ES"/>
    </w:rPr>
  </w:style>
  <w:style w:type="character" w:customStyle="1" w:styleId="Mencinsinresolver2">
    <w:name w:val="Mención sin resolver2"/>
    <w:basedOn w:val="Fuentedeprrafopredeter"/>
    <w:uiPriority w:val="99"/>
    <w:semiHidden/>
    <w:unhideWhenUsed/>
    <w:rsid w:val="00A61086"/>
    <w:rPr>
      <w:color w:val="605E5C"/>
      <w:shd w:val="clear" w:color="auto" w:fill="E1DFDD"/>
    </w:rPr>
  </w:style>
  <w:style w:type="paragraph" w:customStyle="1" w:styleId="Standard">
    <w:name w:val="Standard"/>
    <w:rsid w:val="00963E1D"/>
    <w:pPr>
      <w:suppressAutoHyphens/>
      <w:autoSpaceDN w:val="0"/>
      <w:spacing w:after="200" w:line="276" w:lineRule="auto"/>
    </w:pPr>
    <w:rPr>
      <w:rFonts w:ascii="Calibri" w:eastAsia="Calibri" w:hAnsi="Calibri" w:cs="Tahoma"/>
    </w:rPr>
  </w:style>
  <w:style w:type="character" w:customStyle="1" w:styleId="markvisxhh675">
    <w:name w:val="markvisxhh675"/>
    <w:basedOn w:val="Fuentedeprrafopredeter"/>
    <w:rsid w:val="00F97536"/>
  </w:style>
  <w:style w:type="character" w:customStyle="1" w:styleId="markxvice9ih3">
    <w:name w:val="markxvice9ih3"/>
    <w:basedOn w:val="Fuentedeprrafopredeter"/>
    <w:rsid w:val="00F97536"/>
  </w:style>
  <w:style w:type="character" w:customStyle="1" w:styleId="mark5jujh5a8i">
    <w:name w:val="mark5jujh5a8i"/>
    <w:basedOn w:val="Fuentedeprrafopredeter"/>
    <w:rsid w:val="00F97536"/>
  </w:style>
  <w:style w:type="paragraph" w:styleId="Revisin">
    <w:name w:val="Revision"/>
    <w:hidden/>
    <w:uiPriority w:val="99"/>
    <w:semiHidden/>
    <w:rsid w:val="00EA280C"/>
    <w:pPr>
      <w:spacing w:after="0" w:line="240" w:lineRule="auto"/>
    </w:pPr>
    <w:rPr>
      <w:rFonts w:ascii="Arial MT" w:eastAsia="Arial MT" w:hAnsi="Arial MT" w:cs="Arial MT"/>
      <w:lang w:val="es-ES"/>
    </w:rPr>
  </w:style>
  <w:style w:type="paragraph" w:customStyle="1" w:styleId="pf1">
    <w:name w:val="pf1"/>
    <w:basedOn w:val="Normal"/>
    <w:rsid w:val="006F19CD"/>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Ttulo2Car">
    <w:name w:val="Título 2 Car"/>
    <w:basedOn w:val="Fuentedeprrafopredeter"/>
    <w:link w:val="Ttulo2"/>
    <w:uiPriority w:val="9"/>
    <w:rsid w:val="002F4D21"/>
    <w:rPr>
      <w:rFonts w:asciiTheme="majorHAnsi" w:eastAsiaTheme="majorEastAsia" w:hAnsiTheme="majorHAnsi" w:cstheme="majorBidi"/>
      <w:color w:val="2F5496" w:themeColor="accent1" w:themeShade="BF"/>
      <w:sz w:val="26"/>
      <w:szCs w:val="26"/>
      <w:lang w:val="es-ES"/>
    </w:rPr>
  </w:style>
  <w:style w:type="paragraph" w:styleId="Lista2">
    <w:name w:val="List 2"/>
    <w:basedOn w:val="Normal"/>
    <w:uiPriority w:val="99"/>
    <w:unhideWhenUsed/>
    <w:rsid w:val="002F4D21"/>
    <w:pPr>
      <w:ind w:left="566" w:hanging="283"/>
      <w:contextualSpacing/>
    </w:pPr>
  </w:style>
  <w:style w:type="paragraph" w:styleId="Lista3">
    <w:name w:val="List 3"/>
    <w:basedOn w:val="Normal"/>
    <w:uiPriority w:val="99"/>
    <w:unhideWhenUsed/>
    <w:rsid w:val="002F4D21"/>
    <w:pPr>
      <w:ind w:left="849" w:hanging="283"/>
      <w:contextualSpacing/>
    </w:pPr>
  </w:style>
  <w:style w:type="paragraph" w:styleId="Saludo">
    <w:name w:val="Salutation"/>
    <w:basedOn w:val="Normal"/>
    <w:next w:val="Normal"/>
    <w:link w:val="SaludoCar"/>
    <w:uiPriority w:val="99"/>
    <w:unhideWhenUsed/>
    <w:rsid w:val="002F4D21"/>
  </w:style>
  <w:style w:type="character" w:customStyle="1" w:styleId="SaludoCar">
    <w:name w:val="Saludo Car"/>
    <w:basedOn w:val="Fuentedeprrafopredeter"/>
    <w:link w:val="Saludo"/>
    <w:uiPriority w:val="99"/>
    <w:rsid w:val="002F4D21"/>
    <w:rPr>
      <w:rFonts w:ascii="Arial MT" w:eastAsia="Arial MT" w:hAnsi="Arial MT" w:cs="Arial MT"/>
      <w:lang w:val="es-ES"/>
    </w:rPr>
  </w:style>
  <w:style w:type="paragraph" w:styleId="Cierre">
    <w:name w:val="Closing"/>
    <w:basedOn w:val="Normal"/>
    <w:link w:val="CierreCar"/>
    <w:uiPriority w:val="99"/>
    <w:unhideWhenUsed/>
    <w:rsid w:val="002F4D21"/>
    <w:pPr>
      <w:ind w:left="4252"/>
    </w:pPr>
  </w:style>
  <w:style w:type="character" w:customStyle="1" w:styleId="CierreCar">
    <w:name w:val="Cierre Car"/>
    <w:basedOn w:val="Fuentedeprrafopredeter"/>
    <w:link w:val="Cierre"/>
    <w:uiPriority w:val="99"/>
    <w:rsid w:val="002F4D21"/>
    <w:rPr>
      <w:rFonts w:ascii="Arial MT" w:eastAsia="Arial MT" w:hAnsi="Arial MT" w:cs="Arial MT"/>
      <w:lang w:val="es-ES"/>
    </w:rPr>
  </w:style>
  <w:style w:type="paragraph" w:customStyle="1" w:styleId="ListaCC">
    <w:name w:val="Lista CC."/>
    <w:basedOn w:val="Normal"/>
    <w:rsid w:val="002F4D21"/>
  </w:style>
  <w:style w:type="paragraph" w:styleId="Firma">
    <w:name w:val="Signature"/>
    <w:basedOn w:val="Normal"/>
    <w:link w:val="FirmaCar"/>
    <w:uiPriority w:val="99"/>
    <w:unhideWhenUsed/>
    <w:rsid w:val="002F4D21"/>
    <w:pPr>
      <w:ind w:left="4252"/>
    </w:pPr>
  </w:style>
  <w:style w:type="character" w:customStyle="1" w:styleId="FirmaCar">
    <w:name w:val="Firma Car"/>
    <w:basedOn w:val="Fuentedeprrafopredeter"/>
    <w:link w:val="Firma"/>
    <w:uiPriority w:val="99"/>
    <w:rsid w:val="002F4D21"/>
    <w:rPr>
      <w:rFonts w:ascii="Arial MT" w:eastAsia="Arial MT" w:hAnsi="Arial MT" w:cs="Arial MT"/>
      <w:lang w:val="es-ES"/>
    </w:rPr>
  </w:style>
  <w:style w:type="paragraph" w:styleId="Sangradetextonormal">
    <w:name w:val="Body Text Indent"/>
    <w:basedOn w:val="Normal"/>
    <w:link w:val="SangradetextonormalCar"/>
    <w:uiPriority w:val="99"/>
    <w:unhideWhenUsed/>
    <w:rsid w:val="002F4D21"/>
    <w:pPr>
      <w:spacing w:after="120"/>
      <w:ind w:left="283"/>
    </w:pPr>
  </w:style>
  <w:style w:type="character" w:customStyle="1" w:styleId="SangradetextonormalCar">
    <w:name w:val="Sangría de texto normal Car"/>
    <w:basedOn w:val="Fuentedeprrafopredeter"/>
    <w:link w:val="Sangradetextonormal"/>
    <w:uiPriority w:val="99"/>
    <w:rsid w:val="002F4D21"/>
    <w:rPr>
      <w:rFonts w:ascii="Arial MT" w:eastAsia="Arial MT" w:hAnsi="Arial MT" w:cs="Arial MT"/>
      <w:lang w:val="es-ES"/>
    </w:rPr>
  </w:style>
  <w:style w:type="paragraph" w:styleId="Textoindependienteprimerasangra2">
    <w:name w:val="Body Text First Indent 2"/>
    <w:basedOn w:val="Sangradetextonormal"/>
    <w:link w:val="Textoindependienteprimerasangra2Car"/>
    <w:uiPriority w:val="99"/>
    <w:unhideWhenUsed/>
    <w:rsid w:val="002F4D21"/>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2F4D21"/>
    <w:rPr>
      <w:rFonts w:ascii="Arial MT" w:eastAsia="Arial MT" w:hAnsi="Arial MT" w:cs="Arial MT"/>
      <w:lang w:val="es-ES"/>
    </w:rPr>
  </w:style>
  <w:style w:type="character" w:customStyle="1" w:styleId="Ttulo3Car">
    <w:name w:val="Título 3 Car"/>
    <w:basedOn w:val="Fuentedeprrafopredeter"/>
    <w:link w:val="Ttulo3"/>
    <w:uiPriority w:val="9"/>
    <w:semiHidden/>
    <w:rsid w:val="004F0F5F"/>
    <w:rPr>
      <w:rFonts w:asciiTheme="majorHAnsi" w:eastAsiaTheme="majorEastAsia" w:hAnsiTheme="majorHAnsi" w:cstheme="majorBidi"/>
      <w:color w:val="1F3763" w:themeColor="accent1" w:themeShade="7F"/>
      <w:sz w:val="24"/>
      <w:szCs w:val="24"/>
      <w:lang w:val="es-ES"/>
    </w:rPr>
  </w:style>
  <w:style w:type="character" w:customStyle="1" w:styleId="Ttulo4Car">
    <w:name w:val="Título 4 Car"/>
    <w:basedOn w:val="Fuentedeprrafopredeter"/>
    <w:link w:val="Ttulo4"/>
    <w:uiPriority w:val="9"/>
    <w:semiHidden/>
    <w:rsid w:val="000B2558"/>
    <w:rPr>
      <w:rFonts w:asciiTheme="majorHAnsi" w:eastAsiaTheme="majorEastAsia" w:hAnsiTheme="majorHAnsi" w:cstheme="majorBidi"/>
      <w:i/>
      <w:iCs/>
      <w:color w:val="2F5496" w:themeColor="accent1" w:themeShade="BF"/>
      <w:lang w:val="es-ES"/>
    </w:rPr>
  </w:style>
  <w:style w:type="character" w:styleId="Mencinsinresolver">
    <w:name w:val="Unresolved Mention"/>
    <w:basedOn w:val="Fuentedeprrafopredeter"/>
    <w:uiPriority w:val="99"/>
    <w:semiHidden/>
    <w:unhideWhenUsed/>
    <w:rsid w:val="00F53C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43045">
      <w:bodyDiv w:val="1"/>
      <w:marLeft w:val="0"/>
      <w:marRight w:val="0"/>
      <w:marTop w:val="0"/>
      <w:marBottom w:val="0"/>
      <w:divBdr>
        <w:top w:val="none" w:sz="0" w:space="0" w:color="auto"/>
        <w:left w:val="none" w:sz="0" w:space="0" w:color="auto"/>
        <w:bottom w:val="none" w:sz="0" w:space="0" w:color="auto"/>
        <w:right w:val="none" w:sz="0" w:space="0" w:color="auto"/>
      </w:divBdr>
    </w:div>
    <w:div w:id="29231956">
      <w:bodyDiv w:val="1"/>
      <w:marLeft w:val="0"/>
      <w:marRight w:val="0"/>
      <w:marTop w:val="0"/>
      <w:marBottom w:val="0"/>
      <w:divBdr>
        <w:top w:val="none" w:sz="0" w:space="0" w:color="auto"/>
        <w:left w:val="none" w:sz="0" w:space="0" w:color="auto"/>
        <w:bottom w:val="none" w:sz="0" w:space="0" w:color="auto"/>
        <w:right w:val="none" w:sz="0" w:space="0" w:color="auto"/>
      </w:divBdr>
    </w:div>
    <w:div w:id="30113301">
      <w:bodyDiv w:val="1"/>
      <w:marLeft w:val="0"/>
      <w:marRight w:val="0"/>
      <w:marTop w:val="0"/>
      <w:marBottom w:val="0"/>
      <w:divBdr>
        <w:top w:val="none" w:sz="0" w:space="0" w:color="auto"/>
        <w:left w:val="none" w:sz="0" w:space="0" w:color="auto"/>
        <w:bottom w:val="none" w:sz="0" w:space="0" w:color="auto"/>
        <w:right w:val="none" w:sz="0" w:space="0" w:color="auto"/>
      </w:divBdr>
      <w:divsChild>
        <w:div w:id="504280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945466">
      <w:bodyDiv w:val="1"/>
      <w:marLeft w:val="0"/>
      <w:marRight w:val="0"/>
      <w:marTop w:val="0"/>
      <w:marBottom w:val="0"/>
      <w:divBdr>
        <w:top w:val="none" w:sz="0" w:space="0" w:color="auto"/>
        <w:left w:val="none" w:sz="0" w:space="0" w:color="auto"/>
        <w:bottom w:val="none" w:sz="0" w:space="0" w:color="auto"/>
        <w:right w:val="none" w:sz="0" w:space="0" w:color="auto"/>
      </w:divBdr>
    </w:div>
    <w:div w:id="80033922">
      <w:bodyDiv w:val="1"/>
      <w:marLeft w:val="0"/>
      <w:marRight w:val="0"/>
      <w:marTop w:val="0"/>
      <w:marBottom w:val="0"/>
      <w:divBdr>
        <w:top w:val="none" w:sz="0" w:space="0" w:color="auto"/>
        <w:left w:val="none" w:sz="0" w:space="0" w:color="auto"/>
        <w:bottom w:val="none" w:sz="0" w:space="0" w:color="auto"/>
        <w:right w:val="none" w:sz="0" w:space="0" w:color="auto"/>
      </w:divBdr>
      <w:divsChild>
        <w:div w:id="1062407516">
          <w:marLeft w:val="0"/>
          <w:marRight w:val="0"/>
          <w:marTop w:val="0"/>
          <w:marBottom w:val="0"/>
          <w:divBdr>
            <w:top w:val="none" w:sz="0" w:space="0" w:color="auto"/>
            <w:left w:val="none" w:sz="0" w:space="0" w:color="auto"/>
            <w:bottom w:val="none" w:sz="0" w:space="0" w:color="auto"/>
            <w:right w:val="none" w:sz="0" w:space="0" w:color="auto"/>
          </w:divBdr>
          <w:divsChild>
            <w:div w:id="9961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77501">
      <w:bodyDiv w:val="1"/>
      <w:marLeft w:val="0"/>
      <w:marRight w:val="0"/>
      <w:marTop w:val="0"/>
      <w:marBottom w:val="0"/>
      <w:divBdr>
        <w:top w:val="none" w:sz="0" w:space="0" w:color="auto"/>
        <w:left w:val="none" w:sz="0" w:space="0" w:color="auto"/>
        <w:bottom w:val="none" w:sz="0" w:space="0" w:color="auto"/>
        <w:right w:val="none" w:sz="0" w:space="0" w:color="auto"/>
      </w:divBdr>
    </w:div>
    <w:div w:id="132605535">
      <w:bodyDiv w:val="1"/>
      <w:marLeft w:val="0"/>
      <w:marRight w:val="0"/>
      <w:marTop w:val="0"/>
      <w:marBottom w:val="0"/>
      <w:divBdr>
        <w:top w:val="none" w:sz="0" w:space="0" w:color="auto"/>
        <w:left w:val="none" w:sz="0" w:space="0" w:color="auto"/>
        <w:bottom w:val="none" w:sz="0" w:space="0" w:color="auto"/>
        <w:right w:val="none" w:sz="0" w:space="0" w:color="auto"/>
      </w:divBdr>
      <w:divsChild>
        <w:div w:id="2142459260">
          <w:marLeft w:val="0"/>
          <w:marRight w:val="0"/>
          <w:marTop w:val="0"/>
          <w:marBottom w:val="0"/>
          <w:divBdr>
            <w:top w:val="none" w:sz="0" w:space="0" w:color="auto"/>
            <w:left w:val="none" w:sz="0" w:space="0" w:color="auto"/>
            <w:bottom w:val="none" w:sz="0" w:space="0" w:color="auto"/>
            <w:right w:val="none" w:sz="0" w:space="0" w:color="auto"/>
          </w:divBdr>
          <w:divsChild>
            <w:div w:id="178791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4521">
      <w:bodyDiv w:val="1"/>
      <w:marLeft w:val="0"/>
      <w:marRight w:val="0"/>
      <w:marTop w:val="0"/>
      <w:marBottom w:val="0"/>
      <w:divBdr>
        <w:top w:val="none" w:sz="0" w:space="0" w:color="auto"/>
        <w:left w:val="none" w:sz="0" w:space="0" w:color="auto"/>
        <w:bottom w:val="none" w:sz="0" w:space="0" w:color="auto"/>
        <w:right w:val="none" w:sz="0" w:space="0" w:color="auto"/>
      </w:divBdr>
    </w:div>
    <w:div w:id="142090941">
      <w:bodyDiv w:val="1"/>
      <w:marLeft w:val="0"/>
      <w:marRight w:val="0"/>
      <w:marTop w:val="0"/>
      <w:marBottom w:val="0"/>
      <w:divBdr>
        <w:top w:val="none" w:sz="0" w:space="0" w:color="auto"/>
        <w:left w:val="none" w:sz="0" w:space="0" w:color="auto"/>
        <w:bottom w:val="none" w:sz="0" w:space="0" w:color="auto"/>
        <w:right w:val="none" w:sz="0" w:space="0" w:color="auto"/>
      </w:divBdr>
      <w:divsChild>
        <w:div w:id="39787992">
          <w:marLeft w:val="0"/>
          <w:marRight w:val="0"/>
          <w:marTop w:val="0"/>
          <w:marBottom w:val="0"/>
          <w:divBdr>
            <w:top w:val="none" w:sz="0" w:space="0" w:color="auto"/>
            <w:left w:val="none" w:sz="0" w:space="0" w:color="auto"/>
            <w:bottom w:val="none" w:sz="0" w:space="0" w:color="auto"/>
            <w:right w:val="none" w:sz="0" w:space="0" w:color="auto"/>
          </w:divBdr>
          <w:divsChild>
            <w:div w:id="1409229166">
              <w:marLeft w:val="0"/>
              <w:marRight w:val="0"/>
              <w:marTop w:val="0"/>
              <w:marBottom w:val="0"/>
              <w:divBdr>
                <w:top w:val="none" w:sz="0" w:space="0" w:color="auto"/>
                <w:left w:val="none" w:sz="0" w:space="0" w:color="auto"/>
                <w:bottom w:val="none" w:sz="0" w:space="0" w:color="auto"/>
                <w:right w:val="none" w:sz="0" w:space="0" w:color="auto"/>
              </w:divBdr>
              <w:divsChild>
                <w:div w:id="504365231">
                  <w:marLeft w:val="0"/>
                  <w:marRight w:val="0"/>
                  <w:marTop w:val="0"/>
                  <w:marBottom w:val="0"/>
                  <w:divBdr>
                    <w:top w:val="none" w:sz="0" w:space="0" w:color="auto"/>
                    <w:left w:val="none" w:sz="0" w:space="0" w:color="auto"/>
                    <w:bottom w:val="none" w:sz="0" w:space="0" w:color="auto"/>
                    <w:right w:val="none" w:sz="0" w:space="0" w:color="auto"/>
                  </w:divBdr>
                  <w:divsChild>
                    <w:div w:id="166377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11514">
      <w:bodyDiv w:val="1"/>
      <w:marLeft w:val="0"/>
      <w:marRight w:val="0"/>
      <w:marTop w:val="0"/>
      <w:marBottom w:val="0"/>
      <w:divBdr>
        <w:top w:val="none" w:sz="0" w:space="0" w:color="auto"/>
        <w:left w:val="none" w:sz="0" w:space="0" w:color="auto"/>
        <w:bottom w:val="none" w:sz="0" w:space="0" w:color="auto"/>
        <w:right w:val="none" w:sz="0" w:space="0" w:color="auto"/>
      </w:divBdr>
      <w:divsChild>
        <w:div w:id="1391533978">
          <w:blockQuote w:val="1"/>
          <w:marLeft w:val="720"/>
          <w:marRight w:val="720"/>
          <w:marTop w:val="100"/>
          <w:marBottom w:val="100"/>
          <w:divBdr>
            <w:top w:val="none" w:sz="0" w:space="0" w:color="auto"/>
            <w:left w:val="none" w:sz="0" w:space="0" w:color="auto"/>
            <w:bottom w:val="none" w:sz="0" w:space="0" w:color="auto"/>
            <w:right w:val="none" w:sz="0" w:space="0" w:color="auto"/>
          </w:divBdr>
        </w:div>
        <w:div w:id="1650330255">
          <w:blockQuote w:val="1"/>
          <w:marLeft w:val="720"/>
          <w:marRight w:val="720"/>
          <w:marTop w:val="100"/>
          <w:marBottom w:val="100"/>
          <w:divBdr>
            <w:top w:val="none" w:sz="0" w:space="0" w:color="auto"/>
            <w:left w:val="none" w:sz="0" w:space="0" w:color="auto"/>
            <w:bottom w:val="none" w:sz="0" w:space="0" w:color="auto"/>
            <w:right w:val="none" w:sz="0" w:space="0" w:color="auto"/>
          </w:divBdr>
        </w:div>
        <w:div w:id="540938791">
          <w:blockQuote w:val="1"/>
          <w:marLeft w:val="720"/>
          <w:marRight w:val="720"/>
          <w:marTop w:val="100"/>
          <w:marBottom w:val="100"/>
          <w:divBdr>
            <w:top w:val="none" w:sz="0" w:space="0" w:color="auto"/>
            <w:left w:val="none" w:sz="0" w:space="0" w:color="auto"/>
            <w:bottom w:val="none" w:sz="0" w:space="0" w:color="auto"/>
            <w:right w:val="none" w:sz="0" w:space="0" w:color="auto"/>
          </w:divBdr>
        </w:div>
        <w:div w:id="1739133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306812">
      <w:bodyDiv w:val="1"/>
      <w:marLeft w:val="0"/>
      <w:marRight w:val="0"/>
      <w:marTop w:val="0"/>
      <w:marBottom w:val="0"/>
      <w:divBdr>
        <w:top w:val="none" w:sz="0" w:space="0" w:color="auto"/>
        <w:left w:val="none" w:sz="0" w:space="0" w:color="auto"/>
        <w:bottom w:val="none" w:sz="0" w:space="0" w:color="auto"/>
        <w:right w:val="none" w:sz="0" w:space="0" w:color="auto"/>
      </w:divBdr>
    </w:div>
    <w:div w:id="178013561">
      <w:bodyDiv w:val="1"/>
      <w:marLeft w:val="0"/>
      <w:marRight w:val="0"/>
      <w:marTop w:val="0"/>
      <w:marBottom w:val="0"/>
      <w:divBdr>
        <w:top w:val="none" w:sz="0" w:space="0" w:color="auto"/>
        <w:left w:val="none" w:sz="0" w:space="0" w:color="auto"/>
        <w:bottom w:val="none" w:sz="0" w:space="0" w:color="auto"/>
        <w:right w:val="none" w:sz="0" w:space="0" w:color="auto"/>
      </w:divBdr>
    </w:div>
    <w:div w:id="182287192">
      <w:bodyDiv w:val="1"/>
      <w:marLeft w:val="0"/>
      <w:marRight w:val="0"/>
      <w:marTop w:val="0"/>
      <w:marBottom w:val="0"/>
      <w:divBdr>
        <w:top w:val="none" w:sz="0" w:space="0" w:color="auto"/>
        <w:left w:val="none" w:sz="0" w:space="0" w:color="auto"/>
        <w:bottom w:val="none" w:sz="0" w:space="0" w:color="auto"/>
        <w:right w:val="none" w:sz="0" w:space="0" w:color="auto"/>
      </w:divBdr>
    </w:div>
    <w:div w:id="190459579">
      <w:bodyDiv w:val="1"/>
      <w:marLeft w:val="0"/>
      <w:marRight w:val="0"/>
      <w:marTop w:val="0"/>
      <w:marBottom w:val="0"/>
      <w:divBdr>
        <w:top w:val="none" w:sz="0" w:space="0" w:color="auto"/>
        <w:left w:val="none" w:sz="0" w:space="0" w:color="auto"/>
        <w:bottom w:val="none" w:sz="0" w:space="0" w:color="auto"/>
        <w:right w:val="none" w:sz="0" w:space="0" w:color="auto"/>
      </w:divBdr>
      <w:divsChild>
        <w:div w:id="2001422924">
          <w:blockQuote w:val="1"/>
          <w:marLeft w:val="720"/>
          <w:marRight w:val="720"/>
          <w:marTop w:val="100"/>
          <w:marBottom w:val="100"/>
          <w:divBdr>
            <w:top w:val="none" w:sz="0" w:space="0" w:color="auto"/>
            <w:left w:val="none" w:sz="0" w:space="0" w:color="auto"/>
            <w:bottom w:val="none" w:sz="0" w:space="0" w:color="auto"/>
            <w:right w:val="none" w:sz="0" w:space="0" w:color="auto"/>
          </w:divBdr>
        </w:div>
        <w:div w:id="19041710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656596">
      <w:bodyDiv w:val="1"/>
      <w:marLeft w:val="0"/>
      <w:marRight w:val="0"/>
      <w:marTop w:val="0"/>
      <w:marBottom w:val="0"/>
      <w:divBdr>
        <w:top w:val="none" w:sz="0" w:space="0" w:color="auto"/>
        <w:left w:val="none" w:sz="0" w:space="0" w:color="auto"/>
        <w:bottom w:val="none" w:sz="0" w:space="0" w:color="auto"/>
        <w:right w:val="none" w:sz="0" w:space="0" w:color="auto"/>
      </w:divBdr>
    </w:div>
    <w:div w:id="202981694">
      <w:bodyDiv w:val="1"/>
      <w:marLeft w:val="0"/>
      <w:marRight w:val="0"/>
      <w:marTop w:val="0"/>
      <w:marBottom w:val="0"/>
      <w:divBdr>
        <w:top w:val="none" w:sz="0" w:space="0" w:color="auto"/>
        <w:left w:val="none" w:sz="0" w:space="0" w:color="auto"/>
        <w:bottom w:val="none" w:sz="0" w:space="0" w:color="auto"/>
        <w:right w:val="none" w:sz="0" w:space="0" w:color="auto"/>
      </w:divBdr>
      <w:divsChild>
        <w:div w:id="1184395394">
          <w:blockQuote w:val="1"/>
          <w:marLeft w:val="720"/>
          <w:marRight w:val="720"/>
          <w:marTop w:val="100"/>
          <w:marBottom w:val="100"/>
          <w:divBdr>
            <w:top w:val="none" w:sz="0" w:space="0" w:color="auto"/>
            <w:left w:val="none" w:sz="0" w:space="0" w:color="auto"/>
            <w:bottom w:val="none" w:sz="0" w:space="0" w:color="auto"/>
            <w:right w:val="none" w:sz="0" w:space="0" w:color="auto"/>
          </w:divBdr>
        </w:div>
        <w:div w:id="503280181">
          <w:marLeft w:val="0"/>
          <w:marRight w:val="0"/>
          <w:marTop w:val="0"/>
          <w:marBottom w:val="0"/>
          <w:divBdr>
            <w:top w:val="none" w:sz="0" w:space="0" w:color="auto"/>
            <w:left w:val="none" w:sz="0" w:space="0" w:color="auto"/>
            <w:bottom w:val="none" w:sz="0" w:space="0" w:color="auto"/>
            <w:right w:val="none" w:sz="0" w:space="0" w:color="auto"/>
          </w:divBdr>
          <w:divsChild>
            <w:div w:id="19539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0729">
      <w:bodyDiv w:val="1"/>
      <w:marLeft w:val="0"/>
      <w:marRight w:val="0"/>
      <w:marTop w:val="0"/>
      <w:marBottom w:val="0"/>
      <w:divBdr>
        <w:top w:val="none" w:sz="0" w:space="0" w:color="auto"/>
        <w:left w:val="none" w:sz="0" w:space="0" w:color="auto"/>
        <w:bottom w:val="none" w:sz="0" w:space="0" w:color="auto"/>
        <w:right w:val="none" w:sz="0" w:space="0" w:color="auto"/>
      </w:divBdr>
    </w:div>
    <w:div w:id="230504110">
      <w:bodyDiv w:val="1"/>
      <w:marLeft w:val="0"/>
      <w:marRight w:val="0"/>
      <w:marTop w:val="0"/>
      <w:marBottom w:val="0"/>
      <w:divBdr>
        <w:top w:val="none" w:sz="0" w:space="0" w:color="auto"/>
        <w:left w:val="none" w:sz="0" w:space="0" w:color="auto"/>
        <w:bottom w:val="none" w:sz="0" w:space="0" w:color="auto"/>
        <w:right w:val="none" w:sz="0" w:space="0" w:color="auto"/>
      </w:divBdr>
    </w:div>
    <w:div w:id="230505841">
      <w:bodyDiv w:val="1"/>
      <w:marLeft w:val="0"/>
      <w:marRight w:val="0"/>
      <w:marTop w:val="0"/>
      <w:marBottom w:val="0"/>
      <w:divBdr>
        <w:top w:val="none" w:sz="0" w:space="0" w:color="auto"/>
        <w:left w:val="none" w:sz="0" w:space="0" w:color="auto"/>
        <w:bottom w:val="none" w:sz="0" w:space="0" w:color="auto"/>
        <w:right w:val="none" w:sz="0" w:space="0" w:color="auto"/>
      </w:divBdr>
    </w:div>
    <w:div w:id="255328977">
      <w:bodyDiv w:val="1"/>
      <w:marLeft w:val="0"/>
      <w:marRight w:val="0"/>
      <w:marTop w:val="0"/>
      <w:marBottom w:val="0"/>
      <w:divBdr>
        <w:top w:val="none" w:sz="0" w:space="0" w:color="auto"/>
        <w:left w:val="none" w:sz="0" w:space="0" w:color="auto"/>
        <w:bottom w:val="none" w:sz="0" w:space="0" w:color="auto"/>
        <w:right w:val="none" w:sz="0" w:space="0" w:color="auto"/>
      </w:divBdr>
      <w:divsChild>
        <w:div w:id="1438671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8049694">
      <w:bodyDiv w:val="1"/>
      <w:marLeft w:val="0"/>
      <w:marRight w:val="0"/>
      <w:marTop w:val="0"/>
      <w:marBottom w:val="0"/>
      <w:divBdr>
        <w:top w:val="none" w:sz="0" w:space="0" w:color="auto"/>
        <w:left w:val="none" w:sz="0" w:space="0" w:color="auto"/>
        <w:bottom w:val="none" w:sz="0" w:space="0" w:color="auto"/>
        <w:right w:val="none" w:sz="0" w:space="0" w:color="auto"/>
      </w:divBdr>
    </w:div>
    <w:div w:id="274362761">
      <w:bodyDiv w:val="1"/>
      <w:marLeft w:val="0"/>
      <w:marRight w:val="0"/>
      <w:marTop w:val="0"/>
      <w:marBottom w:val="0"/>
      <w:divBdr>
        <w:top w:val="none" w:sz="0" w:space="0" w:color="auto"/>
        <w:left w:val="none" w:sz="0" w:space="0" w:color="auto"/>
        <w:bottom w:val="none" w:sz="0" w:space="0" w:color="auto"/>
        <w:right w:val="none" w:sz="0" w:space="0" w:color="auto"/>
      </w:divBdr>
      <w:divsChild>
        <w:div w:id="15773252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76389675">
          <w:blockQuote w:val="1"/>
          <w:marLeft w:val="720"/>
          <w:marRight w:val="720"/>
          <w:marTop w:val="100"/>
          <w:marBottom w:val="100"/>
          <w:divBdr>
            <w:top w:val="none" w:sz="0" w:space="0" w:color="auto"/>
            <w:left w:val="none" w:sz="0" w:space="0" w:color="auto"/>
            <w:bottom w:val="none" w:sz="0" w:space="0" w:color="auto"/>
            <w:right w:val="none" w:sz="0" w:space="0" w:color="auto"/>
          </w:divBdr>
        </w:div>
        <w:div w:id="1442840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7027813">
      <w:bodyDiv w:val="1"/>
      <w:marLeft w:val="0"/>
      <w:marRight w:val="0"/>
      <w:marTop w:val="0"/>
      <w:marBottom w:val="0"/>
      <w:divBdr>
        <w:top w:val="none" w:sz="0" w:space="0" w:color="auto"/>
        <w:left w:val="none" w:sz="0" w:space="0" w:color="auto"/>
        <w:bottom w:val="none" w:sz="0" w:space="0" w:color="auto"/>
        <w:right w:val="none" w:sz="0" w:space="0" w:color="auto"/>
      </w:divBdr>
      <w:divsChild>
        <w:div w:id="835533482">
          <w:blockQuote w:val="1"/>
          <w:marLeft w:val="720"/>
          <w:marRight w:val="720"/>
          <w:marTop w:val="100"/>
          <w:marBottom w:val="100"/>
          <w:divBdr>
            <w:top w:val="none" w:sz="0" w:space="0" w:color="auto"/>
            <w:left w:val="none" w:sz="0" w:space="0" w:color="auto"/>
            <w:bottom w:val="none" w:sz="0" w:space="0" w:color="auto"/>
            <w:right w:val="none" w:sz="0" w:space="0" w:color="auto"/>
          </w:divBdr>
        </w:div>
        <w:div w:id="5057045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403093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1346169">
      <w:bodyDiv w:val="1"/>
      <w:marLeft w:val="0"/>
      <w:marRight w:val="0"/>
      <w:marTop w:val="0"/>
      <w:marBottom w:val="0"/>
      <w:divBdr>
        <w:top w:val="none" w:sz="0" w:space="0" w:color="auto"/>
        <w:left w:val="none" w:sz="0" w:space="0" w:color="auto"/>
        <w:bottom w:val="none" w:sz="0" w:space="0" w:color="auto"/>
        <w:right w:val="none" w:sz="0" w:space="0" w:color="auto"/>
      </w:divBdr>
    </w:div>
    <w:div w:id="301349647">
      <w:bodyDiv w:val="1"/>
      <w:marLeft w:val="0"/>
      <w:marRight w:val="0"/>
      <w:marTop w:val="0"/>
      <w:marBottom w:val="0"/>
      <w:divBdr>
        <w:top w:val="none" w:sz="0" w:space="0" w:color="auto"/>
        <w:left w:val="none" w:sz="0" w:space="0" w:color="auto"/>
        <w:bottom w:val="none" w:sz="0" w:space="0" w:color="auto"/>
        <w:right w:val="none" w:sz="0" w:space="0" w:color="auto"/>
      </w:divBdr>
      <w:divsChild>
        <w:div w:id="1422529514">
          <w:marLeft w:val="0"/>
          <w:marRight w:val="0"/>
          <w:marTop w:val="0"/>
          <w:marBottom w:val="0"/>
          <w:divBdr>
            <w:top w:val="none" w:sz="0" w:space="0" w:color="auto"/>
            <w:left w:val="none" w:sz="0" w:space="0" w:color="auto"/>
            <w:bottom w:val="none" w:sz="0" w:space="0" w:color="auto"/>
            <w:right w:val="none" w:sz="0" w:space="0" w:color="auto"/>
          </w:divBdr>
        </w:div>
      </w:divsChild>
    </w:div>
    <w:div w:id="313803713">
      <w:bodyDiv w:val="1"/>
      <w:marLeft w:val="0"/>
      <w:marRight w:val="0"/>
      <w:marTop w:val="0"/>
      <w:marBottom w:val="0"/>
      <w:divBdr>
        <w:top w:val="none" w:sz="0" w:space="0" w:color="auto"/>
        <w:left w:val="none" w:sz="0" w:space="0" w:color="auto"/>
        <w:bottom w:val="none" w:sz="0" w:space="0" w:color="auto"/>
        <w:right w:val="none" w:sz="0" w:space="0" w:color="auto"/>
      </w:divBdr>
    </w:div>
    <w:div w:id="327909270">
      <w:bodyDiv w:val="1"/>
      <w:marLeft w:val="0"/>
      <w:marRight w:val="0"/>
      <w:marTop w:val="0"/>
      <w:marBottom w:val="0"/>
      <w:divBdr>
        <w:top w:val="none" w:sz="0" w:space="0" w:color="auto"/>
        <w:left w:val="none" w:sz="0" w:space="0" w:color="auto"/>
        <w:bottom w:val="none" w:sz="0" w:space="0" w:color="auto"/>
        <w:right w:val="none" w:sz="0" w:space="0" w:color="auto"/>
      </w:divBdr>
      <w:divsChild>
        <w:div w:id="958219219">
          <w:blockQuote w:val="1"/>
          <w:marLeft w:val="720"/>
          <w:marRight w:val="720"/>
          <w:marTop w:val="100"/>
          <w:marBottom w:val="100"/>
          <w:divBdr>
            <w:top w:val="none" w:sz="0" w:space="0" w:color="auto"/>
            <w:left w:val="none" w:sz="0" w:space="0" w:color="auto"/>
            <w:bottom w:val="none" w:sz="0" w:space="0" w:color="auto"/>
            <w:right w:val="none" w:sz="0" w:space="0" w:color="auto"/>
          </w:divBdr>
        </w:div>
        <w:div w:id="23749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8874912">
      <w:bodyDiv w:val="1"/>
      <w:marLeft w:val="0"/>
      <w:marRight w:val="0"/>
      <w:marTop w:val="0"/>
      <w:marBottom w:val="0"/>
      <w:divBdr>
        <w:top w:val="none" w:sz="0" w:space="0" w:color="auto"/>
        <w:left w:val="none" w:sz="0" w:space="0" w:color="auto"/>
        <w:bottom w:val="none" w:sz="0" w:space="0" w:color="auto"/>
        <w:right w:val="none" w:sz="0" w:space="0" w:color="auto"/>
      </w:divBdr>
      <w:divsChild>
        <w:div w:id="10748571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035062">
      <w:bodyDiv w:val="1"/>
      <w:marLeft w:val="0"/>
      <w:marRight w:val="0"/>
      <w:marTop w:val="0"/>
      <w:marBottom w:val="0"/>
      <w:divBdr>
        <w:top w:val="none" w:sz="0" w:space="0" w:color="auto"/>
        <w:left w:val="none" w:sz="0" w:space="0" w:color="auto"/>
        <w:bottom w:val="none" w:sz="0" w:space="0" w:color="auto"/>
        <w:right w:val="none" w:sz="0" w:space="0" w:color="auto"/>
      </w:divBdr>
      <w:divsChild>
        <w:div w:id="1493595310">
          <w:blockQuote w:val="1"/>
          <w:marLeft w:val="720"/>
          <w:marRight w:val="720"/>
          <w:marTop w:val="100"/>
          <w:marBottom w:val="100"/>
          <w:divBdr>
            <w:top w:val="none" w:sz="0" w:space="0" w:color="auto"/>
            <w:left w:val="none" w:sz="0" w:space="0" w:color="auto"/>
            <w:bottom w:val="none" w:sz="0" w:space="0" w:color="auto"/>
            <w:right w:val="none" w:sz="0" w:space="0" w:color="auto"/>
          </w:divBdr>
        </w:div>
        <w:div w:id="13932341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1127234">
      <w:bodyDiv w:val="1"/>
      <w:marLeft w:val="0"/>
      <w:marRight w:val="0"/>
      <w:marTop w:val="0"/>
      <w:marBottom w:val="0"/>
      <w:divBdr>
        <w:top w:val="none" w:sz="0" w:space="0" w:color="auto"/>
        <w:left w:val="none" w:sz="0" w:space="0" w:color="auto"/>
        <w:bottom w:val="none" w:sz="0" w:space="0" w:color="auto"/>
        <w:right w:val="none" w:sz="0" w:space="0" w:color="auto"/>
      </w:divBdr>
    </w:div>
    <w:div w:id="353726086">
      <w:bodyDiv w:val="1"/>
      <w:marLeft w:val="0"/>
      <w:marRight w:val="0"/>
      <w:marTop w:val="0"/>
      <w:marBottom w:val="0"/>
      <w:divBdr>
        <w:top w:val="none" w:sz="0" w:space="0" w:color="auto"/>
        <w:left w:val="none" w:sz="0" w:space="0" w:color="auto"/>
        <w:bottom w:val="none" w:sz="0" w:space="0" w:color="auto"/>
        <w:right w:val="none" w:sz="0" w:space="0" w:color="auto"/>
      </w:divBdr>
    </w:div>
    <w:div w:id="358774971">
      <w:bodyDiv w:val="1"/>
      <w:marLeft w:val="0"/>
      <w:marRight w:val="0"/>
      <w:marTop w:val="0"/>
      <w:marBottom w:val="0"/>
      <w:divBdr>
        <w:top w:val="none" w:sz="0" w:space="0" w:color="auto"/>
        <w:left w:val="none" w:sz="0" w:space="0" w:color="auto"/>
        <w:bottom w:val="none" w:sz="0" w:space="0" w:color="auto"/>
        <w:right w:val="none" w:sz="0" w:space="0" w:color="auto"/>
      </w:divBdr>
      <w:divsChild>
        <w:div w:id="1614940710">
          <w:blockQuote w:val="1"/>
          <w:marLeft w:val="720"/>
          <w:marRight w:val="720"/>
          <w:marTop w:val="100"/>
          <w:marBottom w:val="100"/>
          <w:divBdr>
            <w:top w:val="none" w:sz="0" w:space="0" w:color="auto"/>
            <w:left w:val="none" w:sz="0" w:space="0" w:color="auto"/>
            <w:bottom w:val="none" w:sz="0" w:space="0" w:color="auto"/>
            <w:right w:val="none" w:sz="0" w:space="0" w:color="auto"/>
          </w:divBdr>
        </w:div>
        <w:div w:id="15096402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2853658">
      <w:bodyDiv w:val="1"/>
      <w:marLeft w:val="0"/>
      <w:marRight w:val="0"/>
      <w:marTop w:val="0"/>
      <w:marBottom w:val="0"/>
      <w:divBdr>
        <w:top w:val="none" w:sz="0" w:space="0" w:color="auto"/>
        <w:left w:val="none" w:sz="0" w:space="0" w:color="auto"/>
        <w:bottom w:val="none" w:sz="0" w:space="0" w:color="auto"/>
        <w:right w:val="none" w:sz="0" w:space="0" w:color="auto"/>
      </w:divBdr>
    </w:div>
    <w:div w:id="418214897">
      <w:bodyDiv w:val="1"/>
      <w:marLeft w:val="0"/>
      <w:marRight w:val="0"/>
      <w:marTop w:val="0"/>
      <w:marBottom w:val="0"/>
      <w:divBdr>
        <w:top w:val="none" w:sz="0" w:space="0" w:color="auto"/>
        <w:left w:val="none" w:sz="0" w:space="0" w:color="auto"/>
        <w:bottom w:val="none" w:sz="0" w:space="0" w:color="auto"/>
        <w:right w:val="none" w:sz="0" w:space="0" w:color="auto"/>
      </w:divBdr>
    </w:div>
    <w:div w:id="422848138">
      <w:bodyDiv w:val="1"/>
      <w:marLeft w:val="0"/>
      <w:marRight w:val="0"/>
      <w:marTop w:val="0"/>
      <w:marBottom w:val="0"/>
      <w:divBdr>
        <w:top w:val="none" w:sz="0" w:space="0" w:color="auto"/>
        <w:left w:val="none" w:sz="0" w:space="0" w:color="auto"/>
        <w:bottom w:val="none" w:sz="0" w:space="0" w:color="auto"/>
        <w:right w:val="none" w:sz="0" w:space="0" w:color="auto"/>
      </w:divBdr>
      <w:divsChild>
        <w:div w:id="1852526071">
          <w:blockQuote w:val="1"/>
          <w:marLeft w:val="720"/>
          <w:marRight w:val="720"/>
          <w:marTop w:val="100"/>
          <w:marBottom w:val="100"/>
          <w:divBdr>
            <w:top w:val="none" w:sz="0" w:space="0" w:color="auto"/>
            <w:left w:val="none" w:sz="0" w:space="0" w:color="auto"/>
            <w:bottom w:val="none" w:sz="0" w:space="0" w:color="auto"/>
            <w:right w:val="none" w:sz="0" w:space="0" w:color="auto"/>
          </w:divBdr>
        </w:div>
        <w:div w:id="651636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2578799">
      <w:bodyDiv w:val="1"/>
      <w:marLeft w:val="0"/>
      <w:marRight w:val="0"/>
      <w:marTop w:val="0"/>
      <w:marBottom w:val="0"/>
      <w:divBdr>
        <w:top w:val="none" w:sz="0" w:space="0" w:color="auto"/>
        <w:left w:val="none" w:sz="0" w:space="0" w:color="auto"/>
        <w:bottom w:val="none" w:sz="0" w:space="0" w:color="auto"/>
        <w:right w:val="none" w:sz="0" w:space="0" w:color="auto"/>
      </w:divBdr>
    </w:div>
    <w:div w:id="443354289">
      <w:bodyDiv w:val="1"/>
      <w:marLeft w:val="0"/>
      <w:marRight w:val="0"/>
      <w:marTop w:val="0"/>
      <w:marBottom w:val="0"/>
      <w:divBdr>
        <w:top w:val="none" w:sz="0" w:space="0" w:color="auto"/>
        <w:left w:val="none" w:sz="0" w:space="0" w:color="auto"/>
        <w:bottom w:val="none" w:sz="0" w:space="0" w:color="auto"/>
        <w:right w:val="none" w:sz="0" w:space="0" w:color="auto"/>
      </w:divBdr>
      <w:divsChild>
        <w:div w:id="18590770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5151189">
      <w:bodyDiv w:val="1"/>
      <w:marLeft w:val="0"/>
      <w:marRight w:val="0"/>
      <w:marTop w:val="0"/>
      <w:marBottom w:val="0"/>
      <w:divBdr>
        <w:top w:val="none" w:sz="0" w:space="0" w:color="auto"/>
        <w:left w:val="none" w:sz="0" w:space="0" w:color="auto"/>
        <w:bottom w:val="none" w:sz="0" w:space="0" w:color="auto"/>
        <w:right w:val="none" w:sz="0" w:space="0" w:color="auto"/>
      </w:divBdr>
    </w:div>
    <w:div w:id="445393918">
      <w:bodyDiv w:val="1"/>
      <w:marLeft w:val="0"/>
      <w:marRight w:val="0"/>
      <w:marTop w:val="0"/>
      <w:marBottom w:val="0"/>
      <w:divBdr>
        <w:top w:val="none" w:sz="0" w:space="0" w:color="auto"/>
        <w:left w:val="none" w:sz="0" w:space="0" w:color="auto"/>
        <w:bottom w:val="none" w:sz="0" w:space="0" w:color="auto"/>
        <w:right w:val="none" w:sz="0" w:space="0" w:color="auto"/>
      </w:divBdr>
      <w:divsChild>
        <w:div w:id="2010449698">
          <w:marLeft w:val="0"/>
          <w:marRight w:val="0"/>
          <w:marTop w:val="0"/>
          <w:marBottom w:val="0"/>
          <w:divBdr>
            <w:top w:val="none" w:sz="0" w:space="0" w:color="auto"/>
            <w:left w:val="none" w:sz="0" w:space="0" w:color="auto"/>
            <w:bottom w:val="none" w:sz="0" w:space="0" w:color="auto"/>
            <w:right w:val="none" w:sz="0" w:space="0" w:color="auto"/>
          </w:divBdr>
          <w:divsChild>
            <w:div w:id="865951280">
              <w:marLeft w:val="0"/>
              <w:marRight w:val="0"/>
              <w:marTop w:val="0"/>
              <w:marBottom w:val="0"/>
              <w:divBdr>
                <w:top w:val="none" w:sz="0" w:space="0" w:color="auto"/>
                <w:left w:val="none" w:sz="0" w:space="0" w:color="auto"/>
                <w:bottom w:val="none" w:sz="0" w:space="0" w:color="auto"/>
                <w:right w:val="none" w:sz="0" w:space="0" w:color="auto"/>
              </w:divBdr>
              <w:divsChild>
                <w:div w:id="1064723461">
                  <w:marLeft w:val="0"/>
                  <w:marRight w:val="0"/>
                  <w:marTop w:val="0"/>
                  <w:marBottom w:val="0"/>
                  <w:divBdr>
                    <w:top w:val="none" w:sz="0" w:space="0" w:color="auto"/>
                    <w:left w:val="none" w:sz="0" w:space="0" w:color="auto"/>
                    <w:bottom w:val="none" w:sz="0" w:space="0" w:color="auto"/>
                    <w:right w:val="none" w:sz="0" w:space="0" w:color="auto"/>
                  </w:divBdr>
                  <w:divsChild>
                    <w:div w:id="4968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199525">
      <w:bodyDiv w:val="1"/>
      <w:marLeft w:val="0"/>
      <w:marRight w:val="0"/>
      <w:marTop w:val="0"/>
      <w:marBottom w:val="0"/>
      <w:divBdr>
        <w:top w:val="none" w:sz="0" w:space="0" w:color="auto"/>
        <w:left w:val="none" w:sz="0" w:space="0" w:color="auto"/>
        <w:bottom w:val="none" w:sz="0" w:space="0" w:color="auto"/>
        <w:right w:val="none" w:sz="0" w:space="0" w:color="auto"/>
      </w:divBdr>
      <w:divsChild>
        <w:div w:id="737746055">
          <w:blockQuote w:val="1"/>
          <w:marLeft w:val="720"/>
          <w:marRight w:val="720"/>
          <w:marTop w:val="100"/>
          <w:marBottom w:val="100"/>
          <w:divBdr>
            <w:top w:val="none" w:sz="0" w:space="0" w:color="auto"/>
            <w:left w:val="none" w:sz="0" w:space="0" w:color="auto"/>
            <w:bottom w:val="none" w:sz="0" w:space="0" w:color="auto"/>
            <w:right w:val="none" w:sz="0" w:space="0" w:color="auto"/>
          </w:divBdr>
        </w:div>
        <w:div w:id="1843857126">
          <w:blockQuote w:val="1"/>
          <w:marLeft w:val="720"/>
          <w:marRight w:val="720"/>
          <w:marTop w:val="100"/>
          <w:marBottom w:val="100"/>
          <w:divBdr>
            <w:top w:val="none" w:sz="0" w:space="0" w:color="auto"/>
            <w:left w:val="none" w:sz="0" w:space="0" w:color="auto"/>
            <w:bottom w:val="none" w:sz="0" w:space="0" w:color="auto"/>
            <w:right w:val="none" w:sz="0" w:space="0" w:color="auto"/>
          </w:divBdr>
        </w:div>
        <w:div w:id="10203560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6994495">
      <w:bodyDiv w:val="1"/>
      <w:marLeft w:val="0"/>
      <w:marRight w:val="0"/>
      <w:marTop w:val="0"/>
      <w:marBottom w:val="0"/>
      <w:divBdr>
        <w:top w:val="none" w:sz="0" w:space="0" w:color="auto"/>
        <w:left w:val="none" w:sz="0" w:space="0" w:color="auto"/>
        <w:bottom w:val="none" w:sz="0" w:space="0" w:color="auto"/>
        <w:right w:val="none" w:sz="0" w:space="0" w:color="auto"/>
      </w:divBdr>
    </w:div>
    <w:div w:id="478960857">
      <w:bodyDiv w:val="1"/>
      <w:marLeft w:val="0"/>
      <w:marRight w:val="0"/>
      <w:marTop w:val="0"/>
      <w:marBottom w:val="0"/>
      <w:divBdr>
        <w:top w:val="none" w:sz="0" w:space="0" w:color="auto"/>
        <w:left w:val="none" w:sz="0" w:space="0" w:color="auto"/>
        <w:bottom w:val="none" w:sz="0" w:space="0" w:color="auto"/>
        <w:right w:val="none" w:sz="0" w:space="0" w:color="auto"/>
      </w:divBdr>
    </w:div>
    <w:div w:id="482964068">
      <w:bodyDiv w:val="1"/>
      <w:marLeft w:val="0"/>
      <w:marRight w:val="0"/>
      <w:marTop w:val="0"/>
      <w:marBottom w:val="0"/>
      <w:divBdr>
        <w:top w:val="none" w:sz="0" w:space="0" w:color="auto"/>
        <w:left w:val="none" w:sz="0" w:space="0" w:color="auto"/>
        <w:bottom w:val="none" w:sz="0" w:space="0" w:color="auto"/>
        <w:right w:val="none" w:sz="0" w:space="0" w:color="auto"/>
      </w:divBdr>
      <w:divsChild>
        <w:div w:id="13657929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8836714">
      <w:bodyDiv w:val="1"/>
      <w:marLeft w:val="0"/>
      <w:marRight w:val="0"/>
      <w:marTop w:val="0"/>
      <w:marBottom w:val="0"/>
      <w:divBdr>
        <w:top w:val="none" w:sz="0" w:space="0" w:color="auto"/>
        <w:left w:val="none" w:sz="0" w:space="0" w:color="auto"/>
        <w:bottom w:val="none" w:sz="0" w:space="0" w:color="auto"/>
        <w:right w:val="none" w:sz="0" w:space="0" w:color="auto"/>
      </w:divBdr>
    </w:div>
    <w:div w:id="489443057">
      <w:bodyDiv w:val="1"/>
      <w:marLeft w:val="0"/>
      <w:marRight w:val="0"/>
      <w:marTop w:val="0"/>
      <w:marBottom w:val="0"/>
      <w:divBdr>
        <w:top w:val="none" w:sz="0" w:space="0" w:color="auto"/>
        <w:left w:val="none" w:sz="0" w:space="0" w:color="auto"/>
        <w:bottom w:val="none" w:sz="0" w:space="0" w:color="auto"/>
        <w:right w:val="none" w:sz="0" w:space="0" w:color="auto"/>
      </w:divBdr>
    </w:div>
    <w:div w:id="491410484">
      <w:bodyDiv w:val="1"/>
      <w:marLeft w:val="0"/>
      <w:marRight w:val="0"/>
      <w:marTop w:val="0"/>
      <w:marBottom w:val="0"/>
      <w:divBdr>
        <w:top w:val="none" w:sz="0" w:space="0" w:color="auto"/>
        <w:left w:val="none" w:sz="0" w:space="0" w:color="auto"/>
        <w:bottom w:val="none" w:sz="0" w:space="0" w:color="auto"/>
        <w:right w:val="none" w:sz="0" w:space="0" w:color="auto"/>
      </w:divBdr>
    </w:div>
    <w:div w:id="492070589">
      <w:bodyDiv w:val="1"/>
      <w:marLeft w:val="0"/>
      <w:marRight w:val="0"/>
      <w:marTop w:val="0"/>
      <w:marBottom w:val="0"/>
      <w:divBdr>
        <w:top w:val="none" w:sz="0" w:space="0" w:color="auto"/>
        <w:left w:val="none" w:sz="0" w:space="0" w:color="auto"/>
        <w:bottom w:val="none" w:sz="0" w:space="0" w:color="auto"/>
        <w:right w:val="none" w:sz="0" w:space="0" w:color="auto"/>
      </w:divBdr>
      <w:divsChild>
        <w:div w:id="433864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4614412">
      <w:bodyDiv w:val="1"/>
      <w:marLeft w:val="0"/>
      <w:marRight w:val="0"/>
      <w:marTop w:val="0"/>
      <w:marBottom w:val="0"/>
      <w:divBdr>
        <w:top w:val="none" w:sz="0" w:space="0" w:color="auto"/>
        <w:left w:val="none" w:sz="0" w:space="0" w:color="auto"/>
        <w:bottom w:val="none" w:sz="0" w:space="0" w:color="auto"/>
        <w:right w:val="none" w:sz="0" w:space="0" w:color="auto"/>
      </w:divBdr>
      <w:divsChild>
        <w:div w:id="1044409883">
          <w:blockQuote w:val="1"/>
          <w:marLeft w:val="720"/>
          <w:marRight w:val="720"/>
          <w:marTop w:val="100"/>
          <w:marBottom w:val="100"/>
          <w:divBdr>
            <w:top w:val="none" w:sz="0" w:space="0" w:color="auto"/>
            <w:left w:val="none" w:sz="0" w:space="0" w:color="auto"/>
            <w:bottom w:val="none" w:sz="0" w:space="0" w:color="auto"/>
            <w:right w:val="none" w:sz="0" w:space="0" w:color="auto"/>
          </w:divBdr>
        </w:div>
        <w:div w:id="657731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4638993">
      <w:bodyDiv w:val="1"/>
      <w:marLeft w:val="0"/>
      <w:marRight w:val="0"/>
      <w:marTop w:val="0"/>
      <w:marBottom w:val="0"/>
      <w:divBdr>
        <w:top w:val="none" w:sz="0" w:space="0" w:color="auto"/>
        <w:left w:val="none" w:sz="0" w:space="0" w:color="auto"/>
        <w:bottom w:val="none" w:sz="0" w:space="0" w:color="auto"/>
        <w:right w:val="none" w:sz="0" w:space="0" w:color="auto"/>
      </w:divBdr>
    </w:div>
    <w:div w:id="507722175">
      <w:bodyDiv w:val="1"/>
      <w:marLeft w:val="0"/>
      <w:marRight w:val="0"/>
      <w:marTop w:val="0"/>
      <w:marBottom w:val="0"/>
      <w:divBdr>
        <w:top w:val="none" w:sz="0" w:space="0" w:color="auto"/>
        <w:left w:val="none" w:sz="0" w:space="0" w:color="auto"/>
        <w:bottom w:val="none" w:sz="0" w:space="0" w:color="auto"/>
        <w:right w:val="none" w:sz="0" w:space="0" w:color="auto"/>
      </w:divBdr>
    </w:div>
    <w:div w:id="511723269">
      <w:bodyDiv w:val="1"/>
      <w:marLeft w:val="0"/>
      <w:marRight w:val="0"/>
      <w:marTop w:val="0"/>
      <w:marBottom w:val="0"/>
      <w:divBdr>
        <w:top w:val="none" w:sz="0" w:space="0" w:color="auto"/>
        <w:left w:val="none" w:sz="0" w:space="0" w:color="auto"/>
        <w:bottom w:val="none" w:sz="0" w:space="0" w:color="auto"/>
        <w:right w:val="none" w:sz="0" w:space="0" w:color="auto"/>
      </w:divBdr>
    </w:div>
    <w:div w:id="528035447">
      <w:bodyDiv w:val="1"/>
      <w:marLeft w:val="0"/>
      <w:marRight w:val="0"/>
      <w:marTop w:val="0"/>
      <w:marBottom w:val="0"/>
      <w:divBdr>
        <w:top w:val="none" w:sz="0" w:space="0" w:color="auto"/>
        <w:left w:val="none" w:sz="0" w:space="0" w:color="auto"/>
        <w:bottom w:val="none" w:sz="0" w:space="0" w:color="auto"/>
        <w:right w:val="none" w:sz="0" w:space="0" w:color="auto"/>
      </w:divBdr>
    </w:div>
    <w:div w:id="541745951">
      <w:bodyDiv w:val="1"/>
      <w:marLeft w:val="0"/>
      <w:marRight w:val="0"/>
      <w:marTop w:val="0"/>
      <w:marBottom w:val="0"/>
      <w:divBdr>
        <w:top w:val="none" w:sz="0" w:space="0" w:color="auto"/>
        <w:left w:val="none" w:sz="0" w:space="0" w:color="auto"/>
        <w:bottom w:val="none" w:sz="0" w:space="0" w:color="auto"/>
        <w:right w:val="none" w:sz="0" w:space="0" w:color="auto"/>
      </w:divBdr>
    </w:div>
    <w:div w:id="599216302">
      <w:bodyDiv w:val="1"/>
      <w:marLeft w:val="0"/>
      <w:marRight w:val="0"/>
      <w:marTop w:val="0"/>
      <w:marBottom w:val="0"/>
      <w:divBdr>
        <w:top w:val="none" w:sz="0" w:space="0" w:color="auto"/>
        <w:left w:val="none" w:sz="0" w:space="0" w:color="auto"/>
        <w:bottom w:val="none" w:sz="0" w:space="0" w:color="auto"/>
        <w:right w:val="none" w:sz="0" w:space="0" w:color="auto"/>
      </w:divBdr>
    </w:div>
    <w:div w:id="608313820">
      <w:bodyDiv w:val="1"/>
      <w:marLeft w:val="0"/>
      <w:marRight w:val="0"/>
      <w:marTop w:val="0"/>
      <w:marBottom w:val="0"/>
      <w:divBdr>
        <w:top w:val="none" w:sz="0" w:space="0" w:color="auto"/>
        <w:left w:val="none" w:sz="0" w:space="0" w:color="auto"/>
        <w:bottom w:val="none" w:sz="0" w:space="0" w:color="auto"/>
        <w:right w:val="none" w:sz="0" w:space="0" w:color="auto"/>
      </w:divBdr>
      <w:divsChild>
        <w:div w:id="1017537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7031520">
      <w:bodyDiv w:val="1"/>
      <w:marLeft w:val="0"/>
      <w:marRight w:val="0"/>
      <w:marTop w:val="0"/>
      <w:marBottom w:val="0"/>
      <w:divBdr>
        <w:top w:val="none" w:sz="0" w:space="0" w:color="auto"/>
        <w:left w:val="none" w:sz="0" w:space="0" w:color="auto"/>
        <w:bottom w:val="none" w:sz="0" w:space="0" w:color="auto"/>
        <w:right w:val="none" w:sz="0" w:space="0" w:color="auto"/>
      </w:divBdr>
    </w:div>
    <w:div w:id="659113821">
      <w:bodyDiv w:val="1"/>
      <w:marLeft w:val="0"/>
      <w:marRight w:val="0"/>
      <w:marTop w:val="0"/>
      <w:marBottom w:val="0"/>
      <w:divBdr>
        <w:top w:val="none" w:sz="0" w:space="0" w:color="auto"/>
        <w:left w:val="none" w:sz="0" w:space="0" w:color="auto"/>
        <w:bottom w:val="none" w:sz="0" w:space="0" w:color="auto"/>
        <w:right w:val="none" w:sz="0" w:space="0" w:color="auto"/>
      </w:divBdr>
      <w:divsChild>
        <w:div w:id="378364339">
          <w:marLeft w:val="0"/>
          <w:marRight w:val="0"/>
          <w:marTop w:val="0"/>
          <w:marBottom w:val="0"/>
          <w:divBdr>
            <w:top w:val="none" w:sz="0" w:space="0" w:color="auto"/>
            <w:left w:val="none" w:sz="0" w:space="0" w:color="auto"/>
            <w:bottom w:val="none" w:sz="0" w:space="0" w:color="auto"/>
            <w:right w:val="none" w:sz="0" w:space="0" w:color="auto"/>
          </w:divBdr>
        </w:div>
      </w:divsChild>
    </w:div>
    <w:div w:id="659506402">
      <w:bodyDiv w:val="1"/>
      <w:marLeft w:val="0"/>
      <w:marRight w:val="0"/>
      <w:marTop w:val="0"/>
      <w:marBottom w:val="0"/>
      <w:divBdr>
        <w:top w:val="none" w:sz="0" w:space="0" w:color="auto"/>
        <w:left w:val="none" w:sz="0" w:space="0" w:color="auto"/>
        <w:bottom w:val="none" w:sz="0" w:space="0" w:color="auto"/>
        <w:right w:val="none" w:sz="0" w:space="0" w:color="auto"/>
      </w:divBdr>
      <w:divsChild>
        <w:div w:id="1419209730">
          <w:blockQuote w:val="1"/>
          <w:marLeft w:val="720"/>
          <w:marRight w:val="720"/>
          <w:marTop w:val="100"/>
          <w:marBottom w:val="100"/>
          <w:divBdr>
            <w:top w:val="none" w:sz="0" w:space="0" w:color="auto"/>
            <w:left w:val="none" w:sz="0" w:space="0" w:color="auto"/>
            <w:bottom w:val="none" w:sz="0" w:space="0" w:color="auto"/>
            <w:right w:val="none" w:sz="0" w:space="0" w:color="auto"/>
          </w:divBdr>
        </w:div>
        <w:div w:id="910585060">
          <w:blockQuote w:val="1"/>
          <w:marLeft w:val="720"/>
          <w:marRight w:val="720"/>
          <w:marTop w:val="100"/>
          <w:marBottom w:val="100"/>
          <w:divBdr>
            <w:top w:val="none" w:sz="0" w:space="0" w:color="auto"/>
            <w:left w:val="none" w:sz="0" w:space="0" w:color="auto"/>
            <w:bottom w:val="none" w:sz="0" w:space="0" w:color="auto"/>
            <w:right w:val="none" w:sz="0" w:space="0" w:color="auto"/>
          </w:divBdr>
        </w:div>
        <w:div w:id="563950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4355094">
      <w:bodyDiv w:val="1"/>
      <w:marLeft w:val="0"/>
      <w:marRight w:val="0"/>
      <w:marTop w:val="0"/>
      <w:marBottom w:val="0"/>
      <w:divBdr>
        <w:top w:val="none" w:sz="0" w:space="0" w:color="auto"/>
        <w:left w:val="none" w:sz="0" w:space="0" w:color="auto"/>
        <w:bottom w:val="none" w:sz="0" w:space="0" w:color="auto"/>
        <w:right w:val="none" w:sz="0" w:space="0" w:color="auto"/>
      </w:divBdr>
    </w:div>
    <w:div w:id="698239439">
      <w:bodyDiv w:val="1"/>
      <w:marLeft w:val="0"/>
      <w:marRight w:val="0"/>
      <w:marTop w:val="0"/>
      <w:marBottom w:val="0"/>
      <w:divBdr>
        <w:top w:val="none" w:sz="0" w:space="0" w:color="auto"/>
        <w:left w:val="none" w:sz="0" w:space="0" w:color="auto"/>
        <w:bottom w:val="none" w:sz="0" w:space="0" w:color="auto"/>
        <w:right w:val="none" w:sz="0" w:space="0" w:color="auto"/>
      </w:divBdr>
      <w:divsChild>
        <w:div w:id="551969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0666142">
      <w:bodyDiv w:val="1"/>
      <w:marLeft w:val="0"/>
      <w:marRight w:val="0"/>
      <w:marTop w:val="0"/>
      <w:marBottom w:val="0"/>
      <w:divBdr>
        <w:top w:val="none" w:sz="0" w:space="0" w:color="auto"/>
        <w:left w:val="none" w:sz="0" w:space="0" w:color="auto"/>
        <w:bottom w:val="none" w:sz="0" w:space="0" w:color="auto"/>
        <w:right w:val="none" w:sz="0" w:space="0" w:color="auto"/>
      </w:divBdr>
    </w:div>
    <w:div w:id="702561309">
      <w:bodyDiv w:val="1"/>
      <w:marLeft w:val="0"/>
      <w:marRight w:val="0"/>
      <w:marTop w:val="0"/>
      <w:marBottom w:val="0"/>
      <w:divBdr>
        <w:top w:val="none" w:sz="0" w:space="0" w:color="auto"/>
        <w:left w:val="none" w:sz="0" w:space="0" w:color="auto"/>
        <w:bottom w:val="none" w:sz="0" w:space="0" w:color="auto"/>
        <w:right w:val="none" w:sz="0" w:space="0" w:color="auto"/>
      </w:divBdr>
      <w:divsChild>
        <w:div w:id="10882353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2970533">
      <w:bodyDiv w:val="1"/>
      <w:marLeft w:val="0"/>
      <w:marRight w:val="0"/>
      <w:marTop w:val="0"/>
      <w:marBottom w:val="0"/>
      <w:divBdr>
        <w:top w:val="none" w:sz="0" w:space="0" w:color="auto"/>
        <w:left w:val="none" w:sz="0" w:space="0" w:color="auto"/>
        <w:bottom w:val="none" w:sz="0" w:space="0" w:color="auto"/>
        <w:right w:val="none" w:sz="0" w:space="0" w:color="auto"/>
      </w:divBdr>
      <w:divsChild>
        <w:div w:id="116524128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110649">
          <w:blockQuote w:val="1"/>
          <w:marLeft w:val="720"/>
          <w:marRight w:val="720"/>
          <w:marTop w:val="100"/>
          <w:marBottom w:val="100"/>
          <w:divBdr>
            <w:top w:val="none" w:sz="0" w:space="0" w:color="auto"/>
            <w:left w:val="none" w:sz="0" w:space="0" w:color="auto"/>
            <w:bottom w:val="none" w:sz="0" w:space="0" w:color="auto"/>
            <w:right w:val="none" w:sz="0" w:space="0" w:color="auto"/>
          </w:divBdr>
        </w:div>
        <w:div w:id="97678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2753248">
      <w:bodyDiv w:val="1"/>
      <w:marLeft w:val="0"/>
      <w:marRight w:val="0"/>
      <w:marTop w:val="0"/>
      <w:marBottom w:val="0"/>
      <w:divBdr>
        <w:top w:val="none" w:sz="0" w:space="0" w:color="auto"/>
        <w:left w:val="none" w:sz="0" w:space="0" w:color="auto"/>
        <w:bottom w:val="none" w:sz="0" w:space="0" w:color="auto"/>
        <w:right w:val="none" w:sz="0" w:space="0" w:color="auto"/>
      </w:divBdr>
    </w:div>
    <w:div w:id="729112120">
      <w:bodyDiv w:val="1"/>
      <w:marLeft w:val="0"/>
      <w:marRight w:val="0"/>
      <w:marTop w:val="0"/>
      <w:marBottom w:val="0"/>
      <w:divBdr>
        <w:top w:val="none" w:sz="0" w:space="0" w:color="auto"/>
        <w:left w:val="none" w:sz="0" w:space="0" w:color="auto"/>
        <w:bottom w:val="none" w:sz="0" w:space="0" w:color="auto"/>
        <w:right w:val="none" w:sz="0" w:space="0" w:color="auto"/>
      </w:divBdr>
      <w:divsChild>
        <w:div w:id="515466881">
          <w:blockQuote w:val="1"/>
          <w:marLeft w:val="720"/>
          <w:marRight w:val="720"/>
          <w:marTop w:val="100"/>
          <w:marBottom w:val="100"/>
          <w:divBdr>
            <w:top w:val="none" w:sz="0" w:space="0" w:color="auto"/>
            <w:left w:val="none" w:sz="0" w:space="0" w:color="auto"/>
            <w:bottom w:val="none" w:sz="0" w:space="0" w:color="auto"/>
            <w:right w:val="none" w:sz="0" w:space="0" w:color="auto"/>
          </w:divBdr>
        </w:div>
        <w:div w:id="2419608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4399022">
      <w:bodyDiv w:val="1"/>
      <w:marLeft w:val="0"/>
      <w:marRight w:val="0"/>
      <w:marTop w:val="0"/>
      <w:marBottom w:val="0"/>
      <w:divBdr>
        <w:top w:val="none" w:sz="0" w:space="0" w:color="auto"/>
        <w:left w:val="none" w:sz="0" w:space="0" w:color="auto"/>
        <w:bottom w:val="none" w:sz="0" w:space="0" w:color="auto"/>
        <w:right w:val="none" w:sz="0" w:space="0" w:color="auto"/>
      </w:divBdr>
    </w:div>
    <w:div w:id="735205882">
      <w:bodyDiv w:val="1"/>
      <w:marLeft w:val="0"/>
      <w:marRight w:val="0"/>
      <w:marTop w:val="0"/>
      <w:marBottom w:val="0"/>
      <w:divBdr>
        <w:top w:val="none" w:sz="0" w:space="0" w:color="auto"/>
        <w:left w:val="none" w:sz="0" w:space="0" w:color="auto"/>
        <w:bottom w:val="none" w:sz="0" w:space="0" w:color="auto"/>
        <w:right w:val="none" w:sz="0" w:space="0" w:color="auto"/>
      </w:divBdr>
      <w:divsChild>
        <w:div w:id="262618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8581976">
      <w:bodyDiv w:val="1"/>
      <w:marLeft w:val="0"/>
      <w:marRight w:val="0"/>
      <w:marTop w:val="0"/>
      <w:marBottom w:val="0"/>
      <w:divBdr>
        <w:top w:val="none" w:sz="0" w:space="0" w:color="auto"/>
        <w:left w:val="none" w:sz="0" w:space="0" w:color="auto"/>
        <w:bottom w:val="none" w:sz="0" w:space="0" w:color="auto"/>
        <w:right w:val="none" w:sz="0" w:space="0" w:color="auto"/>
      </w:divBdr>
    </w:div>
    <w:div w:id="752510051">
      <w:bodyDiv w:val="1"/>
      <w:marLeft w:val="0"/>
      <w:marRight w:val="0"/>
      <w:marTop w:val="0"/>
      <w:marBottom w:val="0"/>
      <w:divBdr>
        <w:top w:val="none" w:sz="0" w:space="0" w:color="auto"/>
        <w:left w:val="none" w:sz="0" w:space="0" w:color="auto"/>
        <w:bottom w:val="none" w:sz="0" w:space="0" w:color="auto"/>
        <w:right w:val="none" w:sz="0" w:space="0" w:color="auto"/>
      </w:divBdr>
    </w:div>
    <w:div w:id="765154700">
      <w:bodyDiv w:val="1"/>
      <w:marLeft w:val="0"/>
      <w:marRight w:val="0"/>
      <w:marTop w:val="0"/>
      <w:marBottom w:val="0"/>
      <w:divBdr>
        <w:top w:val="none" w:sz="0" w:space="0" w:color="auto"/>
        <w:left w:val="none" w:sz="0" w:space="0" w:color="auto"/>
        <w:bottom w:val="none" w:sz="0" w:space="0" w:color="auto"/>
        <w:right w:val="none" w:sz="0" w:space="0" w:color="auto"/>
      </w:divBdr>
      <w:divsChild>
        <w:div w:id="775371781">
          <w:marLeft w:val="0"/>
          <w:marRight w:val="0"/>
          <w:marTop w:val="0"/>
          <w:marBottom w:val="0"/>
          <w:divBdr>
            <w:top w:val="none" w:sz="0" w:space="0" w:color="auto"/>
            <w:left w:val="none" w:sz="0" w:space="0" w:color="auto"/>
            <w:bottom w:val="none" w:sz="0" w:space="0" w:color="auto"/>
            <w:right w:val="none" w:sz="0" w:space="0" w:color="auto"/>
          </w:divBdr>
          <w:divsChild>
            <w:div w:id="88502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641337">
      <w:bodyDiv w:val="1"/>
      <w:marLeft w:val="0"/>
      <w:marRight w:val="0"/>
      <w:marTop w:val="0"/>
      <w:marBottom w:val="0"/>
      <w:divBdr>
        <w:top w:val="none" w:sz="0" w:space="0" w:color="auto"/>
        <w:left w:val="none" w:sz="0" w:space="0" w:color="auto"/>
        <w:bottom w:val="none" w:sz="0" w:space="0" w:color="auto"/>
        <w:right w:val="none" w:sz="0" w:space="0" w:color="auto"/>
      </w:divBdr>
    </w:div>
    <w:div w:id="779879769">
      <w:bodyDiv w:val="1"/>
      <w:marLeft w:val="0"/>
      <w:marRight w:val="0"/>
      <w:marTop w:val="0"/>
      <w:marBottom w:val="0"/>
      <w:divBdr>
        <w:top w:val="none" w:sz="0" w:space="0" w:color="auto"/>
        <w:left w:val="none" w:sz="0" w:space="0" w:color="auto"/>
        <w:bottom w:val="none" w:sz="0" w:space="0" w:color="auto"/>
        <w:right w:val="none" w:sz="0" w:space="0" w:color="auto"/>
      </w:divBdr>
    </w:div>
    <w:div w:id="782505015">
      <w:bodyDiv w:val="1"/>
      <w:marLeft w:val="0"/>
      <w:marRight w:val="0"/>
      <w:marTop w:val="0"/>
      <w:marBottom w:val="0"/>
      <w:divBdr>
        <w:top w:val="none" w:sz="0" w:space="0" w:color="auto"/>
        <w:left w:val="none" w:sz="0" w:space="0" w:color="auto"/>
        <w:bottom w:val="none" w:sz="0" w:space="0" w:color="auto"/>
        <w:right w:val="none" w:sz="0" w:space="0" w:color="auto"/>
      </w:divBdr>
    </w:div>
    <w:div w:id="789663940">
      <w:bodyDiv w:val="1"/>
      <w:marLeft w:val="0"/>
      <w:marRight w:val="0"/>
      <w:marTop w:val="0"/>
      <w:marBottom w:val="0"/>
      <w:divBdr>
        <w:top w:val="none" w:sz="0" w:space="0" w:color="auto"/>
        <w:left w:val="none" w:sz="0" w:space="0" w:color="auto"/>
        <w:bottom w:val="none" w:sz="0" w:space="0" w:color="auto"/>
        <w:right w:val="none" w:sz="0" w:space="0" w:color="auto"/>
      </w:divBdr>
      <w:divsChild>
        <w:div w:id="1937789118">
          <w:marLeft w:val="0"/>
          <w:marRight w:val="0"/>
          <w:marTop w:val="0"/>
          <w:marBottom w:val="0"/>
          <w:divBdr>
            <w:top w:val="none" w:sz="0" w:space="0" w:color="auto"/>
            <w:left w:val="none" w:sz="0" w:space="0" w:color="auto"/>
            <w:bottom w:val="none" w:sz="0" w:space="0" w:color="auto"/>
            <w:right w:val="none" w:sz="0" w:space="0" w:color="auto"/>
          </w:divBdr>
          <w:divsChild>
            <w:div w:id="88429150">
              <w:marLeft w:val="0"/>
              <w:marRight w:val="0"/>
              <w:marTop w:val="0"/>
              <w:marBottom w:val="0"/>
              <w:divBdr>
                <w:top w:val="none" w:sz="0" w:space="0" w:color="auto"/>
                <w:left w:val="none" w:sz="0" w:space="0" w:color="auto"/>
                <w:bottom w:val="none" w:sz="0" w:space="0" w:color="auto"/>
                <w:right w:val="none" w:sz="0" w:space="0" w:color="auto"/>
              </w:divBdr>
              <w:divsChild>
                <w:div w:id="591817689">
                  <w:marLeft w:val="0"/>
                  <w:marRight w:val="0"/>
                  <w:marTop w:val="0"/>
                  <w:marBottom w:val="0"/>
                  <w:divBdr>
                    <w:top w:val="none" w:sz="0" w:space="0" w:color="auto"/>
                    <w:left w:val="none" w:sz="0" w:space="0" w:color="auto"/>
                    <w:bottom w:val="none" w:sz="0" w:space="0" w:color="auto"/>
                    <w:right w:val="none" w:sz="0" w:space="0" w:color="auto"/>
                  </w:divBdr>
                  <w:divsChild>
                    <w:div w:id="88468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301790">
      <w:bodyDiv w:val="1"/>
      <w:marLeft w:val="0"/>
      <w:marRight w:val="0"/>
      <w:marTop w:val="0"/>
      <w:marBottom w:val="0"/>
      <w:divBdr>
        <w:top w:val="none" w:sz="0" w:space="0" w:color="auto"/>
        <w:left w:val="none" w:sz="0" w:space="0" w:color="auto"/>
        <w:bottom w:val="none" w:sz="0" w:space="0" w:color="auto"/>
        <w:right w:val="none" w:sz="0" w:space="0" w:color="auto"/>
      </w:divBdr>
    </w:div>
    <w:div w:id="802970001">
      <w:bodyDiv w:val="1"/>
      <w:marLeft w:val="0"/>
      <w:marRight w:val="0"/>
      <w:marTop w:val="0"/>
      <w:marBottom w:val="0"/>
      <w:divBdr>
        <w:top w:val="none" w:sz="0" w:space="0" w:color="auto"/>
        <w:left w:val="none" w:sz="0" w:space="0" w:color="auto"/>
        <w:bottom w:val="none" w:sz="0" w:space="0" w:color="auto"/>
        <w:right w:val="none" w:sz="0" w:space="0" w:color="auto"/>
      </w:divBdr>
    </w:div>
    <w:div w:id="808786180">
      <w:bodyDiv w:val="1"/>
      <w:marLeft w:val="0"/>
      <w:marRight w:val="0"/>
      <w:marTop w:val="0"/>
      <w:marBottom w:val="0"/>
      <w:divBdr>
        <w:top w:val="none" w:sz="0" w:space="0" w:color="auto"/>
        <w:left w:val="none" w:sz="0" w:space="0" w:color="auto"/>
        <w:bottom w:val="none" w:sz="0" w:space="0" w:color="auto"/>
        <w:right w:val="none" w:sz="0" w:space="0" w:color="auto"/>
      </w:divBdr>
    </w:div>
    <w:div w:id="809441645">
      <w:bodyDiv w:val="1"/>
      <w:marLeft w:val="0"/>
      <w:marRight w:val="0"/>
      <w:marTop w:val="0"/>
      <w:marBottom w:val="0"/>
      <w:divBdr>
        <w:top w:val="none" w:sz="0" w:space="0" w:color="auto"/>
        <w:left w:val="none" w:sz="0" w:space="0" w:color="auto"/>
        <w:bottom w:val="none" w:sz="0" w:space="0" w:color="auto"/>
        <w:right w:val="none" w:sz="0" w:space="0" w:color="auto"/>
      </w:divBdr>
    </w:div>
    <w:div w:id="812410103">
      <w:bodyDiv w:val="1"/>
      <w:marLeft w:val="0"/>
      <w:marRight w:val="0"/>
      <w:marTop w:val="0"/>
      <w:marBottom w:val="0"/>
      <w:divBdr>
        <w:top w:val="none" w:sz="0" w:space="0" w:color="auto"/>
        <w:left w:val="none" w:sz="0" w:space="0" w:color="auto"/>
        <w:bottom w:val="none" w:sz="0" w:space="0" w:color="auto"/>
        <w:right w:val="none" w:sz="0" w:space="0" w:color="auto"/>
      </w:divBdr>
    </w:div>
    <w:div w:id="821777239">
      <w:bodyDiv w:val="1"/>
      <w:marLeft w:val="0"/>
      <w:marRight w:val="0"/>
      <w:marTop w:val="0"/>
      <w:marBottom w:val="0"/>
      <w:divBdr>
        <w:top w:val="none" w:sz="0" w:space="0" w:color="auto"/>
        <w:left w:val="none" w:sz="0" w:space="0" w:color="auto"/>
        <w:bottom w:val="none" w:sz="0" w:space="0" w:color="auto"/>
        <w:right w:val="none" w:sz="0" w:space="0" w:color="auto"/>
      </w:divBdr>
      <w:divsChild>
        <w:div w:id="1416707685">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7773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7160943">
      <w:bodyDiv w:val="1"/>
      <w:marLeft w:val="0"/>
      <w:marRight w:val="0"/>
      <w:marTop w:val="0"/>
      <w:marBottom w:val="0"/>
      <w:divBdr>
        <w:top w:val="none" w:sz="0" w:space="0" w:color="auto"/>
        <w:left w:val="none" w:sz="0" w:space="0" w:color="auto"/>
        <w:bottom w:val="none" w:sz="0" w:space="0" w:color="auto"/>
        <w:right w:val="none" w:sz="0" w:space="0" w:color="auto"/>
      </w:divBdr>
    </w:div>
    <w:div w:id="839542190">
      <w:bodyDiv w:val="1"/>
      <w:marLeft w:val="0"/>
      <w:marRight w:val="0"/>
      <w:marTop w:val="0"/>
      <w:marBottom w:val="0"/>
      <w:divBdr>
        <w:top w:val="none" w:sz="0" w:space="0" w:color="auto"/>
        <w:left w:val="none" w:sz="0" w:space="0" w:color="auto"/>
        <w:bottom w:val="none" w:sz="0" w:space="0" w:color="auto"/>
        <w:right w:val="none" w:sz="0" w:space="0" w:color="auto"/>
      </w:divBdr>
    </w:div>
    <w:div w:id="841166568">
      <w:bodyDiv w:val="1"/>
      <w:marLeft w:val="0"/>
      <w:marRight w:val="0"/>
      <w:marTop w:val="0"/>
      <w:marBottom w:val="0"/>
      <w:divBdr>
        <w:top w:val="none" w:sz="0" w:space="0" w:color="auto"/>
        <w:left w:val="none" w:sz="0" w:space="0" w:color="auto"/>
        <w:bottom w:val="none" w:sz="0" w:space="0" w:color="auto"/>
        <w:right w:val="none" w:sz="0" w:space="0" w:color="auto"/>
      </w:divBdr>
    </w:div>
    <w:div w:id="882520033">
      <w:bodyDiv w:val="1"/>
      <w:marLeft w:val="0"/>
      <w:marRight w:val="0"/>
      <w:marTop w:val="0"/>
      <w:marBottom w:val="0"/>
      <w:divBdr>
        <w:top w:val="none" w:sz="0" w:space="0" w:color="auto"/>
        <w:left w:val="none" w:sz="0" w:space="0" w:color="auto"/>
        <w:bottom w:val="none" w:sz="0" w:space="0" w:color="auto"/>
        <w:right w:val="none" w:sz="0" w:space="0" w:color="auto"/>
      </w:divBdr>
      <w:divsChild>
        <w:div w:id="1188443480">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621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8998260">
      <w:bodyDiv w:val="1"/>
      <w:marLeft w:val="0"/>
      <w:marRight w:val="0"/>
      <w:marTop w:val="0"/>
      <w:marBottom w:val="0"/>
      <w:divBdr>
        <w:top w:val="none" w:sz="0" w:space="0" w:color="auto"/>
        <w:left w:val="none" w:sz="0" w:space="0" w:color="auto"/>
        <w:bottom w:val="none" w:sz="0" w:space="0" w:color="auto"/>
        <w:right w:val="none" w:sz="0" w:space="0" w:color="auto"/>
      </w:divBdr>
    </w:div>
    <w:div w:id="900751711">
      <w:bodyDiv w:val="1"/>
      <w:marLeft w:val="0"/>
      <w:marRight w:val="0"/>
      <w:marTop w:val="0"/>
      <w:marBottom w:val="0"/>
      <w:divBdr>
        <w:top w:val="none" w:sz="0" w:space="0" w:color="auto"/>
        <w:left w:val="none" w:sz="0" w:space="0" w:color="auto"/>
        <w:bottom w:val="none" w:sz="0" w:space="0" w:color="auto"/>
        <w:right w:val="none" w:sz="0" w:space="0" w:color="auto"/>
      </w:divBdr>
    </w:div>
    <w:div w:id="923730396">
      <w:bodyDiv w:val="1"/>
      <w:marLeft w:val="0"/>
      <w:marRight w:val="0"/>
      <w:marTop w:val="0"/>
      <w:marBottom w:val="0"/>
      <w:divBdr>
        <w:top w:val="none" w:sz="0" w:space="0" w:color="auto"/>
        <w:left w:val="none" w:sz="0" w:space="0" w:color="auto"/>
        <w:bottom w:val="none" w:sz="0" w:space="0" w:color="auto"/>
        <w:right w:val="none" w:sz="0" w:space="0" w:color="auto"/>
      </w:divBdr>
    </w:div>
    <w:div w:id="946044287">
      <w:bodyDiv w:val="1"/>
      <w:marLeft w:val="0"/>
      <w:marRight w:val="0"/>
      <w:marTop w:val="0"/>
      <w:marBottom w:val="0"/>
      <w:divBdr>
        <w:top w:val="none" w:sz="0" w:space="0" w:color="auto"/>
        <w:left w:val="none" w:sz="0" w:space="0" w:color="auto"/>
        <w:bottom w:val="none" w:sz="0" w:space="0" w:color="auto"/>
        <w:right w:val="none" w:sz="0" w:space="0" w:color="auto"/>
      </w:divBdr>
    </w:div>
    <w:div w:id="955872317">
      <w:bodyDiv w:val="1"/>
      <w:marLeft w:val="0"/>
      <w:marRight w:val="0"/>
      <w:marTop w:val="0"/>
      <w:marBottom w:val="0"/>
      <w:divBdr>
        <w:top w:val="none" w:sz="0" w:space="0" w:color="auto"/>
        <w:left w:val="none" w:sz="0" w:space="0" w:color="auto"/>
        <w:bottom w:val="none" w:sz="0" w:space="0" w:color="auto"/>
        <w:right w:val="none" w:sz="0" w:space="0" w:color="auto"/>
      </w:divBdr>
    </w:div>
    <w:div w:id="956523727">
      <w:bodyDiv w:val="1"/>
      <w:marLeft w:val="0"/>
      <w:marRight w:val="0"/>
      <w:marTop w:val="0"/>
      <w:marBottom w:val="0"/>
      <w:divBdr>
        <w:top w:val="none" w:sz="0" w:space="0" w:color="auto"/>
        <w:left w:val="none" w:sz="0" w:space="0" w:color="auto"/>
        <w:bottom w:val="none" w:sz="0" w:space="0" w:color="auto"/>
        <w:right w:val="none" w:sz="0" w:space="0" w:color="auto"/>
      </w:divBdr>
      <w:divsChild>
        <w:div w:id="932400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7757537">
      <w:bodyDiv w:val="1"/>
      <w:marLeft w:val="0"/>
      <w:marRight w:val="0"/>
      <w:marTop w:val="0"/>
      <w:marBottom w:val="0"/>
      <w:divBdr>
        <w:top w:val="none" w:sz="0" w:space="0" w:color="auto"/>
        <w:left w:val="none" w:sz="0" w:space="0" w:color="auto"/>
        <w:bottom w:val="none" w:sz="0" w:space="0" w:color="auto"/>
        <w:right w:val="none" w:sz="0" w:space="0" w:color="auto"/>
      </w:divBdr>
    </w:div>
    <w:div w:id="960498825">
      <w:bodyDiv w:val="1"/>
      <w:marLeft w:val="0"/>
      <w:marRight w:val="0"/>
      <w:marTop w:val="0"/>
      <w:marBottom w:val="0"/>
      <w:divBdr>
        <w:top w:val="none" w:sz="0" w:space="0" w:color="auto"/>
        <w:left w:val="none" w:sz="0" w:space="0" w:color="auto"/>
        <w:bottom w:val="none" w:sz="0" w:space="0" w:color="auto"/>
        <w:right w:val="none" w:sz="0" w:space="0" w:color="auto"/>
      </w:divBdr>
      <w:divsChild>
        <w:div w:id="1374886926">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5215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8706318">
      <w:bodyDiv w:val="1"/>
      <w:marLeft w:val="0"/>
      <w:marRight w:val="0"/>
      <w:marTop w:val="0"/>
      <w:marBottom w:val="0"/>
      <w:divBdr>
        <w:top w:val="none" w:sz="0" w:space="0" w:color="auto"/>
        <w:left w:val="none" w:sz="0" w:space="0" w:color="auto"/>
        <w:bottom w:val="none" w:sz="0" w:space="0" w:color="auto"/>
        <w:right w:val="none" w:sz="0" w:space="0" w:color="auto"/>
      </w:divBdr>
    </w:div>
    <w:div w:id="968896149">
      <w:bodyDiv w:val="1"/>
      <w:marLeft w:val="0"/>
      <w:marRight w:val="0"/>
      <w:marTop w:val="0"/>
      <w:marBottom w:val="0"/>
      <w:divBdr>
        <w:top w:val="none" w:sz="0" w:space="0" w:color="auto"/>
        <w:left w:val="none" w:sz="0" w:space="0" w:color="auto"/>
        <w:bottom w:val="none" w:sz="0" w:space="0" w:color="auto"/>
        <w:right w:val="none" w:sz="0" w:space="0" w:color="auto"/>
      </w:divBdr>
    </w:div>
    <w:div w:id="976226628">
      <w:bodyDiv w:val="1"/>
      <w:marLeft w:val="0"/>
      <w:marRight w:val="0"/>
      <w:marTop w:val="0"/>
      <w:marBottom w:val="0"/>
      <w:divBdr>
        <w:top w:val="none" w:sz="0" w:space="0" w:color="auto"/>
        <w:left w:val="none" w:sz="0" w:space="0" w:color="auto"/>
        <w:bottom w:val="none" w:sz="0" w:space="0" w:color="auto"/>
        <w:right w:val="none" w:sz="0" w:space="0" w:color="auto"/>
      </w:divBdr>
    </w:div>
    <w:div w:id="979378781">
      <w:bodyDiv w:val="1"/>
      <w:marLeft w:val="0"/>
      <w:marRight w:val="0"/>
      <w:marTop w:val="0"/>
      <w:marBottom w:val="0"/>
      <w:divBdr>
        <w:top w:val="none" w:sz="0" w:space="0" w:color="auto"/>
        <w:left w:val="none" w:sz="0" w:space="0" w:color="auto"/>
        <w:bottom w:val="none" w:sz="0" w:space="0" w:color="auto"/>
        <w:right w:val="none" w:sz="0" w:space="0" w:color="auto"/>
      </w:divBdr>
      <w:divsChild>
        <w:div w:id="1120415677">
          <w:blockQuote w:val="1"/>
          <w:marLeft w:val="720"/>
          <w:marRight w:val="720"/>
          <w:marTop w:val="100"/>
          <w:marBottom w:val="100"/>
          <w:divBdr>
            <w:top w:val="none" w:sz="0" w:space="0" w:color="auto"/>
            <w:left w:val="none" w:sz="0" w:space="0" w:color="auto"/>
            <w:bottom w:val="none" w:sz="0" w:space="0" w:color="auto"/>
            <w:right w:val="none" w:sz="0" w:space="0" w:color="auto"/>
          </w:divBdr>
        </w:div>
        <w:div w:id="1827475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0599033">
      <w:bodyDiv w:val="1"/>
      <w:marLeft w:val="0"/>
      <w:marRight w:val="0"/>
      <w:marTop w:val="0"/>
      <w:marBottom w:val="0"/>
      <w:divBdr>
        <w:top w:val="none" w:sz="0" w:space="0" w:color="auto"/>
        <w:left w:val="none" w:sz="0" w:space="0" w:color="auto"/>
        <w:bottom w:val="none" w:sz="0" w:space="0" w:color="auto"/>
        <w:right w:val="none" w:sz="0" w:space="0" w:color="auto"/>
      </w:divBdr>
    </w:div>
    <w:div w:id="1018042056">
      <w:bodyDiv w:val="1"/>
      <w:marLeft w:val="0"/>
      <w:marRight w:val="0"/>
      <w:marTop w:val="0"/>
      <w:marBottom w:val="0"/>
      <w:divBdr>
        <w:top w:val="none" w:sz="0" w:space="0" w:color="auto"/>
        <w:left w:val="none" w:sz="0" w:space="0" w:color="auto"/>
        <w:bottom w:val="none" w:sz="0" w:space="0" w:color="auto"/>
        <w:right w:val="none" w:sz="0" w:space="0" w:color="auto"/>
      </w:divBdr>
    </w:div>
    <w:div w:id="1020592356">
      <w:bodyDiv w:val="1"/>
      <w:marLeft w:val="0"/>
      <w:marRight w:val="0"/>
      <w:marTop w:val="0"/>
      <w:marBottom w:val="0"/>
      <w:divBdr>
        <w:top w:val="none" w:sz="0" w:space="0" w:color="auto"/>
        <w:left w:val="none" w:sz="0" w:space="0" w:color="auto"/>
        <w:bottom w:val="none" w:sz="0" w:space="0" w:color="auto"/>
        <w:right w:val="none" w:sz="0" w:space="0" w:color="auto"/>
      </w:divBdr>
    </w:div>
    <w:div w:id="1020619773">
      <w:bodyDiv w:val="1"/>
      <w:marLeft w:val="0"/>
      <w:marRight w:val="0"/>
      <w:marTop w:val="0"/>
      <w:marBottom w:val="0"/>
      <w:divBdr>
        <w:top w:val="none" w:sz="0" w:space="0" w:color="auto"/>
        <w:left w:val="none" w:sz="0" w:space="0" w:color="auto"/>
        <w:bottom w:val="none" w:sz="0" w:space="0" w:color="auto"/>
        <w:right w:val="none" w:sz="0" w:space="0" w:color="auto"/>
      </w:divBdr>
    </w:div>
    <w:div w:id="1021013760">
      <w:bodyDiv w:val="1"/>
      <w:marLeft w:val="0"/>
      <w:marRight w:val="0"/>
      <w:marTop w:val="0"/>
      <w:marBottom w:val="0"/>
      <w:divBdr>
        <w:top w:val="none" w:sz="0" w:space="0" w:color="auto"/>
        <w:left w:val="none" w:sz="0" w:space="0" w:color="auto"/>
        <w:bottom w:val="none" w:sz="0" w:space="0" w:color="auto"/>
        <w:right w:val="none" w:sz="0" w:space="0" w:color="auto"/>
      </w:divBdr>
    </w:div>
    <w:div w:id="1025062955">
      <w:bodyDiv w:val="1"/>
      <w:marLeft w:val="0"/>
      <w:marRight w:val="0"/>
      <w:marTop w:val="0"/>
      <w:marBottom w:val="0"/>
      <w:divBdr>
        <w:top w:val="none" w:sz="0" w:space="0" w:color="auto"/>
        <w:left w:val="none" w:sz="0" w:space="0" w:color="auto"/>
        <w:bottom w:val="none" w:sz="0" w:space="0" w:color="auto"/>
        <w:right w:val="none" w:sz="0" w:space="0" w:color="auto"/>
      </w:divBdr>
    </w:div>
    <w:div w:id="1025403292">
      <w:bodyDiv w:val="1"/>
      <w:marLeft w:val="0"/>
      <w:marRight w:val="0"/>
      <w:marTop w:val="0"/>
      <w:marBottom w:val="0"/>
      <w:divBdr>
        <w:top w:val="none" w:sz="0" w:space="0" w:color="auto"/>
        <w:left w:val="none" w:sz="0" w:space="0" w:color="auto"/>
        <w:bottom w:val="none" w:sz="0" w:space="0" w:color="auto"/>
        <w:right w:val="none" w:sz="0" w:space="0" w:color="auto"/>
      </w:divBdr>
    </w:div>
    <w:div w:id="1035816088">
      <w:bodyDiv w:val="1"/>
      <w:marLeft w:val="0"/>
      <w:marRight w:val="0"/>
      <w:marTop w:val="0"/>
      <w:marBottom w:val="0"/>
      <w:divBdr>
        <w:top w:val="none" w:sz="0" w:space="0" w:color="auto"/>
        <w:left w:val="none" w:sz="0" w:space="0" w:color="auto"/>
        <w:bottom w:val="none" w:sz="0" w:space="0" w:color="auto"/>
        <w:right w:val="none" w:sz="0" w:space="0" w:color="auto"/>
      </w:divBdr>
    </w:div>
    <w:div w:id="1046413671">
      <w:bodyDiv w:val="1"/>
      <w:marLeft w:val="0"/>
      <w:marRight w:val="0"/>
      <w:marTop w:val="0"/>
      <w:marBottom w:val="0"/>
      <w:divBdr>
        <w:top w:val="none" w:sz="0" w:space="0" w:color="auto"/>
        <w:left w:val="none" w:sz="0" w:space="0" w:color="auto"/>
        <w:bottom w:val="none" w:sz="0" w:space="0" w:color="auto"/>
        <w:right w:val="none" w:sz="0" w:space="0" w:color="auto"/>
      </w:divBdr>
      <w:divsChild>
        <w:div w:id="1842088654">
          <w:blockQuote w:val="1"/>
          <w:marLeft w:val="720"/>
          <w:marRight w:val="720"/>
          <w:marTop w:val="100"/>
          <w:marBottom w:val="100"/>
          <w:divBdr>
            <w:top w:val="none" w:sz="0" w:space="0" w:color="auto"/>
            <w:left w:val="none" w:sz="0" w:space="0" w:color="auto"/>
            <w:bottom w:val="none" w:sz="0" w:space="0" w:color="auto"/>
            <w:right w:val="none" w:sz="0" w:space="0" w:color="auto"/>
          </w:divBdr>
        </w:div>
        <w:div w:id="450442044">
          <w:blockQuote w:val="1"/>
          <w:marLeft w:val="720"/>
          <w:marRight w:val="720"/>
          <w:marTop w:val="100"/>
          <w:marBottom w:val="100"/>
          <w:divBdr>
            <w:top w:val="none" w:sz="0" w:space="0" w:color="auto"/>
            <w:left w:val="none" w:sz="0" w:space="0" w:color="auto"/>
            <w:bottom w:val="none" w:sz="0" w:space="0" w:color="auto"/>
            <w:right w:val="none" w:sz="0" w:space="0" w:color="auto"/>
          </w:divBdr>
        </w:div>
        <w:div w:id="6804020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1855028">
      <w:bodyDiv w:val="1"/>
      <w:marLeft w:val="0"/>
      <w:marRight w:val="0"/>
      <w:marTop w:val="0"/>
      <w:marBottom w:val="0"/>
      <w:divBdr>
        <w:top w:val="none" w:sz="0" w:space="0" w:color="auto"/>
        <w:left w:val="none" w:sz="0" w:space="0" w:color="auto"/>
        <w:bottom w:val="none" w:sz="0" w:space="0" w:color="auto"/>
        <w:right w:val="none" w:sz="0" w:space="0" w:color="auto"/>
      </w:divBdr>
    </w:div>
    <w:div w:id="1101531246">
      <w:bodyDiv w:val="1"/>
      <w:marLeft w:val="0"/>
      <w:marRight w:val="0"/>
      <w:marTop w:val="0"/>
      <w:marBottom w:val="0"/>
      <w:divBdr>
        <w:top w:val="none" w:sz="0" w:space="0" w:color="auto"/>
        <w:left w:val="none" w:sz="0" w:space="0" w:color="auto"/>
        <w:bottom w:val="none" w:sz="0" w:space="0" w:color="auto"/>
        <w:right w:val="none" w:sz="0" w:space="0" w:color="auto"/>
      </w:divBdr>
      <w:divsChild>
        <w:div w:id="440027783">
          <w:marLeft w:val="0"/>
          <w:marRight w:val="0"/>
          <w:marTop w:val="0"/>
          <w:marBottom w:val="0"/>
          <w:divBdr>
            <w:top w:val="none" w:sz="0" w:space="0" w:color="auto"/>
            <w:left w:val="none" w:sz="0" w:space="0" w:color="auto"/>
            <w:bottom w:val="none" w:sz="0" w:space="0" w:color="auto"/>
            <w:right w:val="none" w:sz="0" w:space="0" w:color="auto"/>
          </w:divBdr>
          <w:divsChild>
            <w:div w:id="20364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07090">
      <w:bodyDiv w:val="1"/>
      <w:marLeft w:val="0"/>
      <w:marRight w:val="0"/>
      <w:marTop w:val="0"/>
      <w:marBottom w:val="0"/>
      <w:divBdr>
        <w:top w:val="none" w:sz="0" w:space="0" w:color="auto"/>
        <w:left w:val="none" w:sz="0" w:space="0" w:color="auto"/>
        <w:bottom w:val="none" w:sz="0" w:space="0" w:color="auto"/>
        <w:right w:val="none" w:sz="0" w:space="0" w:color="auto"/>
      </w:divBdr>
      <w:divsChild>
        <w:div w:id="8134475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738860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8042689">
      <w:bodyDiv w:val="1"/>
      <w:marLeft w:val="0"/>
      <w:marRight w:val="0"/>
      <w:marTop w:val="0"/>
      <w:marBottom w:val="0"/>
      <w:divBdr>
        <w:top w:val="none" w:sz="0" w:space="0" w:color="auto"/>
        <w:left w:val="none" w:sz="0" w:space="0" w:color="auto"/>
        <w:bottom w:val="none" w:sz="0" w:space="0" w:color="auto"/>
        <w:right w:val="none" w:sz="0" w:space="0" w:color="auto"/>
      </w:divBdr>
      <w:divsChild>
        <w:div w:id="20645938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0339031">
      <w:bodyDiv w:val="1"/>
      <w:marLeft w:val="0"/>
      <w:marRight w:val="0"/>
      <w:marTop w:val="0"/>
      <w:marBottom w:val="0"/>
      <w:divBdr>
        <w:top w:val="none" w:sz="0" w:space="0" w:color="auto"/>
        <w:left w:val="none" w:sz="0" w:space="0" w:color="auto"/>
        <w:bottom w:val="none" w:sz="0" w:space="0" w:color="auto"/>
        <w:right w:val="none" w:sz="0" w:space="0" w:color="auto"/>
      </w:divBdr>
    </w:div>
    <w:div w:id="1140535865">
      <w:bodyDiv w:val="1"/>
      <w:marLeft w:val="0"/>
      <w:marRight w:val="0"/>
      <w:marTop w:val="0"/>
      <w:marBottom w:val="0"/>
      <w:divBdr>
        <w:top w:val="none" w:sz="0" w:space="0" w:color="auto"/>
        <w:left w:val="none" w:sz="0" w:space="0" w:color="auto"/>
        <w:bottom w:val="none" w:sz="0" w:space="0" w:color="auto"/>
        <w:right w:val="none" w:sz="0" w:space="0" w:color="auto"/>
      </w:divBdr>
    </w:div>
    <w:div w:id="1149782627">
      <w:bodyDiv w:val="1"/>
      <w:marLeft w:val="0"/>
      <w:marRight w:val="0"/>
      <w:marTop w:val="0"/>
      <w:marBottom w:val="0"/>
      <w:divBdr>
        <w:top w:val="none" w:sz="0" w:space="0" w:color="auto"/>
        <w:left w:val="none" w:sz="0" w:space="0" w:color="auto"/>
        <w:bottom w:val="none" w:sz="0" w:space="0" w:color="auto"/>
        <w:right w:val="none" w:sz="0" w:space="0" w:color="auto"/>
      </w:divBdr>
    </w:div>
    <w:div w:id="1156651108">
      <w:bodyDiv w:val="1"/>
      <w:marLeft w:val="0"/>
      <w:marRight w:val="0"/>
      <w:marTop w:val="0"/>
      <w:marBottom w:val="0"/>
      <w:divBdr>
        <w:top w:val="none" w:sz="0" w:space="0" w:color="auto"/>
        <w:left w:val="none" w:sz="0" w:space="0" w:color="auto"/>
        <w:bottom w:val="none" w:sz="0" w:space="0" w:color="auto"/>
        <w:right w:val="none" w:sz="0" w:space="0" w:color="auto"/>
      </w:divBdr>
    </w:div>
    <w:div w:id="1157527802">
      <w:bodyDiv w:val="1"/>
      <w:marLeft w:val="0"/>
      <w:marRight w:val="0"/>
      <w:marTop w:val="0"/>
      <w:marBottom w:val="0"/>
      <w:divBdr>
        <w:top w:val="none" w:sz="0" w:space="0" w:color="auto"/>
        <w:left w:val="none" w:sz="0" w:space="0" w:color="auto"/>
        <w:bottom w:val="none" w:sz="0" w:space="0" w:color="auto"/>
        <w:right w:val="none" w:sz="0" w:space="0" w:color="auto"/>
      </w:divBdr>
    </w:div>
    <w:div w:id="1164666310">
      <w:bodyDiv w:val="1"/>
      <w:marLeft w:val="0"/>
      <w:marRight w:val="0"/>
      <w:marTop w:val="0"/>
      <w:marBottom w:val="0"/>
      <w:divBdr>
        <w:top w:val="none" w:sz="0" w:space="0" w:color="auto"/>
        <w:left w:val="none" w:sz="0" w:space="0" w:color="auto"/>
        <w:bottom w:val="none" w:sz="0" w:space="0" w:color="auto"/>
        <w:right w:val="none" w:sz="0" w:space="0" w:color="auto"/>
      </w:divBdr>
      <w:divsChild>
        <w:div w:id="1966891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152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860155">
      <w:bodyDiv w:val="1"/>
      <w:marLeft w:val="0"/>
      <w:marRight w:val="0"/>
      <w:marTop w:val="0"/>
      <w:marBottom w:val="0"/>
      <w:divBdr>
        <w:top w:val="none" w:sz="0" w:space="0" w:color="auto"/>
        <w:left w:val="none" w:sz="0" w:space="0" w:color="auto"/>
        <w:bottom w:val="none" w:sz="0" w:space="0" w:color="auto"/>
        <w:right w:val="none" w:sz="0" w:space="0" w:color="auto"/>
      </w:divBdr>
    </w:div>
    <w:div w:id="1172069619">
      <w:bodyDiv w:val="1"/>
      <w:marLeft w:val="0"/>
      <w:marRight w:val="0"/>
      <w:marTop w:val="0"/>
      <w:marBottom w:val="0"/>
      <w:divBdr>
        <w:top w:val="none" w:sz="0" w:space="0" w:color="auto"/>
        <w:left w:val="none" w:sz="0" w:space="0" w:color="auto"/>
        <w:bottom w:val="none" w:sz="0" w:space="0" w:color="auto"/>
        <w:right w:val="none" w:sz="0" w:space="0" w:color="auto"/>
      </w:divBdr>
    </w:div>
    <w:div w:id="1197082689">
      <w:bodyDiv w:val="1"/>
      <w:marLeft w:val="0"/>
      <w:marRight w:val="0"/>
      <w:marTop w:val="0"/>
      <w:marBottom w:val="0"/>
      <w:divBdr>
        <w:top w:val="none" w:sz="0" w:space="0" w:color="auto"/>
        <w:left w:val="none" w:sz="0" w:space="0" w:color="auto"/>
        <w:bottom w:val="none" w:sz="0" w:space="0" w:color="auto"/>
        <w:right w:val="none" w:sz="0" w:space="0" w:color="auto"/>
      </w:divBdr>
    </w:div>
    <w:div w:id="1199004897">
      <w:bodyDiv w:val="1"/>
      <w:marLeft w:val="0"/>
      <w:marRight w:val="0"/>
      <w:marTop w:val="0"/>
      <w:marBottom w:val="0"/>
      <w:divBdr>
        <w:top w:val="none" w:sz="0" w:space="0" w:color="auto"/>
        <w:left w:val="none" w:sz="0" w:space="0" w:color="auto"/>
        <w:bottom w:val="none" w:sz="0" w:space="0" w:color="auto"/>
        <w:right w:val="none" w:sz="0" w:space="0" w:color="auto"/>
      </w:divBdr>
    </w:div>
    <w:div w:id="1212351015">
      <w:bodyDiv w:val="1"/>
      <w:marLeft w:val="0"/>
      <w:marRight w:val="0"/>
      <w:marTop w:val="0"/>
      <w:marBottom w:val="0"/>
      <w:divBdr>
        <w:top w:val="none" w:sz="0" w:space="0" w:color="auto"/>
        <w:left w:val="none" w:sz="0" w:space="0" w:color="auto"/>
        <w:bottom w:val="none" w:sz="0" w:space="0" w:color="auto"/>
        <w:right w:val="none" w:sz="0" w:space="0" w:color="auto"/>
      </w:divBdr>
    </w:div>
    <w:div w:id="1234706543">
      <w:bodyDiv w:val="1"/>
      <w:marLeft w:val="0"/>
      <w:marRight w:val="0"/>
      <w:marTop w:val="0"/>
      <w:marBottom w:val="0"/>
      <w:divBdr>
        <w:top w:val="none" w:sz="0" w:space="0" w:color="auto"/>
        <w:left w:val="none" w:sz="0" w:space="0" w:color="auto"/>
        <w:bottom w:val="none" w:sz="0" w:space="0" w:color="auto"/>
        <w:right w:val="none" w:sz="0" w:space="0" w:color="auto"/>
      </w:divBdr>
    </w:div>
    <w:div w:id="1269701508">
      <w:bodyDiv w:val="1"/>
      <w:marLeft w:val="0"/>
      <w:marRight w:val="0"/>
      <w:marTop w:val="0"/>
      <w:marBottom w:val="0"/>
      <w:divBdr>
        <w:top w:val="none" w:sz="0" w:space="0" w:color="auto"/>
        <w:left w:val="none" w:sz="0" w:space="0" w:color="auto"/>
        <w:bottom w:val="none" w:sz="0" w:space="0" w:color="auto"/>
        <w:right w:val="none" w:sz="0" w:space="0" w:color="auto"/>
      </w:divBdr>
    </w:div>
    <w:div w:id="1271090392">
      <w:bodyDiv w:val="1"/>
      <w:marLeft w:val="0"/>
      <w:marRight w:val="0"/>
      <w:marTop w:val="0"/>
      <w:marBottom w:val="0"/>
      <w:divBdr>
        <w:top w:val="none" w:sz="0" w:space="0" w:color="auto"/>
        <w:left w:val="none" w:sz="0" w:space="0" w:color="auto"/>
        <w:bottom w:val="none" w:sz="0" w:space="0" w:color="auto"/>
        <w:right w:val="none" w:sz="0" w:space="0" w:color="auto"/>
      </w:divBdr>
    </w:div>
    <w:div w:id="1304654550">
      <w:bodyDiv w:val="1"/>
      <w:marLeft w:val="0"/>
      <w:marRight w:val="0"/>
      <w:marTop w:val="0"/>
      <w:marBottom w:val="0"/>
      <w:divBdr>
        <w:top w:val="none" w:sz="0" w:space="0" w:color="auto"/>
        <w:left w:val="none" w:sz="0" w:space="0" w:color="auto"/>
        <w:bottom w:val="none" w:sz="0" w:space="0" w:color="auto"/>
        <w:right w:val="none" w:sz="0" w:space="0" w:color="auto"/>
      </w:divBdr>
      <w:divsChild>
        <w:div w:id="1804224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1635977">
      <w:bodyDiv w:val="1"/>
      <w:marLeft w:val="0"/>
      <w:marRight w:val="0"/>
      <w:marTop w:val="0"/>
      <w:marBottom w:val="0"/>
      <w:divBdr>
        <w:top w:val="none" w:sz="0" w:space="0" w:color="auto"/>
        <w:left w:val="none" w:sz="0" w:space="0" w:color="auto"/>
        <w:bottom w:val="none" w:sz="0" w:space="0" w:color="auto"/>
        <w:right w:val="none" w:sz="0" w:space="0" w:color="auto"/>
      </w:divBdr>
    </w:div>
    <w:div w:id="1346859066">
      <w:bodyDiv w:val="1"/>
      <w:marLeft w:val="0"/>
      <w:marRight w:val="0"/>
      <w:marTop w:val="0"/>
      <w:marBottom w:val="0"/>
      <w:divBdr>
        <w:top w:val="none" w:sz="0" w:space="0" w:color="auto"/>
        <w:left w:val="none" w:sz="0" w:space="0" w:color="auto"/>
        <w:bottom w:val="none" w:sz="0" w:space="0" w:color="auto"/>
        <w:right w:val="none" w:sz="0" w:space="0" w:color="auto"/>
      </w:divBdr>
    </w:div>
    <w:div w:id="1359350111">
      <w:bodyDiv w:val="1"/>
      <w:marLeft w:val="0"/>
      <w:marRight w:val="0"/>
      <w:marTop w:val="0"/>
      <w:marBottom w:val="0"/>
      <w:divBdr>
        <w:top w:val="none" w:sz="0" w:space="0" w:color="auto"/>
        <w:left w:val="none" w:sz="0" w:space="0" w:color="auto"/>
        <w:bottom w:val="none" w:sz="0" w:space="0" w:color="auto"/>
        <w:right w:val="none" w:sz="0" w:space="0" w:color="auto"/>
      </w:divBdr>
      <w:divsChild>
        <w:div w:id="996953041">
          <w:blockQuote w:val="1"/>
          <w:marLeft w:val="720"/>
          <w:marRight w:val="720"/>
          <w:marTop w:val="100"/>
          <w:marBottom w:val="100"/>
          <w:divBdr>
            <w:top w:val="none" w:sz="0" w:space="0" w:color="auto"/>
            <w:left w:val="none" w:sz="0" w:space="0" w:color="auto"/>
            <w:bottom w:val="none" w:sz="0" w:space="0" w:color="auto"/>
            <w:right w:val="none" w:sz="0" w:space="0" w:color="auto"/>
          </w:divBdr>
        </w:div>
        <w:div w:id="789670219">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16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9991661">
      <w:bodyDiv w:val="1"/>
      <w:marLeft w:val="0"/>
      <w:marRight w:val="0"/>
      <w:marTop w:val="0"/>
      <w:marBottom w:val="0"/>
      <w:divBdr>
        <w:top w:val="none" w:sz="0" w:space="0" w:color="auto"/>
        <w:left w:val="none" w:sz="0" w:space="0" w:color="auto"/>
        <w:bottom w:val="none" w:sz="0" w:space="0" w:color="auto"/>
        <w:right w:val="none" w:sz="0" w:space="0" w:color="auto"/>
      </w:divBdr>
      <w:divsChild>
        <w:div w:id="1139109216">
          <w:blockQuote w:val="1"/>
          <w:marLeft w:val="720"/>
          <w:marRight w:val="720"/>
          <w:marTop w:val="100"/>
          <w:marBottom w:val="100"/>
          <w:divBdr>
            <w:top w:val="none" w:sz="0" w:space="0" w:color="auto"/>
            <w:left w:val="none" w:sz="0" w:space="0" w:color="auto"/>
            <w:bottom w:val="none" w:sz="0" w:space="0" w:color="auto"/>
            <w:right w:val="none" w:sz="0" w:space="0" w:color="auto"/>
          </w:divBdr>
        </w:div>
        <w:div w:id="4811193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3140479">
      <w:bodyDiv w:val="1"/>
      <w:marLeft w:val="0"/>
      <w:marRight w:val="0"/>
      <w:marTop w:val="0"/>
      <w:marBottom w:val="0"/>
      <w:divBdr>
        <w:top w:val="none" w:sz="0" w:space="0" w:color="auto"/>
        <w:left w:val="none" w:sz="0" w:space="0" w:color="auto"/>
        <w:bottom w:val="none" w:sz="0" w:space="0" w:color="auto"/>
        <w:right w:val="none" w:sz="0" w:space="0" w:color="auto"/>
      </w:divBdr>
      <w:divsChild>
        <w:div w:id="5433240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0153111">
      <w:bodyDiv w:val="1"/>
      <w:marLeft w:val="0"/>
      <w:marRight w:val="0"/>
      <w:marTop w:val="0"/>
      <w:marBottom w:val="0"/>
      <w:divBdr>
        <w:top w:val="none" w:sz="0" w:space="0" w:color="auto"/>
        <w:left w:val="none" w:sz="0" w:space="0" w:color="auto"/>
        <w:bottom w:val="none" w:sz="0" w:space="0" w:color="auto"/>
        <w:right w:val="none" w:sz="0" w:space="0" w:color="auto"/>
      </w:divBdr>
    </w:div>
    <w:div w:id="1398747892">
      <w:bodyDiv w:val="1"/>
      <w:marLeft w:val="0"/>
      <w:marRight w:val="0"/>
      <w:marTop w:val="0"/>
      <w:marBottom w:val="0"/>
      <w:divBdr>
        <w:top w:val="none" w:sz="0" w:space="0" w:color="auto"/>
        <w:left w:val="none" w:sz="0" w:space="0" w:color="auto"/>
        <w:bottom w:val="none" w:sz="0" w:space="0" w:color="auto"/>
        <w:right w:val="none" w:sz="0" w:space="0" w:color="auto"/>
      </w:divBdr>
    </w:div>
    <w:div w:id="1403678475">
      <w:bodyDiv w:val="1"/>
      <w:marLeft w:val="0"/>
      <w:marRight w:val="0"/>
      <w:marTop w:val="0"/>
      <w:marBottom w:val="0"/>
      <w:divBdr>
        <w:top w:val="none" w:sz="0" w:space="0" w:color="auto"/>
        <w:left w:val="none" w:sz="0" w:space="0" w:color="auto"/>
        <w:bottom w:val="none" w:sz="0" w:space="0" w:color="auto"/>
        <w:right w:val="none" w:sz="0" w:space="0" w:color="auto"/>
      </w:divBdr>
      <w:divsChild>
        <w:div w:id="799299359">
          <w:blockQuote w:val="1"/>
          <w:marLeft w:val="720"/>
          <w:marRight w:val="720"/>
          <w:marTop w:val="100"/>
          <w:marBottom w:val="100"/>
          <w:divBdr>
            <w:top w:val="none" w:sz="0" w:space="0" w:color="auto"/>
            <w:left w:val="none" w:sz="0" w:space="0" w:color="auto"/>
            <w:bottom w:val="none" w:sz="0" w:space="0" w:color="auto"/>
            <w:right w:val="none" w:sz="0" w:space="0" w:color="auto"/>
          </w:divBdr>
        </w:div>
        <w:div w:id="1572152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3940812">
      <w:bodyDiv w:val="1"/>
      <w:marLeft w:val="0"/>
      <w:marRight w:val="0"/>
      <w:marTop w:val="0"/>
      <w:marBottom w:val="0"/>
      <w:divBdr>
        <w:top w:val="none" w:sz="0" w:space="0" w:color="auto"/>
        <w:left w:val="none" w:sz="0" w:space="0" w:color="auto"/>
        <w:bottom w:val="none" w:sz="0" w:space="0" w:color="auto"/>
        <w:right w:val="none" w:sz="0" w:space="0" w:color="auto"/>
      </w:divBdr>
    </w:div>
    <w:div w:id="1406221301">
      <w:bodyDiv w:val="1"/>
      <w:marLeft w:val="0"/>
      <w:marRight w:val="0"/>
      <w:marTop w:val="0"/>
      <w:marBottom w:val="0"/>
      <w:divBdr>
        <w:top w:val="none" w:sz="0" w:space="0" w:color="auto"/>
        <w:left w:val="none" w:sz="0" w:space="0" w:color="auto"/>
        <w:bottom w:val="none" w:sz="0" w:space="0" w:color="auto"/>
        <w:right w:val="none" w:sz="0" w:space="0" w:color="auto"/>
      </w:divBdr>
      <w:divsChild>
        <w:div w:id="19986078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9667542">
      <w:bodyDiv w:val="1"/>
      <w:marLeft w:val="0"/>
      <w:marRight w:val="0"/>
      <w:marTop w:val="0"/>
      <w:marBottom w:val="0"/>
      <w:divBdr>
        <w:top w:val="none" w:sz="0" w:space="0" w:color="auto"/>
        <w:left w:val="none" w:sz="0" w:space="0" w:color="auto"/>
        <w:bottom w:val="none" w:sz="0" w:space="0" w:color="auto"/>
        <w:right w:val="none" w:sz="0" w:space="0" w:color="auto"/>
      </w:divBdr>
      <w:divsChild>
        <w:div w:id="743811">
          <w:blockQuote w:val="1"/>
          <w:marLeft w:val="720"/>
          <w:marRight w:val="720"/>
          <w:marTop w:val="100"/>
          <w:marBottom w:val="100"/>
          <w:divBdr>
            <w:top w:val="none" w:sz="0" w:space="0" w:color="auto"/>
            <w:left w:val="none" w:sz="0" w:space="0" w:color="auto"/>
            <w:bottom w:val="none" w:sz="0" w:space="0" w:color="auto"/>
            <w:right w:val="none" w:sz="0" w:space="0" w:color="auto"/>
          </w:divBdr>
        </w:div>
        <w:div w:id="153648805">
          <w:blockQuote w:val="1"/>
          <w:marLeft w:val="720"/>
          <w:marRight w:val="720"/>
          <w:marTop w:val="100"/>
          <w:marBottom w:val="100"/>
          <w:divBdr>
            <w:top w:val="none" w:sz="0" w:space="0" w:color="auto"/>
            <w:left w:val="none" w:sz="0" w:space="0" w:color="auto"/>
            <w:bottom w:val="none" w:sz="0" w:space="0" w:color="auto"/>
            <w:right w:val="none" w:sz="0" w:space="0" w:color="auto"/>
          </w:divBdr>
        </w:div>
        <w:div w:id="749155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4034502">
      <w:bodyDiv w:val="1"/>
      <w:marLeft w:val="0"/>
      <w:marRight w:val="0"/>
      <w:marTop w:val="0"/>
      <w:marBottom w:val="0"/>
      <w:divBdr>
        <w:top w:val="none" w:sz="0" w:space="0" w:color="auto"/>
        <w:left w:val="none" w:sz="0" w:space="0" w:color="auto"/>
        <w:bottom w:val="none" w:sz="0" w:space="0" w:color="auto"/>
        <w:right w:val="none" w:sz="0" w:space="0" w:color="auto"/>
      </w:divBdr>
    </w:div>
    <w:div w:id="1426994637">
      <w:bodyDiv w:val="1"/>
      <w:marLeft w:val="0"/>
      <w:marRight w:val="0"/>
      <w:marTop w:val="0"/>
      <w:marBottom w:val="0"/>
      <w:divBdr>
        <w:top w:val="none" w:sz="0" w:space="0" w:color="auto"/>
        <w:left w:val="none" w:sz="0" w:space="0" w:color="auto"/>
        <w:bottom w:val="none" w:sz="0" w:space="0" w:color="auto"/>
        <w:right w:val="none" w:sz="0" w:space="0" w:color="auto"/>
      </w:divBdr>
    </w:div>
    <w:div w:id="1435370167">
      <w:bodyDiv w:val="1"/>
      <w:marLeft w:val="0"/>
      <w:marRight w:val="0"/>
      <w:marTop w:val="0"/>
      <w:marBottom w:val="0"/>
      <w:divBdr>
        <w:top w:val="none" w:sz="0" w:space="0" w:color="auto"/>
        <w:left w:val="none" w:sz="0" w:space="0" w:color="auto"/>
        <w:bottom w:val="none" w:sz="0" w:space="0" w:color="auto"/>
        <w:right w:val="none" w:sz="0" w:space="0" w:color="auto"/>
      </w:divBdr>
    </w:div>
    <w:div w:id="1467354175">
      <w:bodyDiv w:val="1"/>
      <w:marLeft w:val="0"/>
      <w:marRight w:val="0"/>
      <w:marTop w:val="0"/>
      <w:marBottom w:val="0"/>
      <w:divBdr>
        <w:top w:val="none" w:sz="0" w:space="0" w:color="auto"/>
        <w:left w:val="none" w:sz="0" w:space="0" w:color="auto"/>
        <w:bottom w:val="none" w:sz="0" w:space="0" w:color="auto"/>
        <w:right w:val="none" w:sz="0" w:space="0" w:color="auto"/>
      </w:divBdr>
    </w:div>
    <w:div w:id="1478259335">
      <w:bodyDiv w:val="1"/>
      <w:marLeft w:val="0"/>
      <w:marRight w:val="0"/>
      <w:marTop w:val="0"/>
      <w:marBottom w:val="0"/>
      <w:divBdr>
        <w:top w:val="none" w:sz="0" w:space="0" w:color="auto"/>
        <w:left w:val="none" w:sz="0" w:space="0" w:color="auto"/>
        <w:bottom w:val="none" w:sz="0" w:space="0" w:color="auto"/>
        <w:right w:val="none" w:sz="0" w:space="0" w:color="auto"/>
      </w:divBdr>
      <w:divsChild>
        <w:div w:id="1558472990">
          <w:marLeft w:val="0"/>
          <w:marRight w:val="0"/>
          <w:marTop w:val="0"/>
          <w:marBottom w:val="0"/>
          <w:divBdr>
            <w:top w:val="none" w:sz="0" w:space="0" w:color="auto"/>
            <w:left w:val="none" w:sz="0" w:space="0" w:color="auto"/>
            <w:bottom w:val="none" w:sz="0" w:space="0" w:color="auto"/>
            <w:right w:val="none" w:sz="0" w:space="0" w:color="auto"/>
          </w:divBdr>
          <w:divsChild>
            <w:div w:id="123096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237260">
      <w:bodyDiv w:val="1"/>
      <w:marLeft w:val="0"/>
      <w:marRight w:val="0"/>
      <w:marTop w:val="0"/>
      <w:marBottom w:val="0"/>
      <w:divBdr>
        <w:top w:val="none" w:sz="0" w:space="0" w:color="auto"/>
        <w:left w:val="none" w:sz="0" w:space="0" w:color="auto"/>
        <w:bottom w:val="none" w:sz="0" w:space="0" w:color="auto"/>
        <w:right w:val="none" w:sz="0" w:space="0" w:color="auto"/>
      </w:divBdr>
    </w:div>
    <w:div w:id="1490247422">
      <w:bodyDiv w:val="1"/>
      <w:marLeft w:val="0"/>
      <w:marRight w:val="0"/>
      <w:marTop w:val="0"/>
      <w:marBottom w:val="0"/>
      <w:divBdr>
        <w:top w:val="none" w:sz="0" w:space="0" w:color="auto"/>
        <w:left w:val="none" w:sz="0" w:space="0" w:color="auto"/>
        <w:bottom w:val="none" w:sz="0" w:space="0" w:color="auto"/>
        <w:right w:val="none" w:sz="0" w:space="0" w:color="auto"/>
      </w:divBdr>
      <w:divsChild>
        <w:div w:id="15458687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6388835">
      <w:bodyDiv w:val="1"/>
      <w:marLeft w:val="0"/>
      <w:marRight w:val="0"/>
      <w:marTop w:val="0"/>
      <w:marBottom w:val="0"/>
      <w:divBdr>
        <w:top w:val="none" w:sz="0" w:space="0" w:color="auto"/>
        <w:left w:val="none" w:sz="0" w:space="0" w:color="auto"/>
        <w:bottom w:val="none" w:sz="0" w:space="0" w:color="auto"/>
        <w:right w:val="none" w:sz="0" w:space="0" w:color="auto"/>
      </w:divBdr>
      <w:divsChild>
        <w:div w:id="1607233424">
          <w:blockQuote w:val="1"/>
          <w:marLeft w:val="720"/>
          <w:marRight w:val="720"/>
          <w:marTop w:val="100"/>
          <w:marBottom w:val="100"/>
          <w:divBdr>
            <w:top w:val="none" w:sz="0" w:space="0" w:color="auto"/>
            <w:left w:val="none" w:sz="0" w:space="0" w:color="auto"/>
            <w:bottom w:val="none" w:sz="0" w:space="0" w:color="auto"/>
            <w:right w:val="none" w:sz="0" w:space="0" w:color="auto"/>
          </w:divBdr>
        </w:div>
        <w:div w:id="474490611">
          <w:blockQuote w:val="1"/>
          <w:marLeft w:val="720"/>
          <w:marRight w:val="720"/>
          <w:marTop w:val="100"/>
          <w:marBottom w:val="100"/>
          <w:divBdr>
            <w:top w:val="none" w:sz="0" w:space="0" w:color="auto"/>
            <w:left w:val="none" w:sz="0" w:space="0" w:color="auto"/>
            <w:bottom w:val="none" w:sz="0" w:space="0" w:color="auto"/>
            <w:right w:val="none" w:sz="0" w:space="0" w:color="auto"/>
          </w:divBdr>
        </w:div>
        <w:div w:id="1417748683">
          <w:blockQuote w:val="1"/>
          <w:marLeft w:val="720"/>
          <w:marRight w:val="720"/>
          <w:marTop w:val="100"/>
          <w:marBottom w:val="100"/>
          <w:divBdr>
            <w:top w:val="none" w:sz="0" w:space="0" w:color="auto"/>
            <w:left w:val="none" w:sz="0" w:space="0" w:color="auto"/>
            <w:bottom w:val="none" w:sz="0" w:space="0" w:color="auto"/>
            <w:right w:val="none" w:sz="0" w:space="0" w:color="auto"/>
          </w:divBdr>
        </w:div>
        <w:div w:id="7758278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1236539">
      <w:bodyDiv w:val="1"/>
      <w:marLeft w:val="0"/>
      <w:marRight w:val="0"/>
      <w:marTop w:val="0"/>
      <w:marBottom w:val="0"/>
      <w:divBdr>
        <w:top w:val="none" w:sz="0" w:space="0" w:color="auto"/>
        <w:left w:val="none" w:sz="0" w:space="0" w:color="auto"/>
        <w:bottom w:val="none" w:sz="0" w:space="0" w:color="auto"/>
        <w:right w:val="none" w:sz="0" w:space="0" w:color="auto"/>
      </w:divBdr>
      <w:divsChild>
        <w:div w:id="189224450">
          <w:blockQuote w:val="1"/>
          <w:marLeft w:val="720"/>
          <w:marRight w:val="720"/>
          <w:marTop w:val="100"/>
          <w:marBottom w:val="100"/>
          <w:divBdr>
            <w:top w:val="none" w:sz="0" w:space="0" w:color="auto"/>
            <w:left w:val="none" w:sz="0" w:space="0" w:color="auto"/>
            <w:bottom w:val="none" w:sz="0" w:space="0" w:color="auto"/>
            <w:right w:val="none" w:sz="0" w:space="0" w:color="auto"/>
          </w:divBdr>
        </w:div>
        <w:div w:id="713844459">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4173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4442382">
      <w:bodyDiv w:val="1"/>
      <w:marLeft w:val="0"/>
      <w:marRight w:val="0"/>
      <w:marTop w:val="0"/>
      <w:marBottom w:val="0"/>
      <w:divBdr>
        <w:top w:val="none" w:sz="0" w:space="0" w:color="auto"/>
        <w:left w:val="none" w:sz="0" w:space="0" w:color="auto"/>
        <w:bottom w:val="none" w:sz="0" w:space="0" w:color="auto"/>
        <w:right w:val="none" w:sz="0" w:space="0" w:color="auto"/>
      </w:divBdr>
    </w:div>
    <w:div w:id="1580753870">
      <w:bodyDiv w:val="1"/>
      <w:marLeft w:val="0"/>
      <w:marRight w:val="0"/>
      <w:marTop w:val="0"/>
      <w:marBottom w:val="0"/>
      <w:divBdr>
        <w:top w:val="none" w:sz="0" w:space="0" w:color="auto"/>
        <w:left w:val="none" w:sz="0" w:space="0" w:color="auto"/>
        <w:bottom w:val="none" w:sz="0" w:space="0" w:color="auto"/>
        <w:right w:val="none" w:sz="0" w:space="0" w:color="auto"/>
      </w:divBdr>
    </w:div>
    <w:div w:id="1598757820">
      <w:bodyDiv w:val="1"/>
      <w:marLeft w:val="0"/>
      <w:marRight w:val="0"/>
      <w:marTop w:val="0"/>
      <w:marBottom w:val="0"/>
      <w:divBdr>
        <w:top w:val="none" w:sz="0" w:space="0" w:color="auto"/>
        <w:left w:val="none" w:sz="0" w:space="0" w:color="auto"/>
        <w:bottom w:val="none" w:sz="0" w:space="0" w:color="auto"/>
        <w:right w:val="none" w:sz="0" w:space="0" w:color="auto"/>
      </w:divBdr>
      <w:divsChild>
        <w:div w:id="361900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04108537">
          <w:marLeft w:val="0"/>
          <w:marRight w:val="0"/>
          <w:marTop w:val="0"/>
          <w:marBottom w:val="0"/>
          <w:divBdr>
            <w:top w:val="none" w:sz="0" w:space="0" w:color="auto"/>
            <w:left w:val="none" w:sz="0" w:space="0" w:color="auto"/>
            <w:bottom w:val="none" w:sz="0" w:space="0" w:color="auto"/>
            <w:right w:val="none" w:sz="0" w:space="0" w:color="auto"/>
          </w:divBdr>
          <w:divsChild>
            <w:div w:id="29807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10686">
      <w:bodyDiv w:val="1"/>
      <w:marLeft w:val="0"/>
      <w:marRight w:val="0"/>
      <w:marTop w:val="0"/>
      <w:marBottom w:val="0"/>
      <w:divBdr>
        <w:top w:val="none" w:sz="0" w:space="0" w:color="auto"/>
        <w:left w:val="none" w:sz="0" w:space="0" w:color="auto"/>
        <w:bottom w:val="none" w:sz="0" w:space="0" w:color="auto"/>
        <w:right w:val="none" w:sz="0" w:space="0" w:color="auto"/>
      </w:divBdr>
    </w:div>
    <w:div w:id="1634481324">
      <w:bodyDiv w:val="1"/>
      <w:marLeft w:val="0"/>
      <w:marRight w:val="0"/>
      <w:marTop w:val="0"/>
      <w:marBottom w:val="0"/>
      <w:divBdr>
        <w:top w:val="none" w:sz="0" w:space="0" w:color="auto"/>
        <w:left w:val="none" w:sz="0" w:space="0" w:color="auto"/>
        <w:bottom w:val="none" w:sz="0" w:space="0" w:color="auto"/>
        <w:right w:val="none" w:sz="0" w:space="0" w:color="auto"/>
      </w:divBdr>
    </w:div>
    <w:div w:id="1652828175">
      <w:bodyDiv w:val="1"/>
      <w:marLeft w:val="0"/>
      <w:marRight w:val="0"/>
      <w:marTop w:val="0"/>
      <w:marBottom w:val="0"/>
      <w:divBdr>
        <w:top w:val="none" w:sz="0" w:space="0" w:color="auto"/>
        <w:left w:val="none" w:sz="0" w:space="0" w:color="auto"/>
        <w:bottom w:val="none" w:sz="0" w:space="0" w:color="auto"/>
        <w:right w:val="none" w:sz="0" w:space="0" w:color="auto"/>
      </w:divBdr>
    </w:div>
    <w:div w:id="1653635819">
      <w:bodyDiv w:val="1"/>
      <w:marLeft w:val="0"/>
      <w:marRight w:val="0"/>
      <w:marTop w:val="0"/>
      <w:marBottom w:val="0"/>
      <w:divBdr>
        <w:top w:val="none" w:sz="0" w:space="0" w:color="auto"/>
        <w:left w:val="none" w:sz="0" w:space="0" w:color="auto"/>
        <w:bottom w:val="none" w:sz="0" w:space="0" w:color="auto"/>
        <w:right w:val="none" w:sz="0" w:space="0" w:color="auto"/>
      </w:divBdr>
    </w:div>
    <w:div w:id="1653751167">
      <w:bodyDiv w:val="1"/>
      <w:marLeft w:val="0"/>
      <w:marRight w:val="0"/>
      <w:marTop w:val="0"/>
      <w:marBottom w:val="0"/>
      <w:divBdr>
        <w:top w:val="none" w:sz="0" w:space="0" w:color="auto"/>
        <w:left w:val="none" w:sz="0" w:space="0" w:color="auto"/>
        <w:bottom w:val="none" w:sz="0" w:space="0" w:color="auto"/>
        <w:right w:val="none" w:sz="0" w:space="0" w:color="auto"/>
      </w:divBdr>
    </w:div>
    <w:div w:id="1654719360">
      <w:bodyDiv w:val="1"/>
      <w:marLeft w:val="0"/>
      <w:marRight w:val="0"/>
      <w:marTop w:val="0"/>
      <w:marBottom w:val="0"/>
      <w:divBdr>
        <w:top w:val="none" w:sz="0" w:space="0" w:color="auto"/>
        <w:left w:val="none" w:sz="0" w:space="0" w:color="auto"/>
        <w:bottom w:val="none" w:sz="0" w:space="0" w:color="auto"/>
        <w:right w:val="none" w:sz="0" w:space="0" w:color="auto"/>
      </w:divBdr>
      <w:divsChild>
        <w:div w:id="1274942154">
          <w:marLeft w:val="0"/>
          <w:marRight w:val="0"/>
          <w:marTop w:val="0"/>
          <w:marBottom w:val="0"/>
          <w:divBdr>
            <w:top w:val="none" w:sz="0" w:space="0" w:color="auto"/>
            <w:left w:val="none" w:sz="0" w:space="0" w:color="auto"/>
            <w:bottom w:val="none" w:sz="0" w:space="0" w:color="auto"/>
            <w:right w:val="none" w:sz="0" w:space="0" w:color="auto"/>
          </w:divBdr>
        </w:div>
        <w:div w:id="1502550257">
          <w:marLeft w:val="0"/>
          <w:marRight w:val="0"/>
          <w:marTop w:val="0"/>
          <w:marBottom w:val="0"/>
          <w:divBdr>
            <w:top w:val="none" w:sz="0" w:space="0" w:color="auto"/>
            <w:left w:val="none" w:sz="0" w:space="0" w:color="auto"/>
            <w:bottom w:val="none" w:sz="0" w:space="0" w:color="auto"/>
            <w:right w:val="none" w:sz="0" w:space="0" w:color="auto"/>
          </w:divBdr>
        </w:div>
      </w:divsChild>
    </w:div>
    <w:div w:id="1655178361">
      <w:bodyDiv w:val="1"/>
      <w:marLeft w:val="0"/>
      <w:marRight w:val="0"/>
      <w:marTop w:val="0"/>
      <w:marBottom w:val="0"/>
      <w:divBdr>
        <w:top w:val="none" w:sz="0" w:space="0" w:color="auto"/>
        <w:left w:val="none" w:sz="0" w:space="0" w:color="auto"/>
        <w:bottom w:val="none" w:sz="0" w:space="0" w:color="auto"/>
        <w:right w:val="none" w:sz="0" w:space="0" w:color="auto"/>
      </w:divBdr>
    </w:div>
    <w:div w:id="1665860821">
      <w:bodyDiv w:val="1"/>
      <w:marLeft w:val="0"/>
      <w:marRight w:val="0"/>
      <w:marTop w:val="0"/>
      <w:marBottom w:val="0"/>
      <w:divBdr>
        <w:top w:val="none" w:sz="0" w:space="0" w:color="auto"/>
        <w:left w:val="none" w:sz="0" w:space="0" w:color="auto"/>
        <w:bottom w:val="none" w:sz="0" w:space="0" w:color="auto"/>
        <w:right w:val="none" w:sz="0" w:space="0" w:color="auto"/>
      </w:divBdr>
    </w:div>
    <w:div w:id="1668896450">
      <w:bodyDiv w:val="1"/>
      <w:marLeft w:val="0"/>
      <w:marRight w:val="0"/>
      <w:marTop w:val="0"/>
      <w:marBottom w:val="0"/>
      <w:divBdr>
        <w:top w:val="none" w:sz="0" w:space="0" w:color="auto"/>
        <w:left w:val="none" w:sz="0" w:space="0" w:color="auto"/>
        <w:bottom w:val="none" w:sz="0" w:space="0" w:color="auto"/>
        <w:right w:val="none" w:sz="0" w:space="0" w:color="auto"/>
      </w:divBdr>
    </w:div>
    <w:div w:id="1673558799">
      <w:bodyDiv w:val="1"/>
      <w:marLeft w:val="0"/>
      <w:marRight w:val="0"/>
      <w:marTop w:val="0"/>
      <w:marBottom w:val="0"/>
      <w:divBdr>
        <w:top w:val="none" w:sz="0" w:space="0" w:color="auto"/>
        <w:left w:val="none" w:sz="0" w:space="0" w:color="auto"/>
        <w:bottom w:val="none" w:sz="0" w:space="0" w:color="auto"/>
        <w:right w:val="none" w:sz="0" w:space="0" w:color="auto"/>
      </w:divBdr>
    </w:div>
    <w:div w:id="1684625817">
      <w:bodyDiv w:val="1"/>
      <w:marLeft w:val="0"/>
      <w:marRight w:val="0"/>
      <w:marTop w:val="0"/>
      <w:marBottom w:val="0"/>
      <w:divBdr>
        <w:top w:val="none" w:sz="0" w:space="0" w:color="auto"/>
        <w:left w:val="none" w:sz="0" w:space="0" w:color="auto"/>
        <w:bottom w:val="none" w:sz="0" w:space="0" w:color="auto"/>
        <w:right w:val="none" w:sz="0" w:space="0" w:color="auto"/>
      </w:divBdr>
      <w:divsChild>
        <w:div w:id="894127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9151676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5982145">
      <w:bodyDiv w:val="1"/>
      <w:marLeft w:val="0"/>
      <w:marRight w:val="0"/>
      <w:marTop w:val="0"/>
      <w:marBottom w:val="0"/>
      <w:divBdr>
        <w:top w:val="none" w:sz="0" w:space="0" w:color="auto"/>
        <w:left w:val="none" w:sz="0" w:space="0" w:color="auto"/>
        <w:bottom w:val="none" w:sz="0" w:space="0" w:color="auto"/>
        <w:right w:val="none" w:sz="0" w:space="0" w:color="auto"/>
      </w:divBdr>
    </w:div>
    <w:div w:id="1710300410">
      <w:bodyDiv w:val="1"/>
      <w:marLeft w:val="0"/>
      <w:marRight w:val="0"/>
      <w:marTop w:val="0"/>
      <w:marBottom w:val="0"/>
      <w:divBdr>
        <w:top w:val="none" w:sz="0" w:space="0" w:color="auto"/>
        <w:left w:val="none" w:sz="0" w:space="0" w:color="auto"/>
        <w:bottom w:val="none" w:sz="0" w:space="0" w:color="auto"/>
        <w:right w:val="none" w:sz="0" w:space="0" w:color="auto"/>
      </w:divBdr>
      <w:divsChild>
        <w:div w:id="15222083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938831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0715069">
      <w:bodyDiv w:val="1"/>
      <w:marLeft w:val="0"/>
      <w:marRight w:val="0"/>
      <w:marTop w:val="0"/>
      <w:marBottom w:val="0"/>
      <w:divBdr>
        <w:top w:val="none" w:sz="0" w:space="0" w:color="auto"/>
        <w:left w:val="none" w:sz="0" w:space="0" w:color="auto"/>
        <w:bottom w:val="none" w:sz="0" w:space="0" w:color="auto"/>
        <w:right w:val="none" w:sz="0" w:space="0" w:color="auto"/>
      </w:divBdr>
    </w:div>
    <w:div w:id="1717315049">
      <w:bodyDiv w:val="1"/>
      <w:marLeft w:val="0"/>
      <w:marRight w:val="0"/>
      <w:marTop w:val="0"/>
      <w:marBottom w:val="0"/>
      <w:divBdr>
        <w:top w:val="none" w:sz="0" w:space="0" w:color="auto"/>
        <w:left w:val="none" w:sz="0" w:space="0" w:color="auto"/>
        <w:bottom w:val="none" w:sz="0" w:space="0" w:color="auto"/>
        <w:right w:val="none" w:sz="0" w:space="0" w:color="auto"/>
      </w:divBdr>
    </w:div>
    <w:div w:id="1751078360">
      <w:bodyDiv w:val="1"/>
      <w:marLeft w:val="0"/>
      <w:marRight w:val="0"/>
      <w:marTop w:val="0"/>
      <w:marBottom w:val="0"/>
      <w:divBdr>
        <w:top w:val="none" w:sz="0" w:space="0" w:color="auto"/>
        <w:left w:val="none" w:sz="0" w:space="0" w:color="auto"/>
        <w:bottom w:val="none" w:sz="0" w:space="0" w:color="auto"/>
        <w:right w:val="none" w:sz="0" w:space="0" w:color="auto"/>
      </w:divBdr>
    </w:div>
    <w:div w:id="1762800319">
      <w:bodyDiv w:val="1"/>
      <w:marLeft w:val="0"/>
      <w:marRight w:val="0"/>
      <w:marTop w:val="0"/>
      <w:marBottom w:val="0"/>
      <w:divBdr>
        <w:top w:val="none" w:sz="0" w:space="0" w:color="auto"/>
        <w:left w:val="none" w:sz="0" w:space="0" w:color="auto"/>
        <w:bottom w:val="none" w:sz="0" w:space="0" w:color="auto"/>
        <w:right w:val="none" w:sz="0" w:space="0" w:color="auto"/>
      </w:divBdr>
      <w:divsChild>
        <w:div w:id="604000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5106366">
      <w:bodyDiv w:val="1"/>
      <w:marLeft w:val="0"/>
      <w:marRight w:val="0"/>
      <w:marTop w:val="0"/>
      <w:marBottom w:val="0"/>
      <w:divBdr>
        <w:top w:val="none" w:sz="0" w:space="0" w:color="auto"/>
        <w:left w:val="none" w:sz="0" w:space="0" w:color="auto"/>
        <w:bottom w:val="none" w:sz="0" w:space="0" w:color="auto"/>
        <w:right w:val="none" w:sz="0" w:space="0" w:color="auto"/>
      </w:divBdr>
    </w:div>
    <w:div w:id="1765877888">
      <w:bodyDiv w:val="1"/>
      <w:marLeft w:val="0"/>
      <w:marRight w:val="0"/>
      <w:marTop w:val="0"/>
      <w:marBottom w:val="0"/>
      <w:divBdr>
        <w:top w:val="none" w:sz="0" w:space="0" w:color="auto"/>
        <w:left w:val="none" w:sz="0" w:space="0" w:color="auto"/>
        <w:bottom w:val="none" w:sz="0" w:space="0" w:color="auto"/>
        <w:right w:val="none" w:sz="0" w:space="0" w:color="auto"/>
      </w:divBdr>
    </w:div>
    <w:div w:id="1778519987">
      <w:bodyDiv w:val="1"/>
      <w:marLeft w:val="0"/>
      <w:marRight w:val="0"/>
      <w:marTop w:val="0"/>
      <w:marBottom w:val="0"/>
      <w:divBdr>
        <w:top w:val="none" w:sz="0" w:space="0" w:color="auto"/>
        <w:left w:val="none" w:sz="0" w:space="0" w:color="auto"/>
        <w:bottom w:val="none" w:sz="0" w:space="0" w:color="auto"/>
        <w:right w:val="none" w:sz="0" w:space="0" w:color="auto"/>
      </w:divBdr>
    </w:div>
    <w:div w:id="1790396778">
      <w:bodyDiv w:val="1"/>
      <w:marLeft w:val="0"/>
      <w:marRight w:val="0"/>
      <w:marTop w:val="0"/>
      <w:marBottom w:val="0"/>
      <w:divBdr>
        <w:top w:val="none" w:sz="0" w:space="0" w:color="auto"/>
        <w:left w:val="none" w:sz="0" w:space="0" w:color="auto"/>
        <w:bottom w:val="none" w:sz="0" w:space="0" w:color="auto"/>
        <w:right w:val="none" w:sz="0" w:space="0" w:color="auto"/>
      </w:divBdr>
    </w:div>
    <w:div w:id="1790783066">
      <w:bodyDiv w:val="1"/>
      <w:marLeft w:val="0"/>
      <w:marRight w:val="0"/>
      <w:marTop w:val="0"/>
      <w:marBottom w:val="0"/>
      <w:divBdr>
        <w:top w:val="none" w:sz="0" w:space="0" w:color="auto"/>
        <w:left w:val="none" w:sz="0" w:space="0" w:color="auto"/>
        <w:bottom w:val="none" w:sz="0" w:space="0" w:color="auto"/>
        <w:right w:val="none" w:sz="0" w:space="0" w:color="auto"/>
      </w:divBdr>
    </w:div>
    <w:div w:id="1793744413">
      <w:bodyDiv w:val="1"/>
      <w:marLeft w:val="0"/>
      <w:marRight w:val="0"/>
      <w:marTop w:val="0"/>
      <w:marBottom w:val="0"/>
      <w:divBdr>
        <w:top w:val="none" w:sz="0" w:space="0" w:color="auto"/>
        <w:left w:val="none" w:sz="0" w:space="0" w:color="auto"/>
        <w:bottom w:val="none" w:sz="0" w:space="0" w:color="auto"/>
        <w:right w:val="none" w:sz="0" w:space="0" w:color="auto"/>
      </w:divBdr>
      <w:divsChild>
        <w:div w:id="1716153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5975832">
      <w:bodyDiv w:val="1"/>
      <w:marLeft w:val="0"/>
      <w:marRight w:val="0"/>
      <w:marTop w:val="0"/>
      <w:marBottom w:val="0"/>
      <w:divBdr>
        <w:top w:val="none" w:sz="0" w:space="0" w:color="auto"/>
        <w:left w:val="none" w:sz="0" w:space="0" w:color="auto"/>
        <w:bottom w:val="none" w:sz="0" w:space="0" w:color="auto"/>
        <w:right w:val="none" w:sz="0" w:space="0" w:color="auto"/>
      </w:divBdr>
    </w:div>
    <w:div w:id="1799299513">
      <w:bodyDiv w:val="1"/>
      <w:marLeft w:val="0"/>
      <w:marRight w:val="0"/>
      <w:marTop w:val="0"/>
      <w:marBottom w:val="0"/>
      <w:divBdr>
        <w:top w:val="none" w:sz="0" w:space="0" w:color="auto"/>
        <w:left w:val="none" w:sz="0" w:space="0" w:color="auto"/>
        <w:bottom w:val="none" w:sz="0" w:space="0" w:color="auto"/>
        <w:right w:val="none" w:sz="0" w:space="0" w:color="auto"/>
      </w:divBdr>
    </w:div>
    <w:div w:id="1801604986">
      <w:bodyDiv w:val="1"/>
      <w:marLeft w:val="0"/>
      <w:marRight w:val="0"/>
      <w:marTop w:val="0"/>
      <w:marBottom w:val="0"/>
      <w:divBdr>
        <w:top w:val="none" w:sz="0" w:space="0" w:color="auto"/>
        <w:left w:val="none" w:sz="0" w:space="0" w:color="auto"/>
        <w:bottom w:val="none" w:sz="0" w:space="0" w:color="auto"/>
        <w:right w:val="none" w:sz="0" w:space="0" w:color="auto"/>
      </w:divBdr>
    </w:div>
    <w:div w:id="1812675514">
      <w:bodyDiv w:val="1"/>
      <w:marLeft w:val="0"/>
      <w:marRight w:val="0"/>
      <w:marTop w:val="0"/>
      <w:marBottom w:val="0"/>
      <w:divBdr>
        <w:top w:val="none" w:sz="0" w:space="0" w:color="auto"/>
        <w:left w:val="none" w:sz="0" w:space="0" w:color="auto"/>
        <w:bottom w:val="none" w:sz="0" w:space="0" w:color="auto"/>
        <w:right w:val="none" w:sz="0" w:space="0" w:color="auto"/>
      </w:divBdr>
      <w:divsChild>
        <w:div w:id="1769614802">
          <w:marLeft w:val="0"/>
          <w:marRight w:val="0"/>
          <w:marTop w:val="0"/>
          <w:marBottom w:val="0"/>
          <w:divBdr>
            <w:top w:val="none" w:sz="0" w:space="0" w:color="auto"/>
            <w:left w:val="none" w:sz="0" w:space="0" w:color="auto"/>
            <w:bottom w:val="none" w:sz="0" w:space="0" w:color="auto"/>
            <w:right w:val="none" w:sz="0" w:space="0" w:color="auto"/>
          </w:divBdr>
          <w:divsChild>
            <w:div w:id="2147234519">
              <w:marLeft w:val="0"/>
              <w:marRight w:val="0"/>
              <w:marTop w:val="0"/>
              <w:marBottom w:val="0"/>
              <w:divBdr>
                <w:top w:val="none" w:sz="0" w:space="0" w:color="auto"/>
                <w:left w:val="none" w:sz="0" w:space="0" w:color="auto"/>
                <w:bottom w:val="none" w:sz="0" w:space="0" w:color="auto"/>
                <w:right w:val="none" w:sz="0" w:space="0" w:color="auto"/>
              </w:divBdr>
              <w:divsChild>
                <w:div w:id="1124078913">
                  <w:marLeft w:val="0"/>
                  <w:marRight w:val="0"/>
                  <w:marTop w:val="0"/>
                  <w:marBottom w:val="0"/>
                  <w:divBdr>
                    <w:top w:val="none" w:sz="0" w:space="0" w:color="auto"/>
                    <w:left w:val="none" w:sz="0" w:space="0" w:color="auto"/>
                    <w:bottom w:val="none" w:sz="0" w:space="0" w:color="auto"/>
                    <w:right w:val="none" w:sz="0" w:space="0" w:color="auto"/>
                  </w:divBdr>
                  <w:divsChild>
                    <w:div w:id="2068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987444">
      <w:bodyDiv w:val="1"/>
      <w:marLeft w:val="0"/>
      <w:marRight w:val="0"/>
      <w:marTop w:val="0"/>
      <w:marBottom w:val="0"/>
      <w:divBdr>
        <w:top w:val="none" w:sz="0" w:space="0" w:color="auto"/>
        <w:left w:val="none" w:sz="0" w:space="0" w:color="auto"/>
        <w:bottom w:val="none" w:sz="0" w:space="0" w:color="auto"/>
        <w:right w:val="none" w:sz="0" w:space="0" w:color="auto"/>
      </w:divBdr>
    </w:div>
    <w:div w:id="1834249883">
      <w:bodyDiv w:val="1"/>
      <w:marLeft w:val="0"/>
      <w:marRight w:val="0"/>
      <w:marTop w:val="0"/>
      <w:marBottom w:val="0"/>
      <w:divBdr>
        <w:top w:val="none" w:sz="0" w:space="0" w:color="auto"/>
        <w:left w:val="none" w:sz="0" w:space="0" w:color="auto"/>
        <w:bottom w:val="none" w:sz="0" w:space="0" w:color="auto"/>
        <w:right w:val="none" w:sz="0" w:space="0" w:color="auto"/>
      </w:divBdr>
    </w:div>
    <w:div w:id="1835611494">
      <w:bodyDiv w:val="1"/>
      <w:marLeft w:val="0"/>
      <w:marRight w:val="0"/>
      <w:marTop w:val="0"/>
      <w:marBottom w:val="0"/>
      <w:divBdr>
        <w:top w:val="none" w:sz="0" w:space="0" w:color="auto"/>
        <w:left w:val="none" w:sz="0" w:space="0" w:color="auto"/>
        <w:bottom w:val="none" w:sz="0" w:space="0" w:color="auto"/>
        <w:right w:val="none" w:sz="0" w:space="0" w:color="auto"/>
      </w:divBdr>
    </w:div>
    <w:div w:id="1842574511">
      <w:bodyDiv w:val="1"/>
      <w:marLeft w:val="0"/>
      <w:marRight w:val="0"/>
      <w:marTop w:val="0"/>
      <w:marBottom w:val="0"/>
      <w:divBdr>
        <w:top w:val="none" w:sz="0" w:space="0" w:color="auto"/>
        <w:left w:val="none" w:sz="0" w:space="0" w:color="auto"/>
        <w:bottom w:val="none" w:sz="0" w:space="0" w:color="auto"/>
        <w:right w:val="none" w:sz="0" w:space="0" w:color="auto"/>
      </w:divBdr>
      <w:divsChild>
        <w:div w:id="1545364586">
          <w:marLeft w:val="0"/>
          <w:marRight w:val="0"/>
          <w:marTop w:val="0"/>
          <w:marBottom w:val="0"/>
          <w:divBdr>
            <w:top w:val="none" w:sz="0" w:space="0" w:color="auto"/>
            <w:left w:val="none" w:sz="0" w:space="0" w:color="auto"/>
            <w:bottom w:val="none" w:sz="0" w:space="0" w:color="auto"/>
            <w:right w:val="none" w:sz="0" w:space="0" w:color="auto"/>
          </w:divBdr>
          <w:divsChild>
            <w:div w:id="157577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59664">
      <w:bodyDiv w:val="1"/>
      <w:marLeft w:val="0"/>
      <w:marRight w:val="0"/>
      <w:marTop w:val="0"/>
      <w:marBottom w:val="0"/>
      <w:divBdr>
        <w:top w:val="none" w:sz="0" w:space="0" w:color="auto"/>
        <w:left w:val="none" w:sz="0" w:space="0" w:color="auto"/>
        <w:bottom w:val="none" w:sz="0" w:space="0" w:color="auto"/>
        <w:right w:val="none" w:sz="0" w:space="0" w:color="auto"/>
      </w:divBdr>
      <w:divsChild>
        <w:div w:id="32269335">
          <w:marLeft w:val="0"/>
          <w:marRight w:val="0"/>
          <w:marTop w:val="0"/>
          <w:marBottom w:val="0"/>
          <w:divBdr>
            <w:top w:val="none" w:sz="0" w:space="0" w:color="auto"/>
            <w:left w:val="none" w:sz="0" w:space="0" w:color="auto"/>
            <w:bottom w:val="none" w:sz="0" w:space="0" w:color="auto"/>
            <w:right w:val="none" w:sz="0" w:space="0" w:color="auto"/>
          </w:divBdr>
          <w:divsChild>
            <w:div w:id="581644672">
              <w:marLeft w:val="0"/>
              <w:marRight w:val="0"/>
              <w:marTop w:val="0"/>
              <w:marBottom w:val="0"/>
              <w:divBdr>
                <w:top w:val="none" w:sz="0" w:space="0" w:color="auto"/>
                <w:left w:val="none" w:sz="0" w:space="0" w:color="auto"/>
                <w:bottom w:val="none" w:sz="0" w:space="0" w:color="auto"/>
                <w:right w:val="none" w:sz="0" w:space="0" w:color="auto"/>
              </w:divBdr>
              <w:divsChild>
                <w:div w:id="28146701">
                  <w:marLeft w:val="0"/>
                  <w:marRight w:val="0"/>
                  <w:marTop w:val="0"/>
                  <w:marBottom w:val="0"/>
                  <w:divBdr>
                    <w:top w:val="none" w:sz="0" w:space="0" w:color="auto"/>
                    <w:left w:val="none" w:sz="0" w:space="0" w:color="auto"/>
                    <w:bottom w:val="none" w:sz="0" w:space="0" w:color="auto"/>
                    <w:right w:val="none" w:sz="0" w:space="0" w:color="auto"/>
                  </w:divBdr>
                  <w:divsChild>
                    <w:div w:id="17152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508148">
      <w:bodyDiv w:val="1"/>
      <w:marLeft w:val="0"/>
      <w:marRight w:val="0"/>
      <w:marTop w:val="0"/>
      <w:marBottom w:val="0"/>
      <w:divBdr>
        <w:top w:val="none" w:sz="0" w:space="0" w:color="auto"/>
        <w:left w:val="none" w:sz="0" w:space="0" w:color="auto"/>
        <w:bottom w:val="none" w:sz="0" w:space="0" w:color="auto"/>
        <w:right w:val="none" w:sz="0" w:space="0" w:color="auto"/>
      </w:divBdr>
    </w:div>
    <w:div w:id="1847330449">
      <w:bodyDiv w:val="1"/>
      <w:marLeft w:val="0"/>
      <w:marRight w:val="0"/>
      <w:marTop w:val="0"/>
      <w:marBottom w:val="0"/>
      <w:divBdr>
        <w:top w:val="none" w:sz="0" w:space="0" w:color="auto"/>
        <w:left w:val="none" w:sz="0" w:space="0" w:color="auto"/>
        <w:bottom w:val="none" w:sz="0" w:space="0" w:color="auto"/>
        <w:right w:val="none" w:sz="0" w:space="0" w:color="auto"/>
      </w:divBdr>
      <w:divsChild>
        <w:div w:id="17266794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7942582">
      <w:bodyDiv w:val="1"/>
      <w:marLeft w:val="0"/>
      <w:marRight w:val="0"/>
      <w:marTop w:val="0"/>
      <w:marBottom w:val="0"/>
      <w:divBdr>
        <w:top w:val="none" w:sz="0" w:space="0" w:color="auto"/>
        <w:left w:val="none" w:sz="0" w:space="0" w:color="auto"/>
        <w:bottom w:val="none" w:sz="0" w:space="0" w:color="auto"/>
        <w:right w:val="none" w:sz="0" w:space="0" w:color="auto"/>
      </w:divBdr>
    </w:div>
    <w:div w:id="1850369121">
      <w:bodyDiv w:val="1"/>
      <w:marLeft w:val="0"/>
      <w:marRight w:val="0"/>
      <w:marTop w:val="0"/>
      <w:marBottom w:val="0"/>
      <w:divBdr>
        <w:top w:val="none" w:sz="0" w:space="0" w:color="auto"/>
        <w:left w:val="none" w:sz="0" w:space="0" w:color="auto"/>
        <w:bottom w:val="none" w:sz="0" w:space="0" w:color="auto"/>
        <w:right w:val="none" w:sz="0" w:space="0" w:color="auto"/>
      </w:divBdr>
    </w:div>
    <w:div w:id="1856992427">
      <w:bodyDiv w:val="1"/>
      <w:marLeft w:val="0"/>
      <w:marRight w:val="0"/>
      <w:marTop w:val="0"/>
      <w:marBottom w:val="0"/>
      <w:divBdr>
        <w:top w:val="none" w:sz="0" w:space="0" w:color="auto"/>
        <w:left w:val="none" w:sz="0" w:space="0" w:color="auto"/>
        <w:bottom w:val="none" w:sz="0" w:space="0" w:color="auto"/>
        <w:right w:val="none" w:sz="0" w:space="0" w:color="auto"/>
      </w:divBdr>
    </w:div>
    <w:div w:id="1859808180">
      <w:bodyDiv w:val="1"/>
      <w:marLeft w:val="0"/>
      <w:marRight w:val="0"/>
      <w:marTop w:val="0"/>
      <w:marBottom w:val="0"/>
      <w:divBdr>
        <w:top w:val="none" w:sz="0" w:space="0" w:color="auto"/>
        <w:left w:val="none" w:sz="0" w:space="0" w:color="auto"/>
        <w:bottom w:val="none" w:sz="0" w:space="0" w:color="auto"/>
        <w:right w:val="none" w:sz="0" w:space="0" w:color="auto"/>
      </w:divBdr>
    </w:div>
    <w:div w:id="1861778158">
      <w:bodyDiv w:val="1"/>
      <w:marLeft w:val="0"/>
      <w:marRight w:val="0"/>
      <w:marTop w:val="0"/>
      <w:marBottom w:val="0"/>
      <w:divBdr>
        <w:top w:val="none" w:sz="0" w:space="0" w:color="auto"/>
        <w:left w:val="none" w:sz="0" w:space="0" w:color="auto"/>
        <w:bottom w:val="none" w:sz="0" w:space="0" w:color="auto"/>
        <w:right w:val="none" w:sz="0" w:space="0" w:color="auto"/>
      </w:divBdr>
    </w:div>
    <w:div w:id="1868565072">
      <w:bodyDiv w:val="1"/>
      <w:marLeft w:val="0"/>
      <w:marRight w:val="0"/>
      <w:marTop w:val="0"/>
      <w:marBottom w:val="0"/>
      <w:divBdr>
        <w:top w:val="none" w:sz="0" w:space="0" w:color="auto"/>
        <w:left w:val="none" w:sz="0" w:space="0" w:color="auto"/>
        <w:bottom w:val="none" w:sz="0" w:space="0" w:color="auto"/>
        <w:right w:val="none" w:sz="0" w:space="0" w:color="auto"/>
      </w:divBdr>
    </w:div>
    <w:div w:id="1884708526">
      <w:bodyDiv w:val="1"/>
      <w:marLeft w:val="0"/>
      <w:marRight w:val="0"/>
      <w:marTop w:val="0"/>
      <w:marBottom w:val="0"/>
      <w:divBdr>
        <w:top w:val="none" w:sz="0" w:space="0" w:color="auto"/>
        <w:left w:val="none" w:sz="0" w:space="0" w:color="auto"/>
        <w:bottom w:val="none" w:sz="0" w:space="0" w:color="auto"/>
        <w:right w:val="none" w:sz="0" w:space="0" w:color="auto"/>
      </w:divBdr>
    </w:div>
    <w:div w:id="1902784049">
      <w:bodyDiv w:val="1"/>
      <w:marLeft w:val="0"/>
      <w:marRight w:val="0"/>
      <w:marTop w:val="0"/>
      <w:marBottom w:val="0"/>
      <w:divBdr>
        <w:top w:val="none" w:sz="0" w:space="0" w:color="auto"/>
        <w:left w:val="none" w:sz="0" w:space="0" w:color="auto"/>
        <w:bottom w:val="none" w:sz="0" w:space="0" w:color="auto"/>
        <w:right w:val="none" w:sz="0" w:space="0" w:color="auto"/>
      </w:divBdr>
    </w:div>
    <w:div w:id="1909488144">
      <w:bodyDiv w:val="1"/>
      <w:marLeft w:val="0"/>
      <w:marRight w:val="0"/>
      <w:marTop w:val="0"/>
      <w:marBottom w:val="0"/>
      <w:divBdr>
        <w:top w:val="none" w:sz="0" w:space="0" w:color="auto"/>
        <w:left w:val="none" w:sz="0" w:space="0" w:color="auto"/>
        <w:bottom w:val="none" w:sz="0" w:space="0" w:color="auto"/>
        <w:right w:val="none" w:sz="0" w:space="0" w:color="auto"/>
      </w:divBdr>
    </w:div>
    <w:div w:id="1921327253">
      <w:bodyDiv w:val="1"/>
      <w:marLeft w:val="0"/>
      <w:marRight w:val="0"/>
      <w:marTop w:val="0"/>
      <w:marBottom w:val="0"/>
      <w:divBdr>
        <w:top w:val="none" w:sz="0" w:space="0" w:color="auto"/>
        <w:left w:val="none" w:sz="0" w:space="0" w:color="auto"/>
        <w:bottom w:val="none" w:sz="0" w:space="0" w:color="auto"/>
        <w:right w:val="none" w:sz="0" w:space="0" w:color="auto"/>
      </w:divBdr>
      <w:divsChild>
        <w:div w:id="836769756">
          <w:marLeft w:val="0"/>
          <w:marRight w:val="0"/>
          <w:marTop w:val="0"/>
          <w:marBottom w:val="0"/>
          <w:divBdr>
            <w:top w:val="none" w:sz="0" w:space="0" w:color="auto"/>
            <w:left w:val="none" w:sz="0" w:space="0" w:color="auto"/>
            <w:bottom w:val="none" w:sz="0" w:space="0" w:color="auto"/>
            <w:right w:val="none" w:sz="0" w:space="0" w:color="auto"/>
          </w:divBdr>
          <w:divsChild>
            <w:div w:id="93207591">
              <w:marLeft w:val="0"/>
              <w:marRight w:val="0"/>
              <w:marTop w:val="0"/>
              <w:marBottom w:val="0"/>
              <w:divBdr>
                <w:top w:val="none" w:sz="0" w:space="0" w:color="auto"/>
                <w:left w:val="none" w:sz="0" w:space="0" w:color="auto"/>
                <w:bottom w:val="none" w:sz="0" w:space="0" w:color="auto"/>
                <w:right w:val="none" w:sz="0" w:space="0" w:color="auto"/>
              </w:divBdr>
              <w:divsChild>
                <w:div w:id="298462308">
                  <w:marLeft w:val="0"/>
                  <w:marRight w:val="0"/>
                  <w:marTop w:val="0"/>
                  <w:marBottom w:val="0"/>
                  <w:divBdr>
                    <w:top w:val="none" w:sz="0" w:space="0" w:color="auto"/>
                    <w:left w:val="none" w:sz="0" w:space="0" w:color="auto"/>
                    <w:bottom w:val="none" w:sz="0" w:space="0" w:color="auto"/>
                    <w:right w:val="none" w:sz="0" w:space="0" w:color="auto"/>
                  </w:divBdr>
                  <w:divsChild>
                    <w:div w:id="76037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925371">
      <w:bodyDiv w:val="1"/>
      <w:marLeft w:val="0"/>
      <w:marRight w:val="0"/>
      <w:marTop w:val="0"/>
      <w:marBottom w:val="0"/>
      <w:divBdr>
        <w:top w:val="none" w:sz="0" w:space="0" w:color="auto"/>
        <w:left w:val="none" w:sz="0" w:space="0" w:color="auto"/>
        <w:bottom w:val="none" w:sz="0" w:space="0" w:color="auto"/>
        <w:right w:val="none" w:sz="0" w:space="0" w:color="auto"/>
      </w:divBdr>
    </w:div>
    <w:div w:id="1958019545">
      <w:bodyDiv w:val="1"/>
      <w:marLeft w:val="0"/>
      <w:marRight w:val="0"/>
      <w:marTop w:val="0"/>
      <w:marBottom w:val="0"/>
      <w:divBdr>
        <w:top w:val="none" w:sz="0" w:space="0" w:color="auto"/>
        <w:left w:val="none" w:sz="0" w:space="0" w:color="auto"/>
        <w:bottom w:val="none" w:sz="0" w:space="0" w:color="auto"/>
        <w:right w:val="none" w:sz="0" w:space="0" w:color="auto"/>
      </w:divBdr>
      <w:divsChild>
        <w:div w:id="3512280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5425468">
      <w:bodyDiv w:val="1"/>
      <w:marLeft w:val="0"/>
      <w:marRight w:val="0"/>
      <w:marTop w:val="0"/>
      <w:marBottom w:val="0"/>
      <w:divBdr>
        <w:top w:val="none" w:sz="0" w:space="0" w:color="auto"/>
        <w:left w:val="none" w:sz="0" w:space="0" w:color="auto"/>
        <w:bottom w:val="none" w:sz="0" w:space="0" w:color="auto"/>
        <w:right w:val="none" w:sz="0" w:space="0" w:color="auto"/>
      </w:divBdr>
      <w:divsChild>
        <w:div w:id="137843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84587404">
          <w:blockQuote w:val="1"/>
          <w:marLeft w:val="720"/>
          <w:marRight w:val="720"/>
          <w:marTop w:val="100"/>
          <w:marBottom w:val="100"/>
          <w:divBdr>
            <w:top w:val="none" w:sz="0" w:space="0" w:color="auto"/>
            <w:left w:val="none" w:sz="0" w:space="0" w:color="auto"/>
            <w:bottom w:val="none" w:sz="0" w:space="0" w:color="auto"/>
            <w:right w:val="none" w:sz="0" w:space="0" w:color="auto"/>
          </w:divBdr>
        </w:div>
        <w:div w:id="1075906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1355281">
      <w:bodyDiv w:val="1"/>
      <w:marLeft w:val="0"/>
      <w:marRight w:val="0"/>
      <w:marTop w:val="0"/>
      <w:marBottom w:val="0"/>
      <w:divBdr>
        <w:top w:val="none" w:sz="0" w:space="0" w:color="auto"/>
        <w:left w:val="none" w:sz="0" w:space="0" w:color="auto"/>
        <w:bottom w:val="none" w:sz="0" w:space="0" w:color="auto"/>
        <w:right w:val="none" w:sz="0" w:space="0" w:color="auto"/>
      </w:divBdr>
      <w:divsChild>
        <w:div w:id="16557176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4556319">
      <w:bodyDiv w:val="1"/>
      <w:marLeft w:val="0"/>
      <w:marRight w:val="0"/>
      <w:marTop w:val="0"/>
      <w:marBottom w:val="0"/>
      <w:divBdr>
        <w:top w:val="none" w:sz="0" w:space="0" w:color="auto"/>
        <w:left w:val="none" w:sz="0" w:space="0" w:color="auto"/>
        <w:bottom w:val="none" w:sz="0" w:space="0" w:color="auto"/>
        <w:right w:val="none" w:sz="0" w:space="0" w:color="auto"/>
      </w:divBdr>
      <w:divsChild>
        <w:div w:id="878130923">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911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6450193">
      <w:bodyDiv w:val="1"/>
      <w:marLeft w:val="0"/>
      <w:marRight w:val="0"/>
      <w:marTop w:val="0"/>
      <w:marBottom w:val="0"/>
      <w:divBdr>
        <w:top w:val="none" w:sz="0" w:space="0" w:color="auto"/>
        <w:left w:val="none" w:sz="0" w:space="0" w:color="auto"/>
        <w:bottom w:val="none" w:sz="0" w:space="0" w:color="auto"/>
        <w:right w:val="none" w:sz="0" w:space="0" w:color="auto"/>
      </w:divBdr>
    </w:div>
    <w:div w:id="1978872375">
      <w:bodyDiv w:val="1"/>
      <w:marLeft w:val="0"/>
      <w:marRight w:val="0"/>
      <w:marTop w:val="0"/>
      <w:marBottom w:val="0"/>
      <w:divBdr>
        <w:top w:val="none" w:sz="0" w:space="0" w:color="auto"/>
        <w:left w:val="none" w:sz="0" w:space="0" w:color="auto"/>
        <w:bottom w:val="none" w:sz="0" w:space="0" w:color="auto"/>
        <w:right w:val="none" w:sz="0" w:space="0" w:color="auto"/>
      </w:divBdr>
    </w:div>
    <w:div w:id="1979414707">
      <w:bodyDiv w:val="1"/>
      <w:marLeft w:val="0"/>
      <w:marRight w:val="0"/>
      <w:marTop w:val="0"/>
      <w:marBottom w:val="0"/>
      <w:divBdr>
        <w:top w:val="none" w:sz="0" w:space="0" w:color="auto"/>
        <w:left w:val="none" w:sz="0" w:space="0" w:color="auto"/>
        <w:bottom w:val="none" w:sz="0" w:space="0" w:color="auto"/>
        <w:right w:val="none" w:sz="0" w:space="0" w:color="auto"/>
      </w:divBdr>
    </w:div>
    <w:div w:id="1980574726">
      <w:bodyDiv w:val="1"/>
      <w:marLeft w:val="0"/>
      <w:marRight w:val="0"/>
      <w:marTop w:val="0"/>
      <w:marBottom w:val="0"/>
      <w:divBdr>
        <w:top w:val="none" w:sz="0" w:space="0" w:color="auto"/>
        <w:left w:val="none" w:sz="0" w:space="0" w:color="auto"/>
        <w:bottom w:val="none" w:sz="0" w:space="0" w:color="auto"/>
        <w:right w:val="none" w:sz="0" w:space="0" w:color="auto"/>
      </w:divBdr>
    </w:div>
    <w:div w:id="1983463620">
      <w:bodyDiv w:val="1"/>
      <w:marLeft w:val="0"/>
      <w:marRight w:val="0"/>
      <w:marTop w:val="0"/>
      <w:marBottom w:val="0"/>
      <w:divBdr>
        <w:top w:val="none" w:sz="0" w:space="0" w:color="auto"/>
        <w:left w:val="none" w:sz="0" w:space="0" w:color="auto"/>
        <w:bottom w:val="none" w:sz="0" w:space="0" w:color="auto"/>
        <w:right w:val="none" w:sz="0" w:space="0" w:color="auto"/>
      </w:divBdr>
      <w:divsChild>
        <w:div w:id="20760054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9046387">
      <w:bodyDiv w:val="1"/>
      <w:marLeft w:val="0"/>
      <w:marRight w:val="0"/>
      <w:marTop w:val="0"/>
      <w:marBottom w:val="0"/>
      <w:divBdr>
        <w:top w:val="none" w:sz="0" w:space="0" w:color="auto"/>
        <w:left w:val="none" w:sz="0" w:space="0" w:color="auto"/>
        <w:bottom w:val="none" w:sz="0" w:space="0" w:color="auto"/>
        <w:right w:val="none" w:sz="0" w:space="0" w:color="auto"/>
      </w:divBdr>
    </w:div>
    <w:div w:id="2000036173">
      <w:bodyDiv w:val="1"/>
      <w:marLeft w:val="0"/>
      <w:marRight w:val="0"/>
      <w:marTop w:val="0"/>
      <w:marBottom w:val="0"/>
      <w:divBdr>
        <w:top w:val="none" w:sz="0" w:space="0" w:color="auto"/>
        <w:left w:val="none" w:sz="0" w:space="0" w:color="auto"/>
        <w:bottom w:val="none" w:sz="0" w:space="0" w:color="auto"/>
        <w:right w:val="none" w:sz="0" w:space="0" w:color="auto"/>
      </w:divBdr>
    </w:div>
    <w:div w:id="2012442266">
      <w:bodyDiv w:val="1"/>
      <w:marLeft w:val="0"/>
      <w:marRight w:val="0"/>
      <w:marTop w:val="0"/>
      <w:marBottom w:val="0"/>
      <w:divBdr>
        <w:top w:val="none" w:sz="0" w:space="0" w:color="auto"/>
        <w:left w:val="none" w:sz="0" w:space="0" w:color="auto"/>
        <w:bottom w:val="none" w:sz="0" w:space="0" w:color="auto"/>
        <w:right w:val="none" w:sz="0" w:space="0" w:color="auto"/>
      </w:divBdr>
      <w:divsChild>
        <w:div w:id="565333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0642597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38151">
      <w:bodyDiv w:val="1"/>
      <w:marLeft w:val="0"/>
      <w:marRight w:val="0"/>
      <w:marTop w:val="0"/>
      <w:marBottom w:val="0"/>
      <w:divBdr>
        <w:top w:val="none" w:sz="0" w:space="0" w:color="auto"/>
        <w:left w:val="none" w:sz="0" w:space="0" w:color="auto"/>
        <w:bottom w:val="none" w:sz="0" w:space="0" w:color="auto"/>
        <w:right w:val="none" w:sz="0" w:space="0" w:color="auto"/>
      </w:divBdr>
      <w:divsChild>
        <w:div w:id="1890531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4745049">
      <w:bodyDiv w:val="1"/>
      <w:marLeft w:val="0"/>
      <w:marRight w:val="0"/>
      <w:marTop w:val="0"/>
      <w:marBottom w:val="0"/>
      <w:divBdr>
        <w:top w:val="none" w:sz="0" w:space="0" w:color="auto"/>
        <w:left w:val="none" w:sz="0" w:space="0" w:color="auto"/>
        <w:bottom w:val="none" w:sz="0" w:space="0" w:color="auto"/>
        <w:right w:val="none" w:sz="0" w:space="0" w:color="auto"/>
      </w:divBdr>
    </w:div>
    <w:div w:id="2025351899">
      <w:bodyDiv w:val="1"/>
      <w:marLeft w:val="0"/>
      <w:marRight w:val="0"/>
      <w:marTop w:val="0"/>
      <w:marBottom w:val="0"/>
      <w:divBdr>
        <w:top w:val="none" w:sz="0" w:space="0" w:color="auto"/>
        <w:left w:val="none" w:sz="0" w:space="0" w:color="auto"/>
        <w:bottom w:val="none" w:sz="0" w:space="0" w:color="auto"/>
        <w:right w:val="none" w:sz="0" w:space="0" w:color="auto"/>
      </w:divBdr>
      <w:divsChild>
        <w:div w:id="53284422">
          <w:blockQuote w:val="1"/>
          <w:marLeft w:val="720"/>
          <w:marRight w:val="720"/>
          <w:marTop w:val="100"/>
          <w:marBottom w:val="100"/>
          <w:divBdr>
            <w:top w:val="none" w:sz="0" w:space="0" w:color="auto"/>
            <w:left w:val="none" w:sz="0" w:space="0" w:color="auto"/>
            <w:bottom w:val="none" w:sz="0" w:space="0" w:color="auto"/>
            <w:right w:val="none" w:sz="0" w:space="0" w:color="auto"/>
          </w:divBdr>
        </w:div>
        <w:div w:id="262694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6009715">
      <w:bodyDiv w:val="1"/>
      <w:marLeft w:val="0"/>
      <w:marRight w:val="0"/>
      <w:marTop w:val="0"/>
      <w:marBottom w:val="0"/>
      <w:divBdr>
        <w:top w:val="none" w:sz="0" w:space="0" w:color="auto"/>
        <w:left w:val="none" w:sz="0" w:space="0" w:color="auto"/>
        <w:bottom w:val="none" w:sz="0" w:space="0" w:color="auto"/>
        <w:right w:val="none" w:sz="0" w:space="0" w:color="auto"/>
      </w:divBdr>
    </w:div>
    <w:div w:id="2030175185">
      <w:bodyDiv w:val="1"/>
      <w:marLeft w:val="0"/>
      <w:marRight w:val="0"/>
      <w:marTop w:val="0"/>
      <w:marBottom w:val="0"/>
      <w:divBdr>
        <w:top w:val="none" w:sz="0" w:space="0" w:color="auto"/>
        <w:left w:val="none" w:sz="0" w:space="0" w:color="auto"/>
        <w:bottom w:val="none" w:sz="0" w:space="0" w:color="auto"/>
        <w:right w:val="none" w:sz="0" w:space="0" w:color="auto"/>
      </w:divBdr>
      <w:divsChild>
        <w:div w:id="426855700">
          <w:marLeft w:val="0"/>
          <w:marRight w:val="0"/>
          <w:marTop w:val="0"/>
          <w:marBottom w:val="0"/>
          <w:divBdr>
            <w:top w:val="none" w:sz="0" w:space="0" w:color="auto"/>
            <w:left w:val="none" w:sz="0" w:space="0" w:color="auto"/>
            <w:bottom w:val="none" w:sz="0" w:space="0" w:color="auto"/>
            <w:right w:val="none" w:sz="0" w:space="0" w:color="auto"/>
          </w:divBdr>
        </w:div>
        <w:div w:id="640042996">
          <w:marLeft w:val="0"/>
          <w:marRight w:val="0"/>
          <w:marTop w:val="0"/>
          <w:marBottom w:val="0"/>
          <w:divBdr>
            <w:top w:val="none" w:sz="0" w:space="0" w:color="auto"/>
            <w:left w:val="none" w:sz="0" w:space="0" w:color="auto"/>
            <w:bottom w:val="none" w:sz="0" w:space="0" w:color="auto"/>
            <w:right w:val="none" w:sz="0" w:space="0" w:color="auto"/>
          </w:divBdr>
        </w:div>
      </w:divsChild>
    </w:div>
    <w:div w:id="2031754286">
      <w:bodyDiv w:val="1"/>
      <w:marLeft w:val="0"/>
      <w:marRight w:val="0"/>
      <w:marTop w:val="0"/>
      <w:marBottom w:val="0"/>
      <w:divBdr>
        <w:top w:val="none" w:sz="0" w:space="0" w:color="auto"/>
        <w:left w:val="none" w:sz="0" w:space="0" w:color="auto"/>
        <w:bottom w:val="none" w:sz="0" w:space="0" w:color="auto"/>
        <w:right w:val="none" w:sz="0" w:space="0" w:color="auto"/>
      </w:divBdr>
    </w:div>
    <w:div w:id="2034258675">
      <w:bodyDiv w:val="1"/>
      <w:marLeft w:val="0"/>
      <w:marRight w:val="0"/>
      <w:marTop w:val="0"/>
      <w:marBottom w:val="0"/>
      <w:divBdr>
        <w:top w:val="none" w:sz="0" w:space="0" w:color="auto"/>
        <w:left w:val="none" w:sz="0" w:space="0" w:color="auto"/>
        <w:bottom w:val="none" w:sz="0" w:space="0" w:color="auto"/>
        <w:right w:val="none" w:sz="0" w:space="0" w:color="auto"/>
      </w:divBdr>
      <w:divsChild>
        <w:div w:id="1153137846">
          <w:blockQuote w:val="1"/>
          <w:marLeft w:val="720"/>
          <w:marRight w:val="720"/>
          <w:marTop w:val="100"/>
          <w:marBottom w:val="100"/>
          <w:divBdr>
            <w:top w:val="none" w:sz="0" w:space="0" w:color="auto"/>
            <w:left w:val="none" w:sz="0" w:space="0" w:color="auto"/>
            <w:bottom w:val="none" w:sz="0" w:space="0" w:color="auto"/>
            <w:right w:val="none" w:sz="0" w:space="0" w:color="auto"/>
          </w:divBdr>
        </w:div>
        <w:div w:id="7876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4543243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7636473">
      <w:bodyDiv w:val="1"/>
      <w:marLeft w:val="0"/>
      <w:marRight w:val="0"/>
      <w:marTop w:val="0"/>
      <w:marBottom w:val="0"/>
      <w:divBdr>
        <w:top w:val="none" w:sz="0" w:space="0" w:color="auto"/>
        <w:left w:val="none" w:sz="0" w:space="0" w:color="auto"/>
        <w:bottom w:val="none" w:sz="0" w:space="0" w:color="auto"/>
        <w:right w:val="none" w:sz="0" w:space="0" w:color="auto"/>
      </w:divBdr>
    </w:div>
    <w:div w:id="2052220481">
      <w:bodyDiv w:val="1"/>
      <w:marLeft w:val="0"/>
      <w:marRight w:val="0"/>
      <w:marTop w:val="0"/>
      <w:marBottom w:val="0"/>
      <w:divBdr>
        <w:top w:val="none" w:sz="0" w:space="0" w:color="auto"/>
        <w:left w:val="none" w:sz="0" w:space="0" w:color="auto"/>
        <w:bottom w:val="none" w:sz="0" w:space="0" w:color="auto"/>
        <w:right w:val="none" w:sz="0" w:space="0" w:color="auto"/>
      </w:divBdr>
      <w:divsChild>
        <w:div w:id="153992797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954445">
          <w:blockQuote w:val="1"/>
          <w:marLeft w:val="720"/>
          <w:marRight w:val="720"/>
          <w:marTop w:val="100"/>
          <w:marBottom w:val="100"/>
          <w:divBdr>
            <w:top w:val="none" w:sz="0" w:space="0" w:color="auto"/>
            <w:left w:val="none" w:sz="0" w:space="0" w:color="auto"/>
            <w:bottom w:val="none" w:sz="0" w:space="0" w:color="auto"/>
            <w:right w:val="none" w:sz="0" w:space="0" w:color="auto"/>
          </w:divBdr>
        </w:div>
        <w:div w:id="1033504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9455170">
      <w:bodyDiv w:val="1"/>
      <w:marLeft w:val="0"/>
      <w:marRight w:val="0"/>
      <w:marTop w:val="0"/>
      <w:marBottom w:val="0"/>
      <w:divBdr>
        <w:top w:val="none" w:sz="0" w:space="0" w:color="auto"/>
        <w:left w:val="none" w:sz="0" w:space="0" w:color="auto"/>
        <w:bottom w:val="none" w:sz="0" w:space="0" w:color="auto"/>
        <w:right w:val="none" w:sz="0" w:space="0" w:color="auto"/>
      </w:divBdr>
    </w:div>
    <w:div w:id="2076320023">
      <w:bodyDiv w:val="1"/>
      <w:marLeft w:val="0"/>
      <w:marRight w:val="0"/>
      <w:marTop w:val="0"/>
      <w:marBottom w:val="0"/>
      <w:divBdr>
        <w:top w:val="none" w:sz="0" w:space="0" w:color="auto"/>
        <w:left w:val="none" w:sz="0" w:space="0" w:color="auto"/>
        <w:bottom w:val="none" w:sz="0" w:space="0" w:color="auto"/>
        <w:right w:val="none" w:sz="0" w:space="0" w:color="auto"/>
      </w:divBdr>
    </w:div>
    <w:div w:id="2085761463">
      <w:bodyDiv w:val="1"/>
      <w:marLeft w:val="0"/>
      <w:marRight w:val="0"/>
      <w:marTop w:val="0"/>
      <w:marBottom w:val="0"/>
      <w:divBdr>
        <w:top w:val="none" w:sz="0" w:space="0" w:color="auto"/>
        <w:left w:val="none" w:sz="0" w:space="0" w:color="auto"/>
        <w:bottom w:val="none" w:sz="0" w:space="0" w:color="auto"/>
        <w:right w:val="none" w:sz="0" w:space="0" w:color="auto"/>
      </w:divBdr>
    </w:div>
    <w:div w:id="2086760283">
      <w:bodyDiv w:val="1"/>
      <w:marLeft w:val="0"/>
      <w:marRight w:val="0"/>
      <w:marTop w:val="0"/>
      <w:marBottom w:val="0"/>
      <w:divBdr>
        <w:top w:val="none" w:sz="0" w:space="0" w:color="auto"/>
        <w:left w:val="none" w:sz="0" w:space="0" w:color="auto"/>
        <w:bottom w:val="none" w:sz="0" w:space="0" w:color="auto"/>
        <w:right w:val="none" w:sz="0" w:space="0" w:color="auto"/>
      </w:divBdr>
      <w:divsChild>
        <w:div w:id="465783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3144265">
      <w:bodyDiv w:val="1"/>
      <w:marLeft w:val="0"/>
      <w:marRight w:val="0"/>
      <w:marTop w:val="0"/>
      <w:marBottom w:val="0"/>
      <w:divBdr>
        <w:top w:val="none" w:sz="0" w:space="0" w:color="auto"/>
        <w:left w:val="none" w:sz="0" w:space="0" w:color="auto"/>
        <w:bottom w:val="none" w:sz="0" w:space="0" w:color="auto"/>
        <w:right w:val="none" w:sz="0" w:space="0" w:color="auto"/>
      </w:divBdr>
      <w:divsChild>
        <w:div w:id="15286362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11600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5401324">
      <w:bodyDiv w:val="1"/>
      <w:marLeft w:val="0"/>
      <w:marRight w:val="0"/>
      <w:marTop w:val="0"/>
      <w:marBottom w:val="0"/>
      <w:divBdr>
        <w:top w:val="none" w:sz="0" w:space="0" w:color="auto"/>
        <w:left w:val="none" w:sz="0" w:space="0" w:color="auto"/>
        <w:bottom w:val="none" w:sz="0" w:space="0" w:color="auto"/>
        <w:right w:val="none" w:sz="0" w:space="0" w:color="auto"/>
      </w:divBdr>
    </w:div>
    <w:div w:id="2118790394">
      <w:bodyDiv w:val="1"/>
      <w:marLeft w:val="0"/>
      <w:marRight w:val="0"/>
      <w:marTop w:val="0"/>
      <w:marBottom w:val="0"/>
      <w:divBdr>
        <w:top w:val="none" w:sz="0" w:space="0" w:color="auto"/>
        <w:left w:val="none" w:sz="0" w:space="0" w:color="auto"/>
        <w:bottom w:val="none" w:sz="0" w:space="0" w:color="auto"/>
        <w:right w:val="none" w:sz="0" w:space="0" w:color="auto"/>
      </w:divBdr>
    </w:div>
    <w:div w:id="2120099314">
      <w:bodyDiv w:val="1"/>
      <w:marLeft w:val="0"/>
      <w:marRight w:val="0"/>
      <w:marTop w:val="0"/>
      <w:marBottom w:val="0"/>
      <w:divBdr>
        <w:top w:val="none" w:sz="0" w:space="0" w:color="auto"/>
        <w:left w:val="none" w:sz="0" w:space="0" w:color="auto"/>
        <w:bottom w:val="none" w:sz="0" w:space="0" w:color="auto"/>
        <w:right w:val="none" w:sz="0" w:space="0" w:color="auto"/>
      </w:divBdr>
      <w:divsChild>
        <w:div w:id="704062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1485413">
      <w:bodyDiv w:val="1"/>
      <w:marLeft w:val="0"/>
      <w:marRight w:val="0"/>
      <w:marTop w:val="0"/>
      <w:marBottom w:val="0"/>
      <w:divBdr>
        <w:top w:val="none" w:sz="0" w:space="0" w:color="auto"/>
        <w:left w:val="none" w:sz="0" w:space="0" w:color="auto"/>
        <w:bottom w:val="none" w:sz="0" w:space="0" w:color="auto"/>
        <w:right w:val="none" w:sz="0" w:space="0" w:color="auto"/>
      </w:divBdr>
    </w:div>
    <w:div w:id="2140492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01adtivobuga@cendoj.ramajudicial.gov.co"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notificaciones@gha.com.co"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nzalo_ab\Downloads\ALEGATOS%20-%20OMAR%20RESTREPO%20-%20KLGM.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ABF81-F0BA-40BD-B40E-38ADC04B7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ALEGATOS - OMAR RESTREPO - KLGM</Template>
  <TotalTime>17</TotalTime>
  <Pages>22</Pages>
  <Words>8569</Words>
  <Characters>47135</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Gonzalo</dc:creator>
  <cp:keywords/>
  <dc:description/>
  <cp:lastModifiedBy>Eduardo A Misas Castro</cp:lastModifiedBy>
  <cp:revision>3</cp:revision>
  <cp:lastPrinted>2025-07-07T21:33:00Z</cp:lastPrinted>
  <dcterms:created xsi:type="dcterms:W3CDTF">2025-07-07T21:33:00Z</dcterms:created>
  <dcterms:modified xsi:type="dcterms:W3CDTF">2025-07-07T21:46:00Z</dcterms:modified>
</cp:coreProperties>
</file>