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2F9C" w:rsidRDefault="00172891">
      <w:pPr>
        <w:jc w:val="right"/>
        <w:rPr>
          <w:rFonts w:ascii="Century Gothic" w:eastAsia="Century Gothic" w:hAnsi="Century Gothic" w:cs="Century Gothic"/>
          <w:b/>
          <w:sz w:val="24"/>
          <w:szCs w:val="24"/>
        </w:rPr>
      </w:pPr>
      <w:r>
        <w:rPr>
          <w:rFonts w:ascii="Century Gothic" w:eastAsia="Century Gothic" w:hAnsi="Century Gothic" w:cs="Century Gothic"/>
          <w:b/>
          <w:noProof/>
          <w:sz w:val="24"/>
          <w:szCs w:val="24"/>
        </w:rPr>
        <w:drawing>
          <wp:anchor distT="0" distB="0" distL="0" distR="0" simplePos="0" relativeHeight="251658240" behindDoc="1" locked="0" layoutInCell="1" hidden="0" allowOverlap="1">
            <wp:simplePos x="0" y="0"/>
            <wp:positionH relativeFrom="page">
              <wp:posOffset>2786063</wp:posOffset>
            </wp:positionH>
            <wp:positionV relativeFrom="page">
              <wp:posOffset>80010</wp:posOffset>
            </wp:positionV>
            <wp:extent cx="2200275" cy="1247775"/>
            <wp:effectExtent l="0" t="0" r="0" b="0"/>
            <wp:wrapNone/>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200275" cy="1247775"/>
                    </a:xfrm>
                    <a:prstGeom prst="rect">
                      <a:avLst/>
                    </a:prstGeom>
                    <a:ln/>
                  </pic:spPr>
                </pic:pic>
              </a:graphicData>
            </a:graphic>
          </wp:anchor>
        </w:drawing>
      </w:r>
      <w:r>
        <w:rPr>
          <w:rFonts w:ascii="Century Gothic" w:eastAsia="Century Gothic" w:hAnsi="Century Gothic" w:cs="Century Gothic"/>
          <w:b/>
          <w:sz w:val="24"/>
          <w:szCs w:val="24"/>
        </w:rPr>
        <w:t>Índice 00040</w:t>
      </w:r>
    </w:p>
    <w:p w:rsidR="008B2F9C" w:rsidRDefault="00172891">
      <w:pPr>
        <w:jc w:val="center"/>
        <w:rPr>
          <w:rFonts w:ascii="Century Gothic" w:eastAsia="Century Gothic" w:hAnsi="Century Gothic" w:cs="Century Gothic"/>
          <w:b/>
          <w:sz w:val="24"/>
          <w:szCs w:val="24"/>
        </w:rPr>
      </w:pPr>
      <w:r>
        <w:rPr>
          <w:rFonts w:ascii="Century Gothic" w:eastAsia="Century Gothic" w:hAnsi="Century Gothic" w:cs="Century Gothic"/>
          <w:b/>
          <w:sz w:val="24"/>
          <w:szCs w:val="24"/>
        </w:rPr>
        <w:t>CONSEJO DE ESTADO</w:t>
      </w:r>
    </w:p>
    <w:p w:rsidR="008B2F9C" w:rsidRDefault="00172891">
      <w:pPr>
        <w:jc w:val="center"/>
        <w:rPr>
          <w:rFonts w:ascii="Century Gothic" w:eastAsia="Century Gothic" w:hAnsi="Century Gothic" w:cs="Century Gothic"/>
          <w:b/>
          <w:sz w:val="24"/>
          <w:szCs w:val="24"/>
        </w:rPr>
      </w:pPr>
      <w:r>
        <w:rPr>
          <w:rFonts w:ascii="Century Gothic" w:eastAsia="Century Gothic" w:hAnsi="Century Gothic" w:cs="Century Gothic"/>
          <w:b/>
          <w:sz w:val="24"/>
          <w:szCs w:val="24"/>
        </w:rPr>
        <w:t>SALA DE LO CONTENCIOSO ADMINISTRATIVO</w:t>
      </w:r>
    </w:p>
    <w:p w:rsidR="008B2F9C" w:rsidRDefault="00172891">
      <w:pPr>
        <w:jc w:val="center"/>
        <w:rPr>
          <w:rFonts w:ascii="Century Gothic" w:eastAsia="Century Gothic" w:hAnsi="Century Gothic" w:cs="Century Gothic"/>
          <w:b/>
          <w:sz w:val="24"/>
          <w:szCs w:val="24"/>
        </w:rPr>
      </w:pPr>
      <w:r>
        <w:rPr>
          <w:rFonts w:ascii="Century Gothic" w:eastAsia="Century Gothic" w:hAnsi="Century Gothic" w:cs="Century Gothic"/>
          <w:b/>
          <w:sz w:val="24"/>
          <w:szCs w:val="24"/>
        </w:rPr>
        <w:t>SECCIÓN TERCERA</w:t>
      </w:r>
    </w:p>
    <w:p w:rsidR="008B2F9C" w:rsidRDefault="00172891">
      <w:pPr>
        <w:jc w:val="center"/>
        <w:rPr>
          <w:rFonts w:ascii="Century Gothic" w:eastAsia="Century Gothic" w:hAnsi="Century Gothic" w:cs="Century Gothic"/>
          <w:sz w:val="24"/>
          <w:szCs w:val="24"/>
        </w:rPr>
      </w:pPr>
      <w:r>
        <w:rPr>
          <w:rFonts w:ascii="Century Gothic" w:eastAsia="Century Gothic" w:hAnsi="Century Gothic" w:cs="Century Gothic"/>
          <w:b/>
          <w:sz w:val="24"/>
          <w:szCs w:val="24"/>
        </w:rPr>
        <w:t>SECRETARÍA</w:t>
      </w:r>
    </w:p>
    <w:p w:rsidR="008B2F9C" w:rsidRDefault="008B2F9C">
      <w:pPr>
        <w:rPr>
          <w:rFonts w:ascii="Century Gothic" w:eastAsia="Century Gothic" w:hAnsi="Century Gothic" w:cs="Century Gothic"/>
          <w:b/>
          <w:sz w:val="24"/>
          <w:szCs w:val="24"/>
        </w:rPr>
      </w:pPr>
    </w:p>
    <w:tbl>
      <w:tblPr>
        <w:tblStyle w:val="af2"/>
        <w:tblW w:w="8766" w:type="dxa"/>
        <w:jc w:val="center"/>
        <w:tblInd w:w="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8766"/>
      </w:tblGrid>
      <w:tr w:rsidR="008B2F9C">
        <w:trPr>
          <w:trHeight w:val="135"/>
          <w:jc w:val="center"/>
        </w:trPr>
        <w:tc>
          <w:tcPr>
            <w:tcW w:w="8766" w:type="dxa"/>
            <w:shd w:val="clear" w:color="auto" w:fill="CCCCCC"/>
          </w:tcPr>
          <w:p w:rsidR="008B2F9C" w:rsidRDefault="00172891">
            <w:pPr>
              <w:rPr>
                <w:rFonts w:ascii="Century Gothic" w:eastAsia="Century Gothic" w:hAnsi="Century Gothic" w:cs="Century Gothic"/>
                <w:b/>
                <w:sz w:val="24"/>
                <w:szCs w:val="24"/>
              </w:rPr>
            </w:pPr>
            <w:r>
              <w:rPr>
                <w:rFonts w:ascii="Century Gothic" w:eastAsia="Century Gothic" w:hAnsi="Century Gothic" w:cs="Century Gothic"/>
                <w:b/>
                <w:sz w:val="24"/>
                <w:szCs w:val="24"/>
              </w:rPr>
              <w:t>REF:</w:t>
            </w:r>
            <w:r>
              <w:rPr>
                <w:rFonts w:ascii="Century Gothic" w:eastAsia="Century Gothic" w:hAnsi="Century Gothic" w:cs="Century Gothic"/>
                <w:b/>
                <w:sz w:val="24"/>
                <w:szCs w:val="24"/>
              </w:rPr>
              <w:tab/>
              <w:t xml:space="preserve">EXPEDIENTE </w:t>
            </w:r>
            <w:proofErr w:type="spellStart"/>
            <w:r>
              <w:rPr>
                <w:rFonts w:ascii="Century Gothic" w:eastAsia="Century Gothic" w:hAnsi="Century Gothic" w:cs="Century Gothic"/>
                <w:b/>
                <w:sz w:val="24"/>
                <w:szCs w:val="24"/>
              </w:rPr>
              <w:t>N°</w:t>
            </w:r>
            <w:proofErr w:type="spellEnd"/>
            <w:r>
              <w:rPr>
                <w:rFonts w:ascii="Century Gothic" w:eastAsia="Century Gothic" w:hAnsi="Century Gothic" w:cs="Century Gothic"/>
                <w:b/>
                <w:sz w:val="24"/>
                <w:szCs w:val="24"/>
              </w:rPr>
              <w:t xml:space="preserve"> 66001233300020220001201 (69424) </w:t>
            </w:r>
            <w:proofErr w:type="spellStart"/>
            <w:r>
              <w:rPr>
                <w:rFonts w:ascii="Century Gothic" w:eastAsia="Century Gothic" w:hAnsi="Century Gothic" w:cs="Century Gothic"/>
                <w:b/>
                <w:sz w:val="24"/>
                <w:szCs w:val="24"/>
              </w:rPr>
              <w:t>Exp</w:t>
            </w:r>
            <w:proofErr w:type="spellEnd"/>
            <w:r>
              <w:rPr>
                <w:rFonts w:ascii="Century Gothic" w:eastAsia="Century Gothic" w:hAnsi="Century Gothic" w:cs="Century Gothic"/>
                <w:b/>
                <w:sz w:val="24"/>
                <w:szCs w:val="24"/>
              </w:rPr>
              <w:t>. Electrónico.</w:t>
            </w:r>
          </w:p>
        </w:tc>
      </w:tr>
    </w:tbl>
    <w:p w:rsidR="008B2F9C" w:rsidRDefault="008B2F9C">
      <w:pPr>
        <w:rPr>
          <w:rFonts w:ascii="Century Gothic" w:eastAsia="Century Gothic" w:hAnsi="Century Gothic" w:cs="Century Gothic"/>
          <w:b/>
          <w:sz w:val="24"/>
          <w:szCs w:val="24"/>
        </w:rPr>
      </w:pPr>
    </w:p>
    <w:p w:rsidR="008B2F9C" w:rsidRDefault="00172891">
      <w:pPr>
        <w:jc w:val="both"/>
        <w:rPr>
          <w:rFonts w:ascii="Times New Roman" w:eastAsia="Times New Roman" w:hAnsi="Times New Roman" w:cs="Times New Roman"/>
          <w:color w:val="000000"/>
          <w:sz w:val="24"/>
          <w:szCs w:val="24"/>
        </w:rPr>
      </w:pPr>
      <w:bookmarkStart w:id="0" w:name="_heading=h.30j0zll" w:colFirst="0" w:colLast="0"/>
      <w:bookmarkEnd w:id="0"/>
      <w:r>
        <w:rPr>
          <w:rFonts w:ascii="Century Gothic" w:eastAsia="Century Gothic" w:hAnsi="Century Gothic" w:cs="Century Gothic"/>
          <w:sz w:val="24"/>
          <w:szCs w:val="24"/>
        </w:rPr>
        <w:t xml:space="preserve">Al Despacho del Magistrado </w:t>
      </w:r>
      <w:r>
        <w:rPr>
          <w:rFonts w:ascii="Century Gothic" w:eastAsia="Century Gothic" w:hAnsi="Century Gothic" w:cs="Century Gothic"/>
          <w:b/>
          <w:sz w:val="24"/>
          <w:szCs w:val="24"/>
        </w:rPr>
        <w:t xml:space="preserve">NICOLÁS YEPES CORRALES </w:t>
      </w:r>
      <w:r>
        <w:rPr>
          <w:rFonts w:ascii="Century Gothic" w:eastAsia="Century Gothic" w:hAnsi="Century Gothic" w:cs="Century Gothic"/>
          <w:sz w:val="24"/>
          <w:szCs w:val="24"/>
        </w:rPr>
        <w:t xml:space="preserve">hoy 23 de agosto de 2023, </w:t>
      </w:r>
      <w:r>
        <w:rPr>
          <w:rFonts w:ascii="Century Gothic" w:eastAsia="Century Gothic" w:hAnsi="Century Gothic" w:cs="Century Gothic"/>
          <w:color w:val="000000"/>
          <w:sz w:val="24"/>
          <w:szCs w:val="24"/>
        </w:rPr>
        <w:t xml:space="preserve">informando que </w:t>
      </w:r>
      <w:r>
        <w:rPr>
          <w:rFonts w:ascii="Century Gothic" w:eastAsia="Century Gothic" w:hAnsi="Century Gothic" w:cs="Century Gothic"/>
          <w:sz w:val="24"/>
          <w:szCs w:val="24"/>
        </w:rPr>
        <w:t xml:space="preserve">el auto visible a índice 00021 de SAMAI se incluyó en estado electrónico del 26 de julio de 2023 (índice 00023 SAMAI) de conformidad con el artículo 201 del CPACA y su término de ejecutoria corrió desde el 27 hasta el 31 de julio de 2023. </w:t>
      </w:r>
      <w:r>
        <w:rPr>
          <w:rFonts w:ascii="Century Gothic" w:eastAsia="Century Gothic" w:hAnsi="Century Gothic" w:cs="Century Gothic"/>
          <w:color w:val="000000"/>
          <w:sz w:val="24"/>
          <w:szCs w:val="24"/>
        </w:rPr>
        <w:t>As</w:t>
      </w:r>
      <w:r>
        <w:rPr>
          <w:rFonts w:ascii="Century Gothic" w:eastAsia="Century Gothic" w:hAnsi="Century Gothic" w:cs="Century Gothic"/>
          <w:color w:val="000000"/>
          <w:sz w:val="24"/>
          <w:szCs w:val="24"/>
        </w:rPr>
        <w:t>í mismo, se informa que se realizó la notificación personal al Ministerio Público y se comunicó a la Agencia Nacional de Defensa Jurídica del Estado del auto previamente referido (índices 00028 a 00031 de SAMAI).</w:t>
      </w:r>
    </w:p>
    <w:p w:rsidR="008B2F9C" w:rsidRDefault="008B2F9C">
      <w:pPr>
        <w:ind w:hanging="2"/>
        <w:jc w:val="both"/>
        <w:rPr>
          <w:rFonts w:ascii="Century Gothic" w:eastAsia="Century Gothic" w:hAnsi="Century Gothic" w:cs="Century Gothic"/>
          <w:sz w:val="24"/>
          <w:szCs w:val="24"/>
        </w:rPr>
      </w:pPr>
    </w:p>
    <w:p w:rsidR="008B2F9C" w:rsidRDefault="00172891">
      <w:pPr>
        <w:ind w:hanging="2"/>
        <w:jc w:val="both"/>
        <w:rPr>
          <w:rFonts w:ascii="Century Gothic" w:eastAsia="Century Gothic" w:hAnsi="Century Gothic" w:cs="Century Gothic"/>
          <w:sz w:val="24"/>
          <w:szCs w:val="24"/>
        </w:rPr>
      </w:pPr>
      <w:r>
        <w:rPr>
          <w:rFonts w:ascii="Century Gothic" w:eastAsia="Century Gothic" w:hAnsi="Century Gothic" w:cs="Century Gothic"/>
          <w:sz w:val="24"/>
          <w:szCs w:val="24"/>
        </w:rPr>
        <w:t>Del mismo modo se informa que se remitiero</w:t>
      </w:r>
      <w:r>
        <w:rPr>
          <w:rFonts w:ascii="Century Gothic" w:eastAsia="Century Gothic" w:hAnsi="Century Gothic" w:cs="Century Gothic"/>
          <w:sz w:val="24"/>
          <w:szCs w:val="24"/>
        </w:rPr>
        <w:t>n mensajes de datos visibles en índice 00027 de SAMAI.</w:t>
      </w:r>
    </w:p>
    <w:p w:rsidR="008B2F9C" w:rsidRDefault="008B2F9C">
      <w:pPr>
        <w:ind w:hanging="2"/>
        <w:jc w:val="both"/>
        <w:rPr>
          <w:rFonts w:ascii="Century Gothic" w:eastAsia="Century Gothic" w:hAnsi="Century Gothic" w:cs="Century Gothic"/>
          <w:sz w:val="24"/>
          <w:szCs w:val="24"/>
        </w:rPr>
      </w:pPr>
    </w:p>
    <w:p w:rsidR="008B2F9C" w:rsidRDefault="00172891">
      <w:pPr>
        <w:ind w:hanging="2"/>
        <w:jc w:val="both"/>
        <w:rPr>
          <w:rFonts w:ascii="Century Gothic" w:eastAsia="Century Gothic" w:hAnsi="Century Gothic" w:cs="Century Gothic"/>
          <w:sz w:val="24"/>
          <w:szCs w:val="24"/>
        </w:rPr>
      </w:pPr>
      <w:r>
        <w:rPr>
          <w:rFonts w:ascii="Century Gothic" w:eastAsia="Century Gothic" w:hAnsi="Century Gothic" w:cs="Century Gothic"/>
          <w:sz w:val="24"/>
          <w:szCs w:val="24"/>
        </w:rPr>
        <w:t>En obedecimiento al auto mencionado, el 27 de julio de 2023, se ofició a la Concesionaria de Vías y Peajes 2016 S.A.S VIPSA 2016, y al Instituto Nacional de Vías – INVIAS para la designación de nuevos</w:t>
      </w:r>
      <w:r>
        <w:rPr>
          <w:rFonts w:ascii="Century Gothic" w:eastAsia="Century Gothic" w:hAnsi="Century Gothic" w:cs="Century Gothic"/>
          <w:sz w:val="24"/>
          <w:szCs w:val="24"/>
        </w:rPr>
        <w:t xml:space="preserve"> apoderados que los representen (índices 00032 a 00035 de SAMAI).</w:t>
      </w:r>
    </w:p>
    <w:p w:rsidR="008B2F9C" w:rsidRDefault="008B2F9C">
      <w:pPr>
        <w:pBdr>
          <w:top w:val="nil"/>
          <w:left w:val="nil"/>
          <w:bottom w:val="nil"/>
          <w:right w:val="nil"/>
          <w:between w:val="nil"/>
        </w:pBdr>
        <w:ind w:hanging="2"/>
        <w:jc w:val="both"/>
        <w:rPr>
          <w:rFonts w:ascii="Century Gothic" w:eastAsia="Century Gothic" w:hAnsi="Century Gothic" w:cs="Century Gothic"/>
          <w:color w:val="000000"/>
          <w:sz w:val="24"/>
          <w:szCs w:val="24"/>
        </w:rPr>
      </w:pPr>
    </w:p>
    <w:p w:rsidR="008B2F9C" w:rsidRDefault="00172891">
      <w:pPr>
        <w:pBdr>
          <w:top w:val="nil"/>
          <w:left w:val="nil"/>
          <w:bottom w:val="nil"/>
          <w:right w:val="nil"/>
          <w:between w:val="nil"/>
        </w:pBdr>
        <w:ind w:hanging="2"/>
        <w:jc w:val="both"/>
        <w:rPr>
          <w:rFonts w:ascii="Century Gothic" w:eastAsia="Century Gothic" w:hAnsi="Century Gothic" w:cs="Century Gothic"/>
          <w:color w:val="000000"/>
          <w:sz w:val="24"/>
          <w:szCs w:val="24"/>
        </w:rPr>
      </w:pPr>
      <w:r>
        <w:rPr>
          <w:rFonts w:ascii="Century Gothic" w:eastAsia="Century Gothic" w:hAnsi="Century Gothic" w:cs="Century Gothic"/>
          <w:color w:val="000000"/>
          <w:sz w:val="24"/>
          <w:szCs w:val="24"/>
        </w:rPr>
        <w:t xml:space="preserve">El 11 de agosto del </w:t>
      </w:r>
      <w:r>
        <w:rPr>
          <w:rFonts w:ascii="Century Gothic" w:eastAsia="Century Gothic" w:hAnsi="Century Gothic" w:cs="Century Gothic"/>
          <w:sz w:val="24"/>
          <w:szCs w:val="24"/>
        </w:rPr>
        <w:t>presente año, la Concesionaria de Vías y Peajes 2016 S.A.S VIPSA 2016, allegó poder con soportes conferido a la abogada Alejandra García Bohórquez, quien el 16 de agosto siguiente, se pronunció sobre los recursos de apelación interpuestos (índices</w:t>
      </w:r>
      <w:r>
        <w:rPr>
          <w:rFonts w:ascii="Century Gothic" w:eastAsia="Century Gothic" w:hAnsi="Century Gothic" w:cs="Century Gothic"/>
          <w:sz w:val="24"/>
          <w:szCs w:val="24"/>
        </w:rPr>
        <w:t xml:space="preserve"> 00037 y </w:t>
      </w:r>
      <w:r>
        <w:rPr>
          <w:rFonts w:ascii="Century Gothic" w:eastAsia="Century Gothic" w:hAnsi="Century Gothic" w:cs="Century Gothic"/>
          <w:sz w:val="24"/>
          <w:szCs w:val="24"/>
        </w:rPr>
        <w:t>00039 de SAMAI)</w:t>
      </w:r>
    </w:p>
    <w:p w:rsidR="008B2F9C" w:rsidRDefault="008B2F9C">
      <w:pPr>
        <w:pBdr>
          <w:top w:val="nil"/>
          <w:left w:val="nil"/>
          <w:bottom w:val="nil"/>
          <w:right w:val="nil"/>
          <w:between w:val="nil"/>
        </w:pBdr>
        <w:ind w:hanging="2"/>
        <w:jc w:val="both"/>
        <w:rPr>
          <w:rFonts w:ascii="Century Gothic" w:eastAsia="Century Gothic" w:hAnsi="Century Gothic" w:cs="Century Gothic"/>
          <w:color w:val="000000"/>
          <w:sz w:val="24"/>
          <w:szCs w:val="24"/>
        </w:rPr>
      </w:pPr>
    </w:p>
    <w:p w:rsidR="008B2F9C" w:rsidRDefault="00172891">
      <w:pPr>
        <w:pBdr>
          <w:top w:val="nil"/>
          <w:left w:val="nil"/>
          <w:bottom w:val="nil"/>
          <w:right w:val="nil"/>
          <w:between w:val="nil"/>
        </w:pBdr>
        <w:ind w:hanging="2"/>
        <w:jc w:val="both"/>
        <w:rPr>
          <w:rFonts w:ascii="Century Gothic" w:eastAsia="Century Gothic" w:hAnsi="Century Gothic" w:cs="Century Gothic"/>
          <w:sz w:val="24"/>
          <w:szCs w:val="24"/>
        </w:rPr>
      </w:pPr>
      <w:r>
        <w:rPr>
          <w:rFonts w:ascii="Century Gothic" w:eastAsia="Century Gothic" w:hAnsi="Century Gothic" w:cs="Century Gothic"/>
          <w:color w:val="000000"/>
          <w:sz w:val="24"/>
          <w:szCs w:val="24"/>
        </w:rPr>
        <w:t xml:space="preserve">El 14 de agosto del </w:t>
      </w:r>
      <w:r>
        <w:rPr>
          <w:rFonts w:ascii="Century Gothic" w:eastAsia="Century Gothic" w:hAnsi="Century Gothic" w:cs="Century Gothic"/>
          <w:sz w:val="24"/>
          <w:szCs w:val="24"/>
        </w:rPr>
        <w:t>año en curso, el Instituto Nacional de Vías INVÍAS, allegó poder con soportes conferido al abogado Daniel Mateo Trejos Marín (índice 00038 de SAMAI).</w:t>
      </w:r>
    </w:p>
    <w:p w:rsidR="008B2F9C" w:rsidRDefault="008B2F9C">
      <w:pPr>
        <w:ind w:hanging="2"/>
        <w:jc w:val="both"/>
        <w:rPr>
          <w:rFonts w:ascii="Century Gothic" w:eastAsia="Century Gothic" w:hAnsi="Century Gothic" w:cs="Century Gothic"/>
          <w:color w:val="000000"/>
          <w:sz w:val="24"/>
          <w:szCs w:val="24"/>
        </w:rPr>
      </w:pPr>
      <w:bookmarkStart w:id="1" w:name="_GoBack"/>
      <w:bookmarkEnd w:id="1"/>
    </w:p>
    <w:p w:rsidR="008B2F9C" w:rsidRDefault="00172891">
      <w:pPr>
        <w:ind w:hanging="2"/>
        <w:jc w:val="both"/>
        <w:rPr>
          <w:rFonts w:ascii="Century Gothic" w:eastAsia="Century Gothic" w:hAnsi="Century Gothic" w:cs="Century Gothic"/>
          <w:color w:val="000000"/>
          <w:sz w:val="24"/>
          <w:szCs w:val="24"/>
        </w:rPr>
      </w:pPr>
      <w:r>
        <w:rPr>
          <w:rFonts w:ascii="Century Gothic" w:eastAsia="Century Gothic" w:hAnsi="Century Gothic" w:cs="Century Gothic"/>
          <w:color w:val="000000"/>
          <w:sz w:val="24"/>
          <w:szCs w:val="24"/>
        </w:rPr>
        <w:t>De conformidad con el artículo 247 de la Ley 1437 de 2011, modificad</w:t>
      </w:r>
      <w:r>
        <w:rPr>
          <w:rFonts w:ascii="Century Gothic" w:eastAsia="Century Gothic" w:hAnsi="Century Gothic" w:cs="Century Gothic"/>
          <w:color w:val="000000"/>
          <w:sz w:val="24"/>
          <w:szCs w:val="24"/>
        </w:rPr>
        <w:t xml:space="preserve">o por el artículo 67, numeral sexto, de la Ley 2080 de 2021, a la fecha el Ministerio </w:t>
      </w:r>
      <w:r>
        <w:rPr>
          <w:rFonts w:ascii="Century Gothic" w:eastAsia="Century Gothic" w:hAnsi="Century Gothic" w:cs="Century Gothic"/>
          <w:sz w:val="24"/>
          <w:szCs w:val="24"/>
        </w:rPr>
        <w:t>Público</w:t>
      </w:r>
      <w:r>
        <w:rPr>
          <w:rFonts w:ascii="Century Gothic" w:eastAsia="Century Gothic" w:hAnsi="Century Gothic" w:cs="Century Gothic"/>
          <w:color w:val="000000"/>
          <w:sz w:val="24"/>
          <w:szCs w:val="24"/>
        </w:rPr>
        <w:t xml:space="preserve"> no ha emitido concepto. </w:t>
      </w:r>
    </w:p>
    <w:p w:rsidR="008B2F9C" w:rsidRDefault="00172891">
      <w:pPr>
        <w:spacing w:before="240" w:after="240"/>
        <w:jc w:val="both"/>
        <w:rPr>
          <w:rFonts w:ascii="Century Gothic" w:eastAsia="Century Gothic" w:hAnsi="Century Gothic" w:cs="Century Gothic"/>
          <w:sz w:val="24"/>
          <w:szCs w:val="24"/>
        </w:rPr>
      </w:pPr>
      <w:bookmarkStart w:id="2" w:name="_heading=h.gjdgxs" w:colFirst="0" w:colLast="0"/>
      <w:bookmarkEnd w:id="2"/>
      <w:r>
        <w:rPr>
          <w:rFonts w:ascii="Century Gothic" w:eastAsia="Century Gothic" w:hAnsi="Century Gothic" w:cs="Century Gothic"/>
          <w:sz w:val="24"/>
          <w:szCs w:val="24"/>
        </w:rPr>
        <w:t>Sin otro particular, el proceso ingresa al despacho para proveer, teniendo en cuenta que, una vez revisado el contenido del auto previamente referido, se observa que en el mismo se hace alusión a varias fuentes normativas (Ley 472 de 1998, Código General d</w:t>
      </w:r>
      <w:r>
        <w:rPr>
          <w:rFonts w:ascii="Century Gothic" w:eastAsia="Century Gothic" w:hAnsi="Century Gothic" w:cs="Century Gothic"/>
          <w:sz w:val="24"/>
          <w:szCs w:val="24"/>
        </w:rPr>
        <w:t>el Proceso, Ley 1437 de 2011 y Ley 2080 de 2021), razón por la cual, respetuosamente esta secretaría considera oportuno abstenerse de especificar en el presente informe, el trámite a seguir.</w:t>
      </w:r>
    </w:p>
    <w:p w:rsidR="008B2F9C" w:rsidRDefault="008B2F9C">
      <w:pPr>
        <w:ind w:left="1" w:hanging="3"/>
        <w:jc w:val="both"/>
        <w:rPr>
          <w:rFonts w:ascii="Century Gothic" w:eastAsia="Century Gothic" w:hAnsi="Century Gothic" w:cs="Century Gothic"/>
          <w:color w:val="000000"/>
          <w:sz w:val="24"/>
          <w:szCs w:val="24"/>
        </w:rPr>
      </w:pPr>
    </w:p>
    <w:p w:rsidR="008B2F9C" w:rsidRDefault="00172891">
      <w:pPr>
        <w:jc w:val="both"/>
        <w:rPr>
          <w:rFonts w:ascii="Century Gothic" w:eastAsia="Century Gothic" w:hAnsi="Century Gothic" w:cs="Century Gothic"/>
          <w:color w:val="000000"/>
          <w:sz w:val="24"/>
          <w:szCs w:val="24"/>
        </w:rPr>
      </w:pPr>
      <w:r>
        <w:rPr>
          <w:rFonts w:ascii="Century Gothic" w:eastAsia="Century Gothic" w:hAnsi="Century Gothic" w:cs="Century Gothic"/>
          <w:color w:val="000000"/>
          <w:sz w:val="24"/>
          <w:szCs w:val="24"/>
        </w:rPr>
        <w:t>La Oficial Mayor,</w:t>
      </w:r>
    </w:p>
    <w:p w:rsidR="008B2F9C" w:rsidRDefault="008B2F9C">
      <w:pPr>
        <w:ind w:hanging="2"/>
        <w:jc w:val="both"/>
        <w:rPr>
          <w:rFonts w:ascii="Century Gothic" w:eastAsia="Century Gothic" w:hAnsi="Century Gothic" w:cs="Century Gothic"/>
          <w:sz w:val="24"/>
          <w:szCs w:val="24"/>
        </w:rPr>
      </w:pPr>
    </w:p>
    <w:p w:rsidR="008B2F9C" w:rsidRDefault="008B2F9C">
      <w:pPr>
        <w:ind w:hanging="2"/>
        <w:jc w:val="both"/>
        <w:rPr>
          <w:rFonts w:ascii="Century Gothic" w:eastAsia="Century Gothic" w:hAnsi="Century Gothic" w:cs="Century Gothic"/>
          <w:sz w:val="23"/>
          <w:szCs w:val="23"/>
        </w:rPr>
      </w:pPr>
    </w:p>
    <w:p w:rsidR="008B2F9C" w:rsidRDefault="00172891">
      <w:pPr>
        <w:ind w:left="1" w:hanging="3"/>
        <w:jc w:val="center"/>
        <w:rPr>
          <w:rFonts w:ascii="Century Gothic" w:eastAsia="Century Gothic" w:hAnsi="Century Gothic" w:cs="Century Gothic"/>
          <w:color w:val="000000"/>
          <w:sz w:val="26"/>
          <w:szCs w:val="26"/>
        </w:rPr>
      </w:pPr>
      <w:r>
        <w:rPr>
          <w:rFonts w:ascii="Century Gothic" w:eastAsia="Century Gothic" w:hAnsi="Century Gothic" w:cs="Century Gothic"/>
          <w:b/>
          <w:color w:val="000000"/>
          <w:sz w:val="26"/>
          <w:szCs w:val="26"/>
        </w:rPr>
        <w:t>Leidy Johanna Gil Muñoz</w:t>
      </w:r>
    </w:p>
    <w:p w:rsidR="008B2F9C" w:rsidRDefault="008B2F9C">
      <w:pPr>
        <w:ind w:hanging="2"/>
        <w:jc w:val="both"/>
        <w:rPr>
          <w:rFonts w:ascii="Century Gothic" w:eastAsia="Century Gothic" w:hAnsi="Century Gothic" w:cs="Century Gothic"/>
          <w:sz w:val="23"/>
          <w:szCs w:val="23"/>
        </w:rPr>
      </w:pPr>
    </w:p>
    <w:p w:rsidR="008B2F9C" w:rsidRDefault="008B2F9C">
      <w:pPr>
        <w:ind w:hanging="2"/>
        <w:jc w:val="both"/>
        <w:rPr>
          <w:rFonts w:ascii="Century Gothic" w:eastAsia="Century Gothic" w:hAnsi="Century Gothic" w:cs="Century Gothic"/>
          <w:b/>
          <w:sz w:val="23"/>
          <w:szCs w:val="23"/>
        </w:rPr>
      </w:pPr>
    </w:p>
    <w:p w:rsidR="008B2F9C" w:rsidRDefault="00172891">
      <w:pPr>
        <w:ind w:hanging="2"/>
        <w:jc w:val="both"/>
        <w:rPr>
          <w:rFonts w:ascii="Century Gothic" w:eastAsia="Century Gothic" w:hAnsi="Century Gothic" w:cs="Century Gothic"/>
          <w:sz w:val="16"/>
          <w:szCs w:val="16"/>
        </w:rPr>
      </w:pPr>
      <w:r>
        <w:rPr>
          <w:rFonts w:ascii="Century Gothic" w:eastAsia="Century Gothic" w:hAnsi="Century Gothic" w:cs="Century Gothic"/>
          <w:sz w:val="16"/>
          <w:szCs w:val="16"/>
        </w:rPr>
        <w:t>mm</w:t>
      </w:r>
    </w:p>
    <w:p w:rsidR="008B2F9C" w:rsidRDefault="008B2F9C">
      <w:pPr>
        <w:jc w:val="both"/>
        <w:rPr>
          <w:rFonts w:ascii="Century Gothic" w:eastAsia="Century Gothic" w:hAnsi="Century Gothic" w:cs="Century Gothic"/>
          <w:b/>
          <w:sz w:val="23"/>
          <w:szCs w:val="23"/>
        </w:rPr>
      </w:pPr>
    </w:p>
    <w:sectPr w:rsidR="008B2F9C">
      <w:headerReference w:type="default" r:id="rId8"/>
      <w:pgSz w:w="12242" w:h="18722"/>
      <w:pgMar w:top="1701" w:right="1701" w:bottom="1701"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172891">
      <w:r>
        <w:separator/>
      </w:r>
    </w:p>
  </w:endnote>
  <w:endnote w:type="continuationSeparator" w:id="0">
    <w:p w:rsidR="00000000" w:rsidRDefault="00172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Roman PS">
    <w:altName w:val="Calibri"/>
    <w:charset w:val="00"/>
    <w:family w:val="auto"/>
    <w:pitch w:val="default"/>
  </w:font>
  <w:font w:name="Georgia">
    <w:panose1 w:val="02040502050405020303"/>
    <w:charset w:val="00"/>
    <w:family w:val="auto"/>
    <w:pitch w:val="default"/>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172891">
      <w:r>
        <w:separator/>
      </w:r>
    </w:p>
  </w:footnote>
  <w:footnote w:type="continuationSeparator" w:id="0">
    <w:p w:rsidR="00000000" w:rsidRDefault="00172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F9C" w:rsidRDefault="008B2F9C">
    <w:pPr>
      <w:pBdr>
        <w:top w:val="nil"/>
        <w:left w:val="nil"/>
        <w:bottom w:val="nil"/>
        <w:right w:val="nil"/>
        <w:between w:val="nil"/>
      </w:pBdr>
      <w:tabs>
        <w:tab w:val="center" w:pos="4419"/>
        <w:tab w:val="right" w:pos="8838"/>
      </w:tabs>
      <w:rPr>
        <w:rFonts w:ascii="Roman PS" w:eastAsia="Roman PS" w:hAnsi="Roman PS" w:cs="Roman PS"/>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F9C"/>
    <w:rsid w:val="00172891"/>
    <w:rsid w:val="008B2F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8A89B"/>
  <w15:docId w15:val="{3FF4737B-7239-4BCD-B61C-DA253D852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CO" w:eastAsia="es-C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eastAsia="en-US"/>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table" w:customStyle="1" w:styleId="TableNormala">
    <w:name w:val="Table Normal"/>
    <w:tblPr>
      <w:tblCellMar>
        <w:top w:w="0" w:type="dxa"/>
        <w:left w:w="0" w:type="dxa"/>
        <w:bottom w:w="0" w:type="dxa"/>
        <w:right w:w="0" w:type="dxa"/>
      </w:tblCellMar>
    </w:tblPr>
  </w:style>
  <w:style w:type="table" w:customStyle="1" w:styleId="TableNormalb">
    <w:name w:val="Table Normal"/>
    <w:tblPr>
      <w:tblCellMar>
        <w:top w:w="0" w:type="dxa"/>
        <w:left w:w="0" w:type="dxa"/>
        <w:bottom w:w="0" w:type="dxa"/>
        <w:right w:w="0" w:type="dxa"/>
      </w:tblCellMar>
    </w:tblPr>
  </w:style>
  <w:style w:type="table" w:customStyle="1" w:styleId="TableNormalc">
    <w:name w:val="Table Normal"/>
    <w:tblPr>
      <w:tblCellMar>
        <w:top w:w="0" w:type="dxa"/>
        <w:left w:w="0" w:type="dxa"/>
        <w:bottom w:w="0" w:type="dxa"/>
        <w:right w:w="0" w:type="dxa"/>
      </w:tblCellMar>
    </w:tblPr>
  </w:style>
  <w:style w:type="table" w:customStyle="1" w:styleId="TableNormald">
    <w:name w:val="Table Normal"/>
    <w:tblPr>
      <w:tblCellMar>
        <w:top w:w="0" w:type="dxa"/>
        <w:left w:w="0" w:type="dxa"/>
        <w:bottom w:w="0" w:type="dxa"/>
        <w:right w:w="0" w:type="dxa"/>
      </w:tblCellMar>
    </w:tblPr>
  </w:style>
  <w:style w:type="table" w:customStyle="1" w:styleId="TableNormale">
    <w:name w:val="Table Normal"/>
    <w:tblPr>
      <w:tblCellMar>
        <w:top w:w="0" w:type="dxa"/>
        <w:left w:w="0" w:type="dxa"/>
        <w:bottom w:w="0" w:type="dxa"/>
        <w:right w:w="0" w:type="dxa"/>
      </w:tblCellMar>
    </w:tblPr>
  </w:style>
  <w:style w:type="table" w:customStyle="1" w:styleId="TableNormalf">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360723"/>
    <w:pPr>
      <w:tabs>
        <w:tab w:val="center" w:pos="4419"/>
        <w:tab w:val="right" w:pos="8838"/>
      </w:tabs>
    </w:pPr>
    <w:rPr>
      <w:rFonts w:ascii="Roman PS" w:eastAsia="Times New Roman" w:hAnsi="Roman PS"/>
      <w:sz w:val="20"/>
      <w:szCs w:val="20"/>
      <w:lang w:val="es-ES_tradnl" w:eastAsia="es-CO"/>
    </w:rPr>
  </w:style>
  <w:style w:type="character" w:customStyle="1" w:styleId="EncabezadoCar">
    <w:name w:val="Encabezado Car"/>
    <w:link w:val="Encabezado"/>
    <w:uiPriority w:val="99"/>
    <w:rsid w:val="00360723"/>
    <w:rPr>
      <w:rFonts w:ascii="Roman PS" w:eastAsia="Times New Roman" w:hAnsi="Roman PS"/>
      <w:lang w:val="es-ES_tradnl"/>
    </w:rPr>
  </w:style>
  <w:style w:type="paragraph" w:styleId="Piedepgina">
    <w:name w:val="footer"/>
    <w:basedOn w:val="Normal"/>
    <w:link w:val="PiedepginaCar"/>
    <w:uiPriority w:val="99"/>
    <w:unhideWhenUsed/>
    <w:rsid w:val="00ED7924"/>
    <w:pPr>
      <w:tabs>
        <w:tab w:val="center" w:pos="4419"/>
        <w:tab w:val="right" w:pos="8838"/>
      </w:tabs>
    </w:pPr>
  </w:style>
  <w:style w:type="character" w:customStyle="1" w:styleId="PiedepginaCar">
    <w:name w:val="Pie de página Car"/>
    <w:basedOn w:val="Fuentedeprrafopredeter"/>
    <w:link w:val="Piedepgina"/>
    <w:uiPriority w:val="99"/>
    <w:rsid w:val="00ED7924"/>
    <w:rPr>
      <w:sz w:val="22"/>
      <w:szCs w:val="22"/>
      <w:lang w:val="es-CO" w:eastAsia="en-US"/>
    </w:rPr>
  </w:style>
  <w:style w:type="paragraph" w:styleId="Textonotapie">
    <w:name w:val="footnote text"/>
    <w:basedOn w:val="Normal"/>
    <w:link w:val="TextonotapieCar"/>
    <w:uiPriority w:val="99"/>
    <w:semiHidden/>
    <w:unhideWhenUsed/>
    <w:rsid w:val="00064608"/>
    <w:rPr>
      <w:sz w:val="20"/>
      <w:szCs w:val="20"/>
    </w:rPr>
  </w:style>
  <w:style w:type="character" w:customStyle="1" w:styleId="TextonotapieCar">
    <w:name w:val="Texto nota pie Car"/>
    <w:basedOn w:val="Fuentedeprrafopredeter"/>
    <w:link w:val="Textonotapie"/>
    <w:uiPriority w:val="99"/>
    <w:semiHidden/>
    <w:rsid w:val="00064608"/>
    <w:rPr>
      <w:lang w:val="es-CO" w:eastAsia="en-US"/>
    </w:rPr>
  </w:style>
  <w:style w:type="character" w:styleId="Refdenotaalpie">
    <w:name w:val="footnote reference"/>
    <w:basedOn w:val="Fuentedeprrafopredeter"/>
    <w:uiPriority w:val="99"/>
    <w:semiHidden/>
    <w:unhideWhenUsed/>
    <w:rsid w:val="00064608"/>
    <w:rPr>
      <w:vertAlign w:val="superscript"/>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f"/>
    <w:tblPr>
      <w:tblStyleRowBandSize w:val="1"/>
      <w:tblStyleColBandSize w:val="1"/>
      <w:tblCellMar>
        <w:left w:w="70" w:type="dxa"/>
        <w:right w:w="70" w:type="dxa"/>
      </w:tblCellMar>
    </w:tblPr>
  </w:style>
  <w:style w:type="table" w:customStyle="1" w:styleId="a0">
    <w:basedOn w:val="TableNormalf"/>
    <w:tblPr>
      <w:tblStyleRowBandSize w:val="1"/>
      <w:tblStyleColBandSize w:val="1"/>
      <w:tblCellMar>
        <w:left w:w="70" w:type="dxa"/>
        <w:right w:w="70" w:type="dxa"/>
      </w:tblCellMar>
    </w:tblPr>
  </w:style>
  <w:style w:type="table" w:customStyle="1" w:styleId="a1">
    <w:basedOn w:val="TableNormale"/>
    <w:tblPr>
      <w:tblStyleRowBandSize w:val="1"/>
      <w:tblStyleColBandSize w:val="1"/>
      <w:tblCellMar>
        <w:left w:w="70" w:type="dxa"/>
        <w:right w:w="70" w:type="dxa"/>
      </w:tblCellMar>
    </w:tblPr>
  </w:style>
  <w:style w:type="table" w:customStyle="1" w:styleId="a2">
    <w:basedOn w:val="TableNormald"/>
    <w:tblPr>
      <w:tblStyleRowBandSize w:val="1"/>
      <w:tblStyleColBandSize w:val="1"/>
      <w:tblCellMar>
        <w:left w:w="70" w:type="dxa"/>
        <w:right w:w="70" w:type="dxa"/>
      </w:tblCellMar>
    </w:tblPr>
  </w:style>
  <w:style w:type="table" w:styleId="Tablaconcuadrcula">
    <w:name w:val="Table Grid"/>
    <w:basedOn w:val="Tablanormal"/>
    <w:uiPriority w:val="39"/>
    <w:rsid w:val="006D6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3">
    <w:basedOn w:val="TableNormalc"/>
    <w:tblPr>
      <w:tblStyleRowBandSize w:val="1"/>
      <w:tblStyleColBandSize w:val="1"/>
      <w:tblCellMar>
        <w:left w:w="70" w:type="dxa"/>
        <w:right w:w="70" w:type="dxa"/>
      </w:tblCellMar>
    </w:tblPr>
  </w:style>
  <w:style w:type="table" w:customStyle="1" w:styleId="a4">
    <w:basedOn w:val="TableNormalc"/>
    <w:tblPr>
      <w:tblStyleRowBandSize w:val="1"/>
      <w:tblStyleColBandSize w:val="1"/>
      <w:tblCellMar>
        <w:left w:w="108" w:type="dxa"/>
        <w:right w:w="108" w:type="dxa"/>
      </w:tblCellMar>
    </w:tblPr>
  </w:style>
  <w:style w:type="table" w:customStyle="1" w:styleId="a5">
    <w:basedOn w:val="TableNormalb"/>
    <w:tblPr>
      <w:tblStyleRowBandSize w:val="1"/>
      <w:tblStyleColBandSize w:val="1"/>
      <w:tblCellMar>
        <w:left w:w="108" w:type="dxa"/>
        <w:right w:w="108" w:type="dxa"/>
      </w:tblCellMar>
    </w:tblPr>
  </w:style>
  <w:style w:type="table" w:customStyle="1" w:styleId="a6">
    <w:basedOn w:val="TableNormalb"/>
    <w:tblPr>
      <w:tblStyleRowBandSize w:val="1"/>
      <w:tblStyleColBandSize w:val="1"/>
      <w:tblCellMar>
        <w:left w:w="108" w:type="dxa"/>
        <w:right w:w="108" w:type="dxa"/>
      </w:tblCellMar>
    </w:tblPr>
  </w:style>
  <w:style w:type="table" w:customStyle="1" w:styleId="a7">
    <w:basedOn w:val="TableNormala"/>
    <w:tblPr>
      <w:tblStyleRowBandSize w:val="1"/>
      <w:tblStyleColBandSize w:val="1"/>
      <w:tblCellMar>
        <w:left w:w="108" w:type="dxa"/>
        <w:right w:w="108" w:type="dxa"/>
      </w:tblCellMar>
    </w:tblPr>
  </w:style>
  <w:style w:type="table" w:customStyle="1" w:styleId="a8">
    <w:basedOn w:val="TableNormala"/>
    <w:tblPr>
      <w:tblStyleRowBandSize w:val="1"/>
      <w:tblStyleColBandSize w:val="1"/>
      <w:tblCellMar>
        <w:left w:w="108" w:type="dxa"/>
        <w:right w:w="108" w:type="dxa"/>
      </w:tblCellMar>
    </w:tblPr>
  </w:style>
  <w:style w:type="character" w:styleId="Hipervnculo">
    <w:name w:val="Hyperlink"/>
    <w:basedOn w:val="Fuentedeprrafopredeter"/>
    <w:uiPriority w:val="99"/>
    <w:unhideWhenUsed/>
    <w:rsid w:val="002836F4"/>
    <w:rPr>
      <w:color w:val="0563C1" w:themeColor="hyperlink"/>
      <w:u w:val="single"/>
    </w:rPr>
  </w:style>
  <w:style w:type="character" w:styleId="Mencinsinresolver">
    <w:name w:val="Unresolved Mention"/>
    <w:basedOn w:val="Fuentedeprrafopredeter"/>
    <w:uiPriority w:val="99"/>
    <w:semiHidden/>
    <w:unhideWhenUsed/>
    <w:rsid w:val="002836F4"/>
    <w:rPr>
      <w:color w:val="605E5C"/>
      <w:shd w:val="clear" w:color="auto" w:fill="E1DFDD"/>
    </w:rPr>
  </w:style>
  <w:style w:type="table" w:customStyle="1" w:styleId="a9">
    <w:basedOn w:val="TableNormal9"/>
    <w:tblPr>
      <w:tblStyleRowBandSize w:val="1"/>
      <w:tblStyleColBandSize w:val="1"/>
      <w:tblCellMar>
        <w:left w:w="108" w:type="dxa"/>
        <w:right w:w="108" w:type="dxa"/>
      </w:tblCellMar>
    </w:tblPr>
  </w:style>
  <w:style w:type="paragraph" w:styleId="NormalWeb">
    <w:name w:val="Normal (Web)"/>
    <w:basedOn w:val="Normal"/>
    <w:uiPriority w:val="99"/>
    <w:unhideWhenUsed/>
    <w:rsid w:val="00A32A05"/>
    <w:pPr>
      <w:spacing w:before="100" w:beforeAutospacing="1" w:after="100" w:afterAutospacing="1"/>
    </w:pPr>
    <w:rPr>
      <w:rFonts w:ascii="Times New Roman" w:eastAsia="Times New Roman" w:hAnsi="Times New Roman" w:cs="Times New Roman"/>
      <w:sz w:val="24"/>
      <w:szCs w:val="24"/>
      <w:lang w:eastAsia="es-CO"/>
    </w:rPr>
  </w:style>
  <w:style w:type="table" w:customStyle="1" w:styleId="aa">
    <w:basedOn w:val="TableNormal8"/>
    <w:tblPr>
      <w:tblStyleRowBandSize w:val="1"/>
      <w:tblStyleColBandSize w:val="1"/>
      <w:tblCellMar>
        <w:left w:w="108" w:type="dxa"/>
        <w:right w:w="108" w:type="dxa"/>
      </w:tblCellMar>
    </w:tblPr>
  </w:style>
  <w:style w:type="table" w:customStyle="1" w:styleId="ab">
    <w:basedOn w:val="TableNormal7"/>
    <w:tblPr>
      <w:tblStyleRowBandSize w:val="1"/>
      <w:tblStyleColBandSize w:val="1"/>
      <w:tblCellMar>
        <w:left w:w="108" w:type="dxa"/>
        <w:right w:w="108" w:type="dxa"/>
      </w:tblCellMar>
    </w:tblPr>
  </w:style>
  <w:style w:type="table" w:customStyle="1" w:styleId="ac">
    <w:basedOn w:val="TableNormal6"/>
    <w:tblPr>
      <w:tblStyleRowBandSize w:val="1"/>
      <w:tblStyleColBandSize w:val="1"/>
      <w:tblCellMar>
        <w:left w:w="108" w:type="dxa"/>
        <w:right w:w="108" w:type="dxa"/>
      </w:tblCellMar>
    </w:tblPr>
  </w:style>
  <w:style w:type="table" w:customStyle="1" w:styleId="ad">
    <w:basedOn w:val="TableNormal6"/>
    <w:tblPr>
      <w:tblStyleRowBandSize w:val="1"/>
      <w:tblStyleColBandSize w:val="1"/>
      <w:tblCellMar>
        <w:left w:w="108" w:type="dxa"/>
        <w:right w:w="108" w:type="dxa"/>
      </w:tblCellMar>
    </w:tblPr>
  </w:style>
  <w:style w:type="table" w:customStyle="1" w:styleId="ae">
    <w:basedOn w:val="TableNormal6"/>
    <w:tblPr>
      <w:tblStyleRowBandSize w:val="1"/>
      <w:tblStyleColBandSize w:val="1"/>
      <w:tblCellMar>
        <w:left w:w="108" w:type="dxa"/>
        <w:right w:w="108" w:type="dxa"/>
      </w:tblCellMar>
    </w:tblPr>
  </w:style>
  <w:style w:type="table" w:customStyle="1" w:styleId="af">
    <w:basedOn w:val="TableNormal3"/>
    <w:tblPr>
      <w:tblStyleRowBandSize w:val="1"/>
      <w:tblStyleColBandSize w:val="1"/>
      <w:tblCellMar>
        <w:left w:w="108" w:type="dxa"/>
        <w:right w:w="108" w:type="dxa"/>
      </w:tblCellMar>
    </w:tblPr>
  </w:style>
  <w:style w:type="table" w:customStyle="1" w:styleId="af0">
    <w:basedOn w:val="TableNormal2"/>
    <w:tblPr>
      <w:tblStyleRowBandSize w:val="1"/>
      <w:tblStyleColBandSize w:val="1"/>
      <w:tblCellMar>
        <w:left w:w="108" w:type="dxa"/>
        <w:right w:w="108" w:type="dxa"/>
      </w:tblCellMar>
    </w:tblPr>
  </w:style>
  <w:style w:type="table" w:customStyle="1" w:styleId="af1">
    <w:basedOn w:val="TableNormal1"/>
    <w:tblPr>
      <w:tblStyleRowBandSize w:val="1"/>
      <w:tblStyleColBandSize w:val="1"/>
      <w:tblCellMar>
        <w:left w:w="108" w:type="dxa"/>
        <w:right w:w="108" w:type="dxa"/>
      </w:tblCellMar>
    </w:tblPr>
  </w:style>
  <w:style w:type="table" w:customStyle="1" w:styleId="af2">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nYN5lfwO6U1Ir7l+Te6WQR100Q==">CgMxLjAyCWguMzBqMHpsbDIIaC5namRneHM4AHIhMTVUUlp5NWFrdktnbEtoaUdyQmQ4NC1yRGF2aUpfU3pu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342</Words>
  <Characters>1887</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Rama Judicial</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MERY</dc:creator>
  <cp:lastModifiedBy>LUZ MERY MARTINEZ RODRIGUEZ</cp:lastModifiedBy>
  <cp:revision>2</cp:revision>
  <dcterms:created xsi:type="dcterms:W3CDTF">2023-08-23T18:15:00Z</dcterms:created>
  <dcterms:modified xsi:type="dcterms:W3CDTF">2023-08-23T18:15:00Z</dcterms:modified>
</cp:coreProperties>
</file>