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5E226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240"/>
        <w:gridCol w:w="6721"/>
      </w:tblGrid>
      <w:tr w:rsidR="00000000" w14:paraId="71A8EFF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51A75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Informaci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n del asegurado:</w:t>
            </w:r>
          </w:p>
        </w:tc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8E99A3" w14:textId="0CD71F29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PARCELACION VALLE VERDE</w:t>
            </w:r>
          </w:p>
        </w:tc>
      </w:tr>
      <w:tr w:rsidR="00000000" w14:paraId="6F39CDE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0B745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NIT:</w:t>
            </w:r>
          </w:p>
        </w:tc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7BB0C8" w14:textId="149FF413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900777739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-3</w:t>
            </w:r>
          </w:p>
        </w:tc>
      </w:tr>
      <w:tr w:rsidR="00000000" w14:paraId="5A439EA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9C402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Direcci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n:</w:t>
            </w:r>
          </w:p>
        </w:tc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55E51E" w14:textId="169F443F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KM 3 Via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 xml:space="preserve"> Chipaya </w:t>
            </w:r>
          </w:p>
        </w:tc>
      </w:tr>
    </w:tbl>
    <w:p w14:paraId="6F29E53F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354CA2C4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7169"/>
        <w:gridCol w:w="1792"/>
      </w:tblGrid>
      <w:tr w:rsidR="00000000" w14:paraId="09F22FE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20" w:type="dxa"/>
            <w:shd w:val="clear" w:color="auto" w:fill="150F96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0CFCD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FFFFFF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  <w:lang w:val="es-419"/>
              </w:rPr>
              <w:t>P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  <w:lang w:val="es-419"/>
              </w:rPr>
              <w:t>LIZA SEGURO DE TODO RIESGO DA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  <w:lang w:val="es-419"/>
              </w:rPr>
              <w:t>O MATERIAL PARA COPROPIEDADES</w:t>
            </w:r>
          </w:p>
        </w:tc>
        <w:tc>
          <w:tcPr>
            <w:tcW w:w="1780" w:type="dxa"/>
            <w:shd w:val="clear" w:color="auto" w:fill="150F96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4D84F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FFFFFF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</w:rPr>
              <w:t>VALOR ASEGURABLE</w:t>
            </w:r>
          </w:p>
        </w:tc>
      </w:tr>
      <w:tr w:rsidR="00000000" w14:paraId="01AF4DE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2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2376C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TODO RIESGO DE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O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MATERIAL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91427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$ 8.440.287.239,00</w:t>
            </w:r>
          </w:p>
        </w:tc>
      </w:tr>
      <w:tr w:rsidR="00000000" w14:paraId="1EBE693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2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4BA69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ASONADA, MOT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CONMOCI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CIVIL O POPULAR, HUELGA Y ACTOS MAL INTENCIONADOS DE TERCEROS Y TERRORISMO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A43311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$ 8.440.287.239,00</w:t>
            </w:r>
          </w:p>
        </w:tc>
      </w:tr>
      <w:tr w:rsidR="00000000" w14:paraId="1491DD4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2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D634A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RESPONSABILIDAD CIVIL EXTRACONTRACTUAL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9AD9DF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$ 500.000.000,00</w:t>
            </w:r>
          </w:p>
        </w:tc>
      </w:tr>
      <w:tr w:rsidR="00000000" w14:paraId="70CE5D3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2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E2D0D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MANEJO GLOBAL COMERCIAL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71F4F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$ 10.000.000,00</w:t>
            </w:r>
          </w:p>
        </w:tc>
      </w:tr>
      <w:tr w:rsidR="00000000" w14:paraId="059C5C4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12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7DA485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RESPONSABILIDAD PARA ADMINISTRADORES DE COPROPIEDADES Y CONSEJO DE COPROPIETARIOS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16112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$ 200.000.000,00</w:t>
            </w:r>
          </w:p>
        </w:tc>
      </w:tr>
    </w:tbl>
    <w:p w14:paraId="5A8C2312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4D2A543D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987"/>
        <w:gridCol w:w="2987"/>
        <w:gridCol w:w="2987"/>
      </w:tblGrid>
      <w:tr w:rsidR="00000000" w14:paraId="28F461A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66" w:type="dxa"/>
            <w:shd w:val="clear" w:color="auto" w:fill="150F96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EE74C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FFFFFF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</w:rPr>
              <w:t>VALOR DE LA PRIMA</w:t>
            </w:r>
          </w:p>
        </w:tc>
        <w:tc>
          <w:tcPr>
            <w:tcW w:w="2966" w:type="dxa"/>
            <w:shd w:val="clear" w:color="auto" w:fill="150F96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04226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FFFFFF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</w:rPr>
              <w:t>IMPUESTO A LA VENTA</w:t>
            </w:r>
          </w:p>
        </w:tc>
        <w:tc>
          <w:tcPr>
            <w:tcW w:w="2966" w:type="dxa"/>
            <w:shd w:val="clear" w:color="auto" w:fill="150F96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A9D24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FFFFFF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</w:rPr>
              <w:t>VALOR TOTAL</w:t>
            </w:r>
          </w:p>
        </w:tc>
      </w:tr>
      <w:tr w:rsidR="00000000" w14:paraId="44A47AC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6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53338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$ 7.931.416,47</w:t>
            </w:r>
          </w:p>
        </w:tc>
        <w:tc>
          <w:tcPr>
            <w:tcW w:w="296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ECEFE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$ 1.506.969,13</w:t>
            </w:r>
          </w:p>
        </w:tc>
        <w:tc>
          <w:tcPr>
            <w:tcW w:w="2966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BB4DC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$ 9.438.385,60</w:t>
            </w:r>
          </w:p>
        </w:tc>
      </w:tr>
    </w:tbl>
    <w:p w14:paraId="75060A76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03CC5498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0"/>
        <w:gridCol w:w="4481"/>
      </w:tblGrid>
      <w:tr w:rsidR="00000000" w14:paraId="3E7BAE9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50F9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D60B4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FFFFFF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FFFFFF"/>
                <w:sz w:val="16"/>
                <w:szCs w:val="16"/>
              </w:rPr>
              <w:t>FORMA DE PAGO</w:t>
            </w:r>
          </w:p>
        </w:tc>
      </w:tr>
      <w:tr w:rsidR="00000000" w14:paraId="7150320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E66E4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Forma de Pago</w:t>
            </w:r>
          </w:p>
        </w:tc>
        <w:tc>
          <w:tcPr>
            <w:tcW w:w="4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20E72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Convenios de pago</w:t>
            </w:r>
          </w:p>
        </w:tc>
      </w:tr>
      <w:tr w:rsidR="00000000" w14:paraId="22663AD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9B601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Plazo</w:t>
            </w:r>
          </w:p>
        </w:tc>
        <w:tc>
          <w:tcPr>
            <w:tcW w:w="4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C1A1B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30 60 y 90 d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as</w:t>
            </w:r>
          </w:p>
        </w:tc>
      </w:tr>
    </w:tbl>
    <w:p w14:paraId="46EBC430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5DD231DD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365C9C3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CFCF9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SEGURO DE TODO RIESGO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MATERIAL PARA COPROPIEDADES</w:t>
            </w:r>
          </w:p>
        </w:tc>
      </w:tr>
      <w:tr w:rsidR="00000000" w14:paraId="6258F19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E0DBB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CLAUSULADO:</w:t>
            </w:r>
          </w:p>
        </w:tc>
      </w:tr>
      <w:tr w:rsidR="00000000" w:rsidRPr="00CD5738" w14:paraId="0D258A8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39E57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SEGURO DE TODO RIESGO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MATERIAL PARA COPROPIEDADES</w:t>
            </w:r>
          </w:p>
        </w:tc>
      </w:tr>
      <w:tr w:rsidR="00000000" w14:paraId="6462CA4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405DF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REGISTRO SUPERFINANCIERA:</w:t>
            </w:r>
          </w:p>
        </w:tc>
      </w:tr>
      <w:tr w:rsidR="00000000" w14:paraId="543067D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F6693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14/09/2020-1305-P-07-CLACHUBB20160034-000I</w:t>
            </w:r>
          </w:p>
        </w:tc>
      </w:tr>
      <w:tr w:rsidR="00000000" w14:paraId="753D296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0D31D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14/09/2020 1305 NT-07-P&amp;CNTCHUBBSEG03</w:t>
            </w:r>
          </w:p>
        </w:tc>
      </w:tr>
      <w:tr w:rsidR="00000000" w14:paraId="651B05E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69D4F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https://www.chubb.com/co-es/empresas/poliza-seguro-todo-riesgo-dano-material-para-copropiedades.aspx</w:t>
            </w:r>
          </w:p>
        </w:tc>
      </w:tr>
    </w:tbl>
    <w:p w14:paraId="58BD6AE5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75BAAB14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</w:rPr>
      </w:pPr>
      <w:r>
        <w:rPr>
          <w:rFonts w:ascii="Chubb Publico Light" w:hAnsi="Chubb Publico Light" w:cs="Chubb Publico Light"/>
          <w:color w:val="000000"/>
          <w:sz w:val="16"/>
          <w:szCs w:val="16"/>
        </w:rPr>
        <w:br w:type="page"/>
      </w:r>
    </w:p>
    <w:p w14:paraId="154220F2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21D8B77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F68F0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TODO RIESGO DA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Ñ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OS MATERIALES</w:t>
            </w:r>
          </w:p>
        </w:tc>
      </w:tr>
    </w:tbl>
    <w:p w14:paraId="1203EAA3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3B4D39D8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6721"/>
        <w:gridCol w:w="2240"/>
      </w:tblGrid>
      <w:tr w:rsidR="00000000" w14:paraId="20C8FFB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B0EA0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AMPARO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0E471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VALOR ASEGURADO</w:t>
            </w:r>
          </w:p>
        </w:tc>
      </w:tr>
      <w:tr w:rsidR="00000000" w14:paraId="448C2B4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06CD3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TODO RIESGO DE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O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MATERIAL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FBD0F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8.440.287.239,00</w:t>
            </w:r>
          </w:p>
        </w:tc>
      </w:tr>
      <w:tr w:rsidR="00000000" w14:paraId="230A2C0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645E2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TERREMOTO, TEMBLOR Y/O ERUPCI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VOLC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NICA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7D4D4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8.440.287.239,00</w:t>
            </w:r>
          </w:p>
        </w:tc>
      </w:tr>
      <w:tr w:rsidR="00000000" w14:paraId="3CAE12C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46F75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ASONADA, MOT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CONMOCI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CIVIL O POPULAR, HUELG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 Y ACTOS MAL INTENCIONADOS DE TERCEROS Y TERRORISMO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8B50F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8.440.287.239,00</w:t>
            </w:r>
          </w:p>
        </w:tc>
      </w:tr>
      <w:tr w:rsidR="00000000" w14:paraId="75AAA46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146B6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EQUIPOS ELECTR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NICOS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VILES O PORT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TILES FUERA DE LOS PREDIOS ASEGURADOS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6A722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10.000.000,00</w:t>
            </w:r>
          </w:p>
        </w:tc>
      </w:tr>
      <w:tr w:rsidR="00000000" w14:paraId="2897486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70DF0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PORTADORES EXTERNOS DE DATOS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28D59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10.000.000,00</w:t>
            </w:r>
          </w:p>
        </w:tc>
      </w:tr>
      <w:tr w:rsidR="00000000" w14:paraId="1A032C4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C1F1A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PROPIEDAD PERSONAL DE INVITADOS, VISITANTES  Y/O EMPLEADOS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61A4F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10.000.000,00</w:t>
            </w:r>
          </w:p>
        </w:tc>
      </w:tr>
      <w:tr w:rsidR="00000000" w14:paraId="50DF78E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C6FD7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FLETE A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É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F5558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50.000.000,00</w:t>
            </w:r>
          </w:p>
        </w:tc>
      </w:tr>
      <w:tr w:rsidR="00000000" w14:paraId="22A1D37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2DBEA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ADICIONALES POR HORAS EXTRAS, TRABAJO NOCTURNO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F7B32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100.000.000,00</w:t>
            </w:r>
          </w:p>
        </w:tc>
      </w:tr>
      <w:tr w:rsidR="00000000" w14:paraId="289BEEF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3B2BE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HONORARIOS PROFESIONALES INCLUYENDO GASTOS DE VIAJE Y ESTAD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10911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1.688.057.448,00</w:t>
            </w:r>
          </w:p>
        </w:tc>
      </w:tr>
      <w:tr w:rsidR="00000000" w14:paraId="31DCC2A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2B1CA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REMOCI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DE ESCOMBROS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F6D88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1.688.057.448,00</w:t>
            </w:r>
          </w:p>
        </w:tc>
      </w:tr>
      <w:tr w:rsidR="00000000" w14:paraId="2CA1ABE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24545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TRASLADO TEMPORAL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C5498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50.000.000,00</w:t>
            </w:r>
          </w:p>
        </w:tc>
      </w:tr>
      <w:tr w:rsidR="00000000" w14:paraId="2E5C32E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4CDF9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LABORES Y MATERIALES / CONSTRUCCIONES Y MONTAJES NUEVOS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2A647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</w:tr>
      <w:tr w:rsidR="00000000" w14:paraId="7E1C07A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1A427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NDICE VARIABLE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752BB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564.138.330,00</w:t>
            </w:r>
          </w:p>
        </w:tc>
      </w:tr>
      <w:tr w:rsidR="00000000" w14:paraId="1696A7C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5EF75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AMPARO  DE  NUEVAS  PROPIEDADES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42FAA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58.356.443,00</w:t>
            </w:r>
          </w:p>
        </w:tc>
      </w:tr>
      <w:tr w:rsidR="00000000" w14:paraId="64197B2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AFE96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DE EXTINCI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DEL SINIESTRO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99889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844.028.724,00</w:t>
            </w:r>
          </w:p>
        </w:tc>
      </w:tr>
      <w:tr w:rsidR="00000000" w14:paraId="54CD2AB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960B2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PARA LA PRESERVACI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BIENES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362F9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844.028.724,00</w:t>
            </w:r>
          </w:p>
        </w:tc>
      </w:tr>
      <w:tr w:rsidR="00000000" w14:paraId="6F65B91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EDA84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DE REPOSICI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DOCUMENTOS y GASTOS RECONSTRUCCI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ARCHIVOS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5D327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</w:tr>
    </w:tbl>
    <w:p w14:paraId="2C79F070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5D09B24E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1E6BA6E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0A4E53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Cl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usulas especiales incluidas en las condiciones particulares para Todo Riesgo Da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o Material</w:t>
            </w:r>
          </w:p>
        </w:tc>
      </w:tr>
      <w:tr w:rsidR="00000000" w:rsidRPr="00CD5738" w14:paraId="2343BF3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EE190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ACTOS DE AUTORIDAD COMPETENTE PARA EVITAR LA EXTENSI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Y PROPAGACI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DEL SINIESTRO</w:t>
            </w:r>
          </w:p>
        </w:tc>
      </w:tr>
      <w:tr w:rsidR="00000000" w:rsidRPr="00CD5738" w14:paraId="741E850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0C9E3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RESTABLECIMIENTO AUTOM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TICO DE LA SUMA ASEGURADA POR PAGO DE SINIESTRO CON COBRO DE PRIMA ADICIONAL A PRORRATA EXCEPTO PARA HMACC, AMIT - TERRORISMO Y DEM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S COBERTURAS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SUBLIMITADAS.</w:t>
            </w:r>
          </w:p>
        </w:tc>
      </w:tr>
      <w:tr w:rsidR="00000000" w:rsidRPr="00CD5738" w14:paraId="58C1F63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E1A69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SUSTRACCI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CON VIOLENCIA: Se otorga cobertura para el 100% de los contenidos. Aplica deducible indicado. ROTURA DE MAQUINARIA: Se otorga cobertura para el 100% del valor reportado en maquinaria. Aplica deducible indicado. Para todo caso 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plican condiciones indicadas en Condicionado General.</w:t>
            </w:r>
          </w:p>
        </w:tc>
      </w:tr>
    </w:tbl>
    <w:p w14:paraId="240F1DEE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72FC02A8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75F11AD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FEE702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No obstante lo mencionado en el Condicionado General de la presente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liza, se aclara que el Valor Asegurado otorgado para las Coberturas / Gastos relacionados a continuaci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hacen parte del valor 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otal asegurado y operan como subl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mites, evento/vigencia.</w:t>
            </w:r>
          </w:p>
        </w:tc>
      </w:tr>
      <w:tr w:rsidR="00000000" w:rsidRPr="00CD5738" w14:paraId="445DAF5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A0295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</w:p>
        </w:tc>
      </w:tr>
      <w:tr w:rsidR="00000000" w14:paraId="0D4A229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1B745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REMOCI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DE ESCOMBROS</w:t>
            </w:r>
          </w:p>
        </w:tc>
      </w:tr>
      <w:tr w:rsidR="00000000" w:rsidRPr="00CD5738" w14:paraId="6647514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1EBD0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DE EXTINCI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DEL SINIESTRO</w:t>
            </w:r>
          </w:p>
        </w:tc>
      </w:tr>
      <w:tr w:rsidR="00000000" w:rsidRPr="00CD5738" w14:paraId="6F0DD7B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06A5A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HONORARIOS PROFESIONALES INCLUYENDO GASTOS DE VIAJE Y ESTAD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</w:t>
            </w:r>
          </w:p>
        </w:tc>
      </w:tr>
      <w:tr w:rsidR="00000000" w:rsidRPr="00CD5738" w14:paraId="562D5AF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19CF2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lastRenderedPageBreak/>
              <w:t>GASTOS PARA LA PRESERVACI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BIENES</w:t>
            </w:r>
          </w:p>
        </w:tc>
      </w:tr>
      <w:tr w:rsidR="00000000" w:rsidRPr="00CD5738" w14:paraId="0F93F0D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06C3D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DE REPOSICI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DOCUMENTOS y GASTOS RECONSTRUCCI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ARCHIVOS</w:t>
            </w:r>
          </w:p>
        </w:tc>
      </w:tr>
      <w:tr w:rsidR="00000000" w14:paraId="05608B6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8A300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PORTADORES EXTERNOS DE DATOS</w:t>
            </w:r>
          </w:p>
        </w:tc>
      </w:tr>
      <w:tr w:rsidR="00000000" w14:paraId="5A07300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D0BD9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FLETE A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É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REO</w:t>
            </w:r>
          </w:p>
        </w:tc>
      </w:tr>
      <w:tr w:rsidR="00000000" w:rsidRPr="00CD5738" w14:paraId="37C6381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C9C63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ADICIONALES POR HORAS EXTRAS, TRABAJO NOCTURNO, TRABAJO EN 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 FESTIVOS Y FLETE EXPRESO</w:t>
            </w:r>
          </w:p>
        </w:tc>
      </w:tr>
      <w:tr w:rsidR="00000000" w:rsidRPr="00CD5738" w14:paraId="4ED8B56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62E42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EQUIPOS ELECTR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NICOS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VILES O PORT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TILES FUERA DE LOS PREDIOS ASEGURADOS</w:t>
            </w:r>
          </w:p>
        </w:tc>
      </w:tr>
      <w:tr w:rsidR="00000000" w:rsidRPr="00CD5738" w14:paraId="082B0DB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B3A0C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PROPIEDAD PERSONAL DE INVITADOS, VISITANTES, DIRECTORES Y/O EMPLEADOS</w:t>
            </w:r>
          </w:p>
        </w:tc>
      </w:tr>
      <w:tr w:rsidR="00000000" w14:paraId="7C61E16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BAEEA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AMPARO DE NUEVAS PROPIEDADES</w:t>
            </w:r>
          </w:p>
        </w:tc>
      </w:tr>
      <w:tr w:rsidR="00000000" w:rsidRPr="00CD5738" w14:paraId="65FDEFE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10B50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LABORES Y MATERIALES / CONSTRUCCIONES Y MONTAJES NUEVOS</w:t>
            </w:r>
          </w:p>
        </w:tc>
      </w:tr>
      <w:tr w:rsidR="00000000" w14:paraId="74EEB8F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E9AF1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TRASLADO TEMPORAL DE BIENES</w:t>
            </w:r>
          </w:p>
        </w:tc>
      </w:tr>
      <w:tr w:rsidR="00000000" w14:paraId="5030C0E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3B54C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CUOTAS DE ADMINIS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TRACI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(Autom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á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tico)</w:t>
            </w:r>
          </w:p>
        </w:tc>
      </w:tr>
      <w:tr w:rsidR="00000000" w14:paraId="2DF8965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64E02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BIENES A LA INTEMPERIE</w:t>
            </w:r>
          </w:p>
        </w:tc>
      </w:tr>
      <w:tr w:rsidR="00000000" w:rsidRPr="00CD5738" w14:paraId="4625853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AC041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AMPARO DE DINERO Y CHEQUES EN OFICINA DE ADMINISTRACI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</w:t>
            </w:r>
          </w:p>
        </w:tc>
      </w:tr>
      <w:tr w:rsidR="00000000" w14:paraId="2533D62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74D59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Aclaraci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n:</w:t>
            </w:r>
          </w:p>
        </w:tc>
      </w:tr>
      <w:tr w:rsidR="00000000" w:rsidRPr="00CD5738" w14:paraId="04443E1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AC7D0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HONORARIOS PROFESIONALES INCLUYENDO GASTOS DE VIAJE Y ESTAD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</w:t>
            </w:r>
          </w:p>
        </w:tc>
      </w:tr>
      <w:tr w:rsidR="00000000" w:rsidRPr="00CD5738" w14:paraId="02DAB39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0FEBE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u w:val="single"/>
                <w:lang w:val="es-419"/>
              </w:rPr>
              <w:t>PREVIA APROBACI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u w:val="single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u w:val="single"/>
                <w:lang w:val="es-419"/>
              </w:rPr>
              <w:t>N DE LA COMPA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u w:val="single"/>
                <w:lang w:val="es-419"/>
              </w:rPr>
              <w:t>ÑÍ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u w:val="single"/>
                <w:lang w:val="es-419"/>
              </w:rPr>
              <w:t xml:space="preserve">A,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EL COSTO DE HONORARIOS, INCLUYENDO GASTOS DE VIAJE Y ESTAD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A, DIFERENTES DE LOS QUE NORMALMENTE FORMAN PARTE DE LA INDEMNIZACI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BAJO LA COBERTURA OTORGADA POR TODO RIESGO DE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O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MATERIAL, DE 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CNICOS, EXPERTOS, INTERVENTORES, INGENIEROS, CONSUL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TORES, ARQUITECTOS U OTROS PROFESIONALES PARA LA PLANIFICACI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RECONSTRUCCI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REPOSICI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REEMPLAZO O REPARACI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LOS BIENES E INTERESES ASEGURADOS, O PARA DEMOSTRAR LA OCURRENCIA DEL SINIESTRO Y LA CUANT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RDIDA, (EXCLUYENDO COSTOS DE ARBITRAM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ENTO Y/O PROCESOS JUDICIALES) SIN EXCEDER DE LAS TARIFAS AUTORIZADAS POR LAS RESPECTIVAS AGREMIACIONES O COLEGIOS PROFESIONALES Y, A FALTA DE UNAS U OTRAS, DE LAS QUE SEAN USUALES O COMUNES.</w:t>
            </w:r>
          </w:p>
        </w:tc>
      </w:tr>
      <w:tr w:rsidR="00000000" w:rsidRPr="00CD5738" w14:paraId="5FBE60F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27C50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EN LAS MISMAS CONDICIONES QUE PARA LOS ANTERIORES, LA COMPA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IA 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NDEMNIZAR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LOS HONORARIOS DE AUDITORES, REVISORES Y CONTADORES PARA OBTENER Y CERTIFICAR INFORMACI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LA CONTABILIDAD DEL ESTABLECIMIENTO Y DEM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 INFORMACI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DOCUMENTOS Y TESTIMONIOS QUE SEAN REQUERIDOS EN RELACI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CON UN SINIESTRO AMPARADO.</w:t>
            </w:r>
          </w:p>
        </w:tc>
      </w:tr>
      <w:tr w:rsidR="00000000" w:rsidRPr="00CD5738" w14:paraId="53D66DC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9B59F2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LA COBERTU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RA BRINDADA POR ESTA COBERTURA NO INCLUYE LOS COSTOS O GASTOS FIJOS DEL ASEGURADO Y/O LOS NECESARIOS PARA ACTUALIZAR LA CONTABILIDAD.</w:t>
            </w:r>
          </w:p>
        </w:tc>
      </w:tr>
      <w:tr w:rsidR="00000000" w14:paraId="70C4D69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3F705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NOTAS</w:t>
            </w:r>
          </w:p>
        </w:tc>
      </w:tr>
    </w:tbl>
    <w:p w14:paraId="4A6A93FD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75BC1F0F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247956D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006D9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Modalidad de aseguramiento:</w:t>
            </w:r>
          </w:p>
        </w:tc>
      </w:tr>
      <w:tr w:rsidR="00000000" w:rsidRPr="00CD5738" w14:paraId="7EB00BA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04F17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-Activos fijos: Reposici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o reemplazo.</w:t>
            </w:r>
          </w:p>
        </w:tc>
      </w:tr>
      <w:tr w:rsidR="00000000" w14:paraId="504BCBA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BC63C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-Edificio: Reconstrucci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</w:t>
            </w:r>
          </w:p>
        </w:tc>
      </w:tr>
      <w:tr w:rsidR="00000000" w14:paraId="77C11F0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D014F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-No aplicaci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de Dem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é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rito</w:t>
            </w:r>
          </w:p>
        </w:tc>
      </w:tr>
    </w:tbl>
    <w:p w14:paraId="46CFF41C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32D4A23A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6365DA5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604C8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DEFINICI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 ART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CULO Y/O BIEN AFECTADO</w:t>
            </w:r>
          </w:p>
        </w:tc>
      </w:tr>
      <w:tr w:rsidR="00000000" w:rsidRPr="00CD5738" w14:paraId="390E6A4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765E5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Enti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ndase como Art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culo y/o Bien Afectado el conjunto de bienes muebles e inmuebles tales como edificios, muebles y enseres, maquinaria, equipos el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ctricos y e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lectr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nicos, mercanc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as, etc. que se encuentren dentro de una misma edificaci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 o a la intemperie, en una misma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 delimitada.</w:t>
            </w:r>
          </w:p>
        </w:tc>
      </w:tr>
    </w:tbl>
    <w:p w14:paraId="790F04FE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503F8C1E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6598B36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EF40E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Deducibles:</w:t>
            </w:r>
          </w:p>
        </w:tc>
      </w:tr>
    </w:tbl>
    <w:p w14:paraId="2E26808F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161EAC25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0"/>
        <w:gridCol w:w="4481"/>
      </w:tblGrid>
      <w:tr w:rsidR="00000000" w:rsidRPr="00CD5738" w14:paraId="335B57B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BEB1C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INCENDIO Y/O IMPACTO DIRECTO DE RAYO y OTROS GASTOS DERIVADOS DE SINIESTRO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 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(**)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B6EAD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5.0%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  <w:tr w:rsidR="00000000" w:rsidRPr="00CD5738" w14:paraId="20781BD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41418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POR ROTURA DE TUBERIA (Sanitaria y a presi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Agua Potable) Y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POR AGUA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7BB26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10.0%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  <w:tr w:rsidR="00000000" w:rsidRPr="00CD5738" w14:paraId="418859C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D1F68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ROTURA DE MAQUINARIA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EC767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10.0%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  <w:tr w:rsidR="00000000" w:rsidRPr="00CD5738" w14:paraId="5C683D6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E96F9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SUSTRACCI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6A486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5.0%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  <w:tr w:rsidR="00000000" w:rsidRPr="00CD5738" w14:paraId="43D0359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089C2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EQ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UIPO ELECTR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NICO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5AF75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5.0%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  <w:tr w:rsidR="00000000" w:rsidRPr="00CD5738" w14:paraId="493E4CC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A4283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A86BD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HURTO SIMPLE PARA EQUIPO ELECTR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NICO: 5,0%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INDEMNIZABLE,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1,00 SMMLV.</w:t>
            </w:r>
          </w:p>
        </w:tc>
      </w:tr>
      <w:tr w:rsidR="00000000" w:rsidRPr="00CD5738" w14:paraId="638E18F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15670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TERREMOTO, TEMBLOR Y/O ERUPCI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VOLC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NICA (***)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1E82D6" w14:textId="6678E0F8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3% del valor asegurable total</w:t>
            </w:r>
          </w:p>
        </w:tc>
      </w:tr>
      <w:tr w:rsidR="00000000" w:rsidRPr="00CD5738" w14:paraId="210ABD7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61AC8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ASONADA, MOT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CONMOCI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CIVIL O POPULAR, HUELGA Y ACTOS MAL INTENCIONADOS DE TERCEROS Y TERRORISMO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24923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5.00%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</w:t>
            </w:r>
          </w:p>
        </w:tc>
      </w:tr>
      <w:tr w:rsidR="00000000" w:rsidRPr="00CD5738" w14:paraId="6008A9D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129A5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EQUIPOS ELECTR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NICOS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VILES O PORT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TILES FUERA DE LOS PREDIOS ASEGURADOS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B843A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5.0%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  <w:tr w:rsidR="00000000" w14:paraId="22BFF69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68C28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RENTA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FC511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 D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AS CALENDARIO</w:t>
            </w:r>
          </w:p>
        </w:tc>
      </w:tr>
      <w:tr w:rsidR="00000000" w:rsidRPr="00CD5738" w14:paraId="462EA1B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62BAE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ROTURA  DE VIDRIOS PERMANENTES Y DE PORCELANA SANITARIA Y TUBERIAS.</w:t>
            </w:r>
          </w:p>
          <w:p w14:paraId="1BA9A39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20"/>
                <w:szCs w:val="20"/>
                <w:lang w:val="es-419"/>
              </w:rPr>
            </w:pP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F57FA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5.0%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  <w:tr w:rsidR="00000000" w:rsidRPr="00CD5738" w14:paraId="1BF7048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FF2CA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DEM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Á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S EVENTOS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617CA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5.0%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</w:tbl>
    <w:p w14:paraId="6E75994A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30869B74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0DFAF44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067673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(**) OTROS GASTOS DERIVADOS DE SINIESTRO: REMOCI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ESCOMBROS, GASTOS DE EXTINCI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DEL SINIESTRO, HONORARIOS DE PROFESIONALES, GASTOS PARA LA PRESERVACI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BIENES, GASTOS DE REPOSICI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DOCUMENTOS, GASTOS RECONSTRUCCI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ARCHIVOS y PORTADORES EXTERNOS DE DATOS.</w:t>
            </w:r>
          </w:p>
        </w:tc>
      </w:tr>
      <w:tr w:rsidR="00000000" w:rsidRPr="00CD5738" w14:paraId="4F1532F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7AA4E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(***) Para Copropiedades ubicadas en los Departamentos de RISARALDA,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CALDAS y QUINDIO;  el deducible de TERREMOTO, TEMBLOR Y/O ERUPCI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VOLC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NICA, tambi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aplica para cualquier evento por DESLIZAMIENTO DE TIERRAS.</w:t>
            </w:r>
          </w:p>
        </w:tc>
      </w:tr>
      <w:tr w:rsidR="00000000" w:rsidRPr="00CD5738" w14:paraId="50A716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503FA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VALOR ASEGURADO DE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MATERIALES ( DEDUCIBLE TERREMOTO, TEMBLOR Y/O ERUPCI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VOLC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NICA).La sumatoria total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de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os Materiales se compone de: Edificio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 Com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n, Edificio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 Privada, Cimientos, Maquinaria, herramienta y equipos, Muebles y Enseres, Equipo electr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nico, Dinero, Existencias, Cuotas de administraci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Renta y Adecuaci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 terrenos.</w:t>
            </w:r>
          </w:p>
        </w:tc>
      </w:tr>
    </w:tbl>
    <w:p w14:paraId="3520B45E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42B45436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3D02853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0F8232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Observacio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nes particulares para Todo Riesgo Da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o Material</w:t>
            </w:r>
          </w:p>
        </w:tc>
      </w:tr>
    </w:tbl>
    <w:p w14:paraId="24BC7827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6D5A315A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0"/>
        <w:gridCol w:w="4481"/>
      </w:tblGrid>
      <w:tr w:rsidR="00000000" w14:paraId="5D580AC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244AF3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lastRenderedPageBreak/>
              <w:t>PROPIEDAD PERSONAL DE INVITADOS, VISITANTES Y/O EMPLEADOS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5C0C7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L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MITE POR PERSONA: $10'000.000</w:t>
            </w:r>
          </w:p>
        </w:tc>
      </w:tr>
      <w:tr w:rsidR="00000000" w14:paraId="19C5C6F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A329D3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AMPARO AUTOM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TICO DE NUEVAS PROPIEDADES - AGREGADO ANUAL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8844D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AVISO 30 D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AS</w:t>
            </w:r>
          </w:p>
        </w:tc>
      </w:tr>
      <w:tr w:rsidR="00000000" w:rsidRPr="00CD5738" w14:paraId="68E596B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6FE4C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ROTURA DE VIDRIOS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A86C5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Esta cobertura aplica igual que para toda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para eventos de car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cter accidental s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bito e imprevisto, y el deducible es el arriba indicado.</w:t>
            </w:r>
          </w:p>
          <w:p w14:paraId="06518C2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En el caso que la Rotura de Vidrios sea causada por Huelga, Mot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Conmoci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Civil, Actos Mal Intencionados 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 Terceros y/o Terrorismo y/o Terremoto el deducible que aplica es el del amparo afectado.</w:t>
            </w:r>
          </w:p>
          <w:p w14:paraId="017B0E7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El valor de vidrios debe estar contemplado dentro del valor de Edificio.</w:t>
            </w:r>
          </w:p>
        </w:tc>
      </w:tr>
      <w:tr w:rsidR="00000000" w14:paraId="551A98A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D47F0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BIENES A LA INTEMPERIE</w:t>
            </w:r>
          </w:p>
        </w:tc>
      </w:tr>
      <w:tr w:rsidR="00000000" w:rsidRPr="00CD5738" w14:paraId="683823C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5ECF0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La presente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liza otorga cobertura para BIENES A LA INTEMPERIE ubicados en las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reas de uso com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la copropiedad Asegurada.</w:t>
            </w:r>
          </w:p>
        </w:tc>
      </w:tr>
      <w:tr w:rsidR="00000000" w:rsidRPr="00CD5738" w14:paraId="22E7CF1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C0FE4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AMPARA LOS BIENES UBICADOS EN EL EXTERIOR DE LAS EDIFICACIONES, DE PROPIEDAD DE LA COPROPIEDAD AMPARADA, TALES COMO: JARDINES,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RBOLES, PLANT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AS, C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SPEDES, CERCAS, AVISOS, VALLAS, PARARRAYOS, Hasta por: $ 8.059.119,00</w:t>
            </w:r>
          </w:p>
        </w:tc>
      </w:tr>
      <w:tr w:rsidR="00000000" w14:paraId="612F0A5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00BBB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BIENES A LA INTEMPERIE (DEM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 CONTENIDOS), SIEMPRE Y CUANDO DICHOS BIENES DEBAN PERMANECER POR SU FUNCIONAMIENTO BAJO ESTA CONDICI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Y CUENTEN CON LAS PROTECCIONES NECESARIAS: COB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ERTURA AL 100%. 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APLICA DEDUCIBLE INDICADO.</w:t>
            </w:r>
          </w:p>
        </w:tc>
      </w:tr>
      <w:tr w:rsidR="00000000" w14:paraId="4AA1EB6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AC8CC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V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AS INTERNAS</w:t>
            </w:r>
          </w:p>
        </w:tc>
      </w:tr>
      <w:tr w:rsidR="00000000" w:rsidRPr="00CD5738" w14:paraId="2DF99AB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D106A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La presente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otorga cobertura para V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as vehiculares de acceso, internas y sus complementos, calles, puentes peatonales; ubicados en las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reas de uso com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la copropiedad Asegurada, hasta por: $ 1.611.823.799,20</w:t>
            </w:r>
          </w:p>
        </w:tc>
      </w:tr>
      <w:tr w:rsidR="00000000" w:rsidRPr="00CD5738" w14:paraId="1FB4D46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B090EE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Se debe cumplir con las siguientes condiciones:</w:t>
            </w:r>
          </w:p>
        </w:tc>
      </w:tr>
      <w:tr w:rsidR="00000000" w:rsidRPr="00CD5738" w14:paraId="1045803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443F83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-Dentro del valor de edificio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se deber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incluir el valor de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stas v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 internas</w:t>
            </w:r>
          </w:p>
        </w:tc>
      </w:tr>
      <w:tr w:rsidR="00000000" w:rsidRPr="00CD5738" w14:paraId="332733A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54D97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- Aplican  Deducibles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seg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 amparo afectado. </w:t>
            </w:r>
          </w:p>
        </w:tc>
      </w:tr>
      <w:tr w:rsidR="00000000" w14:paraId="3CD3C37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F622F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Aver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 de calentadores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A8B45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 xml:space="preserve">Hasta por $2.000.000.00 </w:t>
            </w:r>
          </w:p>
          <w:p w14:paraId="151AB66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 xml:space="preserve">Evento / Vigencia </w:t>
            </w:r>
          </w:p>
        </w:tc>
      </w:tr>
      <w:tr w:rsidR="00000000" w:rsidRPr="00CD5738" w14:paraId="5F191CF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FE7B5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SE ENTIENDEN CUBIERTAS BAJO ESTE AMPARO LAS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RDIDAS O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SUFRIDOS POR EL CALENTADOR O CALENTADORES DE AGUA UBICADOS DENTRO DEL INMUEBLE ASEGURADO COMO CONSECUENCIA DIRECTA DE UN ACCIDENTE CAUSADO POR:</w:t>
            </w:r>
          </w:p>
          <w:p w14:paraId="17CF24B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FALTA DE AGUA DENTRO DEL RECIPIENTE.</w:t>
            </w:r>
          </w:p>
          <w:p w14:paraId="00BFF4A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FALLA EN 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DISPOSITIVOS DE REGULACI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Y CONTROL INCLUYENDO CORTO CIRCUITO, SOBRE VOLTAJE, SOBRETENSIONES Y CUALQUIER OTRO FEN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MENO EL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CTRICO.</w:t>
            </w:r>
          </w:p>
        </w:tc>
      </w:tr>
      <w:tr w:rsidR="00000000" w14:paraId="5838B78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78B3A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EQUIPO ELECTR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</w:t>
            </w:r>
          </w:p>
          <w:p w14:paraId="6E8FF782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Se extiende la cobertura de Equipo Electr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 - Hurto Simple - para las partes el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ctricas y/o electr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nicas desmontables de la MAQUINARIA.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17362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Hasta por: $ 6.796.416,40</w:t>
            </w:r>
          </w:p>
          <w:p w14:paraId="29846C3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 xml:space="preserve">Evento / Vigencia </w:t>
            </w:r>
          </w:p>
        </w:tc>
      </w:tr>
      <w:tr w:rsidR="00000000" w14:paraId="1D79A2E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E664D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Amparo de dineros en oficina de administraci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(Da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+ sustracci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con violencia)</w:t>
            </w:r>
          </w:p>
          <w:p w14:paraId="2BB6F33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lastRenderedPageBreak/>
              <w:t>Este valor opera en exceso de la suma reportada en dineros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9DEC9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lastRenderedPageBreak/>
              <w:t>Hasta por $3.000.000.00</w:t>
            </w:r>
          </w:p>
          <w:p w14:paraId="5989FB4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 xml:space="preserve">Evento / Vigencia </w:t>
            </w:r>
          </w:p>
        </w:tc>
      </w:tr>
      <w:tr w:rsidR="00000000" w:rsidRPr="00CD5738" w14:paraId="2D31706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6AE55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Aclaramos que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se extiende a otorgar cobertura para las instalaciones el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ctricas ,cableado, elementos de aseo, ducto para basuras, equipos de gi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mnasio, zonas h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medas y piscinas, entre otros, que formen parte de la Copropiedad.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ECEC4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Su valor debe hacer parte del  valor asegurado reportado. La cobertura aplica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nicamente por un evento amparado en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y deducible de acuerdo con la cobertura afectada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.</w:t>
            </w:r>
          </w:p>
        </w:tc>
      </w:tr>
      <w:tr w:rsidR="00000000" w14:paraId="3098EFF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B20EF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CUOTAS DE ADMINISTRACI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 (Autom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á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tico)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F5C52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$ 80.591.189,96</w:t>
            </w:r>
          </w:p>
        </w:tc>
      </w:tr>
    </w:tbl>
    <w:p w14:paraId="763B84B0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645E5496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6273"/>
        <w:gridCol w:w="2688"/>
      </w:tblGrid>
      <w:tr w:rsidR="00000000" w14:paraId="097D4B6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DFFA0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Prima antes de IVA Todo Riesgo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Materiales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888C5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$ 7.021.416,47</w:t>
            </w:r>
          </w:p>
        </w:tc>
      </w:tr>
    </w:tbl>
    <w:p w14:paraId="26C2D882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1BF8B325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4516FE0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FD439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ASONADA, MOT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N, CONMOCI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 CIVIL O POPULAR, HUELGA Y ACTOS MAL INTENCIONADOS DE TERCEROS Y TERRORISMO</w:t>
            </w:r>
          </w:p>
        </w:tc>
      </w:tr>
    </w:tbl>
    <w:p w14:paraId="1E1D1EC7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5E327AE7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1"/>
        <w:gridCol w:w="2240"/>
        <w:gridCol w:w="2240"/>
      </w:tblGrid>
      <w:tr w:rsidR="00000000" w14:paraId="5EE47E1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A1DC1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AMPARO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86297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MITE POR EVENTO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F1876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MITE AGREGADO ANUAL</w:t>
            </w:r>
          </w:p>
        </w:tc>
      </w:tr>
      <w:tr w:rsidR="00000000" w14:paraId="427BF66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C5317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ASONADA, MOT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CONMOCI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 CIVIL O POPULAR, HUELGA Y ACTOS MAL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INTENCIONADOS DE TERCEROS Y TERRORISMO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083DA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8.440.287.239,00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33421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8.440.287.239,00</w:t>
            </w:r>
          </w:p>
        </w:tc>
      </w:tr>
    </w:tbl>
    <w:p w14:paraId="28A98DAA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0BAC72FA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75316F6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C3877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Deducibles:</w:t>
            </w:r>
          </w:p>
        </w:tc>
      </w:tr>
    </w:tbl>
    <w:p w14:paraId="048B5D52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7187CE5B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0"/>
        <w:gridCol w:w="4481"/>
      </w:tblGrid>
      <w:tr w:rsidR="00000000" w:rsidRPr="00CD5738" w14:paraId="1EFCD09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04626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ASONADA, MOT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CONMOCI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CIVIL O POPULAR, HUELGA Y ACTOS MAL INTENCIONADOS DE TERCEROS Y TERRORISMO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40189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INDEMNIZABLE,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</w:tbl>
    <w:p w14:paraId="63DA4EEC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4912A46D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497C64F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3ACAA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Cl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 xml:space="preserve">usulas Especiales Incluidas 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en las Condiciones Generales de la P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liza</w:t>
            </w:r>
          </w:p>
        </w:tc>
      </w:tr>
      <w:tr w:rsidR="00000000" w:rsidRPr="00CD5738" w14:paraId="68F65FF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39657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Ampliaci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del plazo para aviso de siniestro 10 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</w:t>
            </w:r>
          </w:p>
        </w:tc>
      </w:tr>
      <w:tr w:rsidR="00000000" w:rsidRPr="00CD5738" w14:paraId="3D5ADB1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CD845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Anticipo de indemnizaciones: a convenir</w:t>
            </w:r>
          </w:p>
        </w:tc>
      </w:tr>
      <w:tr w:rsidR="00000000" w14:paraId="26BF240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94DBB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* Arbitramento</w:t>
            </w:r>
          </w:p>
        </w:tc>
      </w:tr>
      <w:tr w:rsidR="00000000" w14:paraId="603649D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D5DAC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* Derechos sobre el salvamento</w:t>
            </w:r>
          </w:p>
        </w:tc>
      </w:tr>
      <w:tr w:rsidR="00000000" w:rsidRPr="00CD5738" w14:paraId="4DF179F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BBEFF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Errores u omisiones e inexactitudes no intencionales</w:t>
            </w:r>
          </w:p>
        </w:tc>
      </w:tr>
      <w:tr w:rsidR="00000000" w:rsidRPr="00CD5738" w14:paraId="085E6F3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E020F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Revocaci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30 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as, excepto HMACC-Amit-Terrorismo 10 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 (d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 calendario desde fecha de aviso de revocaci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n).</w:t>
            </w:r>
          </w:p>
        </w:tc>
      </w:tr>
      <w:tr w:rsidR="00000000" w14:paraId="2BEAE7E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DD5AA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* Designaci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de Ajustadores</w:t>
            </w:r>
          </w:p>
        </w:tc>
      </w:tr>
      <w:tr w:rsidR="00000000" w14:paraId="3DA6B5E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CF1D5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* Conocimiento del Riesgo</w:t>
            </w:r>
          </w:p>
        </w:tc>
      </w:tr>
      <w:tr w:rsidR="00000000" w:rsidRPr="00CD5738" w14:paraId="103D9DA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9D4A7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No aplicaci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la cl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usula de infraseguro, cuando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sea in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ferior a 100 S.M.M.L.V.</w:t>
            </w:r>
          </w:p>
        </w:tc>
      </w:tr>
    </w:tbl>
    <w:p w14:paraId="26D4F564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52D6D73E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10300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10300"/>
      </w:tblGrid>
      <w:tr w:rsidR="00000000" w14:paraId="4BB9A6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0C3E2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ENDOSO DE ENFERMEDAD TRANSMISIBLE</w:t>
            </w:r>
          </w:p>
        </w:tc>
      </w:tr>
      <w:tr w:rsidR="00000000" w:rsidRPr="00CD5738" w14:paraId="3BCD1D2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3657A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1. No obstante y con independencia de cualquier otra disposici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esta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en sentido contrario, esta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no asegura ninguna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rdida,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, reclamo, costo, gasto u otra suma, sea cual fuere, que surja directa o indirectamente de, o que de cualquier manera sea atribuible a o relacionada con, conectada con, o que ocurra simult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neamente o en cualquier secuencia con:</w:t>
            </w:r>
          </w:p>
        </w:tc>
      </w:tr>
      <w:tr w:rsidR="00000000" w14:paraId="5A0CBB9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E4FEB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1.1 una Enfermedad Transmis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ible;</w:t>
            </w:r>
          </w:p>
        </w:tc>
      </w:tr>
      <w:tr w:rsidR="00000000" w:rsidRPr="00CD5738" w14:paraId="6804444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85C5D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1.2 el miedo a o la amenaza (ya sea real o percibida) de una enfermedad transmisible.</w:t>
            </w:r>
          </w:p>
        </w:tc>
      </w:tr>
      <w:tr w:rsidR="00000000" w:rsidRPr="00CD5738" w14:paraId="6ABAB57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BBB92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lastRenderedPageBreak/>
              <w:t>2. Para los prop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sitos de este endoso,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rdida,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o, reclamo, costo, gasto u otra suma, incluye, pero no se limita a, cualquier costo de limpieza, desintoxicaci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eliminaci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monitoreo o prueba:</w:t>
            </w:r>
          </w:p>
        </w:tc>
      </w:tr>
      <w:tr w:rsidR="00000000" w14:paraId="47CEFDB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D0FEE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2.1 para una Enfermedad Transmisible;</w:t>
            </w:r>
          </w:p>
        </w:tc>
      </w:tr>
      <w:tr w:rsidR="00000000" w:rsidRPr="00CD5738" w14:paraId="69D09E6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E8389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2.2 cualquier propiedad asegurada en virtud de este documento que est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o pueda verse afectada por una Enfermedad Transmisible.</w:t>
            </w:r>
          </w:p>
        </w:tc>
      </w:tr>
      <w:tr w:rsidR="00000000" w:rsidRPr="00CD5738" w14:paraId="4340D11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5A88D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3. Como se usa aqu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, una Enfermedad Transmisible sig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nifica cualquier:</w:t>
            </w:r>
          </w:p>
        </w:tc>
      </w:tr>
      <w:tr w:rsidR="00000000" w:rsidRPr="00CD5738" w14:paraId="6CED04B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A2142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3.1 angustia f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sica, enfermedad o dolencia causada o transmitida directa o indirectamente por cualquier virus, bacteria, par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sito u otro organismo o cualquier variaci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 de este, ya sea que se considere vivo o no, e independientemente de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los medios de transmisi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n;</w:t>
            </w:r>
          </w:p>
        </w:tc>
      </w:tr>
      <w:tr w:rsidR="00000000" w:rsidRPr="00CD5738" w14:paraId="7CFAA57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DB092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3.2 cualquier virus, bacteria, par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sito u otro organismo o cualquier variaci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este, ya sea que se considere vivo o no, que sea capaz de causar angustia f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sica, enfermedad o dolencia.</w:t>
            </w:r>
          </w:p>
        </w:tc>
      </w:tr>
      <w:tr w:rsidR="00000000" w:rsidRPr="00CD5738" w14:paraId="6878EE8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AB661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4. Este endoso se aplica a todas las ampliaciones de cobertura, coberturas adicionales, excepciones a cualquier exclusi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y otros acuerdos de aseguramiento.</w:t>
            </w:r>
          </w:p>
        </w:tc>
      </w:tr>
      <w:tr w:rsidR="00000000" w:rsidRPr="00CD5738" w14:paraId="64D347A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6481C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Todos los dem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 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rminos, condiciones y exclusiones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siguen siendo los mismos.</w:t>
            </w:r>
          </w:p>
        </w:tc>
      </w:tr>
    </w:tbl>
    <w:p w14:paraId="1870600F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2A21E522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0FC5A56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60205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LA P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RESENTE P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 xml:space="preserve">LIZA OTORGA EL 7% DE 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NDICE VARIABLE PARA EDIFICIO, SIN COBRO DE PRIMA ADICIONAL.</w:t>
            </w:r>
          </w:p>
        </w:tc>
      </w:tr>
      <w:tr w:rsidR="00000000" w:rsidRPr="00CD5738" w14:paraId="789B4BD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66A38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Se aclara que la presente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liza otorga cobertura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nicamente para las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reas y bienes de uso com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la copropiedad.</w:t>
            </w:r>
          </w:p>
        </w:tc>
      </w:tr>
      <w:tr w:rsidR="00000000" w14:paraId="0A54970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B9C8A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CONDICIONES DE ASEGURABILIDAD</w:t>
            </w:r>
          </w:p>
        </w:tc>
      </w:tr>
      <w:tr w:rsidR="00000000" w:rsidRPr="00CD5738" w14:paraId="0D24CE1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31A21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Los grupos de 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los predios asegurados deber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estar exclusivamente en la siguiente clasificaci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n: PRIMERO, Edificaciones construidas de estructura en concreto reforzado, muros exteriores s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lidos, entrepisos en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concreto reforzado y techos s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lidos o de asbesto. SEGUNDO, Edificaciones construidas de estructura en concreto reforzado, con entrepisos y techos con estructura met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lica. Otros grupos de 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que los componen edificaciones hechas total o parcialme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nte con madera, bahareque, lata, paja, guadua, no pueden asegurarse ni por edificio ni contenidos.</w:t>
            </w:r>
          </w:p>
        </w:tc>
      </w:tr>
      <w:tr w:rsidR="00000000" w:rsidRPr="00CD5738" w14:paraId="271C691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03DC0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mismo No podr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ser asegurada la copropiedad que en su estructura presente fallas, agrietamientos, problemas de sedimentaci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hundimientos, asentamiento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 y similares, independientemente cual sea su causa u origen.</w:t>
            </w:r>
          </w:p>
        </w:tc>
      </w:tr>
      <w:tr w:rsidR="00000000" w:rsidRPr="00CD5738" w14:paraId="7B72ED6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F920F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lo se aseguran copropiedades de ocupaci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residencial, comercial / oficinas / consultorios o mixta excepto Centros Comerciales. Se excluyen de manera absoluta centros de almacenamiento, bodeg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as, zona franca, parques industriales o similares, comercios donde haya gran aglomeraci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mercanc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 y cuyos locales est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divididos o separados con otros materiales diferentes a mamposter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 y/o concreto.</w:t>
            </w:r>
          </w:p>
        </w:tc>
      </w:tr>
      <w:tr w:rsidR="00000000" w:rsidRPr="00CD5738" w14:paraId="74037D5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0BBAA2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Se excluye de manera absoluta toda cobertura re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lacionada a Riesgos de la Naturaleza, incluyendo pero no limitado a Terremoto, Erupci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Volc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nica, Inundaci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Avalancha, etc., as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como los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consecuenciales derivados de este tipo de cat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strofes como es el caso de Incendio a consecuencia de la ocurre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ncia de desastres naturales para copropiedades con 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de 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1987 y anteriores.</w:t>
            </w:r>
          </w:p>
        </w:tc>
      </w:tr>
      <w:tr w:rsidR="00000000" w:rsidRPr="00CD5738" w14:paraId="3AE11BC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EC5E0E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Aplica, sin excepci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CL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USULA 12. DECLARACI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INEXACTA O RETICENTE, del condicionado General; de acuerdo con el art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culo 1058 del C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digo de Comercio vigente en Colo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mbia.</w:t>
            </w:r>
          </w:p>
        </w:tc>
      </w:tr>
      <w:tr w:rsidR="00000000" w14:paraId="583ECFC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F348D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Se podr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otorgar cobertura a las edificaciones declaradas patrimonio cultural, nacional, arquitect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nico, hist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rico y/o similares. 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Siempre y cuando cumplan sin excepci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con:</w:t>
            </w:r>
          </w:p>
        </w:tc>
      </w:tr>
      <w:tr w:rsidR="00000000" w:rsidRPr="00CD5738" w14:paraId="0B20FB3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B6C7EE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1. La 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debe contar con Certificaci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ADECUACION A NORMAS 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SMORESISTENTE vigente.</w:t>
            </w:r>
          </w:p>
        </w:tc>
      </w:tr>
      <w:tr w:rsidR="00000000" w:rsidRPr="00CD5738" w14:paraId="64476D2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5202F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2. El valor Asegurable reportado de edificio debe corresponder al valor de Reconstrucci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sin incluir el valor como patrimonio cultural, nacional, arquitect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nico, hist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rico y/o similares.</w:t>
            </w:r>
          </w:p>
        </w:tc>
      </w:tr>
      <w:tr w:rsidR="00000000" w:rsidRPr="00CD5738" w14:paraId="611ED5F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3270D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3. La base de indemnizaci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ser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sobre el valor Asegurable reportado en el punto 2.</w:t>
            </w:r>
          </w:p>
        </w:tc>
      </w:tr>
      <w:tr w:rsidR="00000000" w:rsidRPr="00CD5738" w14:paraId="7F5CF42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0469D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</w:p>
        </w:tc>
      </w:tr>
      <w:tr w:rsidR="00000000" w:rsidRPr="00CD5738" w14:paraId="1110CE6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1086D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</w:p>
        </w:tc>
      </w:tr>
      <w:tr w:rsidR="00000000" w:rsidRPr="00CD5738" w14:paraId="00425C6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CA198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No obstante lo mencionado en Condicionado General, para la presente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No aplican las siguientes Garant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as:</w:t>
            </w:r>
          </w:p>
        </w:tc>
      </w:tr>
      <w:tr w:rsidR="00000000" w:rsidRPr="00CD5738" w14:paraId="61B413A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DEFD9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lastRenderedPageBreak/>
              <w:t>- Mantener Extintores debidamente cargados, ubicados y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se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alizados.</w:t>
            </w:r>
          </w:p>
        </w:tc>
      </w:tr>
      <w:tr w:rsidR="00000000" w:rsidRPr="00CD5738" w14:paraId="4811001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61D40E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- Tener en los predios asegurados vigilancia permanente (24 horas) de firma especializada y/o alarma monitoreada.</w:t>
            </w:r>
          </w:p>
        </w:tc>
      </w:tr>
    </w:tbl>
    <w:p w14:paraId="4F3C63FE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5AD4DC9E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7E4DE43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206EF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APLICACI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 DE DEDUCIBLE DE TERREMOTO POR EDIFICIO Y/O CASA EN UN MISMO CONJUNTO RESIDENCIAL Y/O COPROPIEDAD</w:t>
            </w:r>
          </w:p>
        </w:tc>
      </w:tr>
      <w:tr w:rsidR="00000000" w:rsidRPr="00CD5738" w14:paraId="4B20483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387D0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Chubb ofrece la posibilidad de aplicar el deducible de Terremoto por Edificio y/o Casa cuando el Conjunto Residencial y/o Copropiedad est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compuesto por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de una torre o bloque de  Edificios y/o Casas, en este caso para aplicar el deducible por Edificio y/o Casa, la 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cada Edifico y/o Casa que compone el Conjunto Residencial y/o Copropiedad debe cumplir con los siguientes requisitos:</w:t>
            </w:r>
          </w:p>
        </w:tc>
      </w:tr>
      <w:tr w:rsidR="00000000" w:rsidRPr="00CD5738" w14:paraId="38B88AD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7FFA7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1. Cada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Edificio y/o Casa debe estar estructuralmente construida de manera independiente de los otros Edificios y/o Casas, podr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existir la posibilidad que haya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 de un Edifico y/o Casa que compartan la misma estructura en ese caso el deducible se aplicar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al va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lor asegurado de la suma de los Edificios y /o Casas que compartan dicha estructura.</w:t>
            </w:r>
          </w:p>
        </w:tc>
      </w:tr>
      <w:tr w:rsidR="00000000" w:rsidRPr="00CD5738" w14:paraId="3C2BF3C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B2106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2. Se deber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suministrar valores por cada una de los Edificios y/o Casas que hagan parte del Conjunto Residencial y/o Copropiedad y que cumplan con la condici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enunciad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 en el numeral 1. La suma total de todos los edificios y/o casas deber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coincidir con el valor total a asegurar para las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reas comunes ( Edificio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 cimientos)</w:t>
            </w:r>
          </w:p>
        </w:tc>
      </w:tr>
    </w:tbl>
    <w:p w14:paraId="7D348B4F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63D14A5C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059CB6F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EA49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CUOTAS DE ADMINISTRACI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N</w:t>
            </w:r>
          </w:p>
        </w:tc>
      </w:tr>
      <w:tr w:rsidR="00000000" w:rsidRPr="00CD5738" w14:paraId="36B622A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238BC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mite de valor asegurado evento / Agregado anual: $ 86.386.029,00</w:t>
            </w:r>
          </w:p>
        </w:tc>
      </w:tr>
      <w:tr w:rsidR="00000000" w:rsidRPr="00CD5738" w14:paraId="73FDC6E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5CB7A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SI CON OCASI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UN SINIESTRO AMPARADO BAJO LA COBERTURA B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SICA DE LA PRESENTE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LIZA, EL INMUEBLE OBJETO DEL SEGURO SUFRE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QUE IMPLIQUE SU DESALOJO TOTAL POR PARTE DE QUIENES LO HABIT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EN, CHUBB INDEMNIZAR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DE LOS INGRESOS DEJADOS DE PERCIBIR POR CONCEPTO DE CUOTAS ORDINARIA DE ADMINISTRACI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HASTA POR UN PER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ODO DE (6) MESES CONTADOS A PARTIR DE LA FECHA DEL SINIESTRO, CUANDO LOS COPROPIETARIOS Y/O RESIDENTES HAYAN DEJADO DE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PAGAR LA RESPECTIVA CUOTA COMO  CONSECUENCIA DEL DESALOJO SI LA DESTRUCCI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ES PARCIAL, S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LO SE INDEMNIZAR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LAS CUOTAS DEJADAS DE PERCIBIR EN PROPORCI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 LA PARTE DE LA COPROPIEDAD AFECTADA POR EL SINIESTRO.</w:t>
            </w:r>
          </w:p>
        </w:tc>
      </w:tr>
      <w:tr w:rsidR="00000000" w:rsidRPr="00CD5738" w14:paraId="4EA922D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53C5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EL PER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ODO DE INDEMNIZACI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SE LIMITA AL TIEM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PO QUE, EN CONDICIONES NORMALES, SEA SUFICIENTE PARA LA REPARACI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O RECONSTRUCCI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LOS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OCURRIDOS, SIN EXCEDER DE UN PER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ODO DE (6) MESES.</w:t>
            </w:r>
          </w:p>
        </w:tc>
      </w:tr>
      <w:tr w:rsidR="00000000" w:rsidRPr="00CD5738" w14:paraId="2170770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A32E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</w:p>
        </w:tc>
      </w:tr>
      <w:tr w:rsidR="00000000" w:rsidRPr="00CD5738" w14:paraId="6D71FD0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2311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</w:p>
        </w:tc>
      </w:tr>
      <w:tr w:rsidR="00000000" w:rsidRPr="00CD5738" w14:paraId="4FE9983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4958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DEFINICI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 RENTA - DISMINUCI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 DE INGRESOS POR ARRENDAMIENTO</w:t>
            </w:r>
          </w:p>
        </w:tc>
      </w:tr>
      <w:tr w:rsidR="00000000" w:rsidRPr="00CD5738" w14:paraId="073465D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0471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No obstante lo mencionado en el condicion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ado general de la presente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liza, esta cobertura se extiende a amparar:</w:t>
            </w:r>
          </w:p>
        </w:tc>
      </w:tr>
      <w:tr w:rsidR="00000000" w:rsidRPr="00CD5738" w14:paraId="07F6FE5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4E30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1. Dinero dejado de percibir por el edificio a causa de la inhabitabilidad del bien com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arrendado, con ocasi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un evento amparado en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liza.</w:t>
            </w:r>
          </w:p>
        </w:tc>
      </w:tr>
      <w:tr w:rsidR="00000000" w:rsidRPr="00CD5738" w14:paraId="5623C45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7B47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2. Dinero que deben pagar por alojamiento temporal los copropietarios a causa de la inhabitabilidad del bien com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con ocasi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un evento amparado en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liza. (Aplica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nicamente cuando se reportan valor asegurado en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 privada).</w:t>
            </w:r>
          </w:p>
        </w:tc>
      </w:tr>
      <w:tr w:rsidR="00000000" w:rsidRPr="00CD5738" w14:paraId="11DF081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01D4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3. Dinero dejado de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percibir por el copropietario por arrendamiento, con ocasi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un evento amparado en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liza. (Aplica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nicamente cuando se reportan valor asegurado en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 privada).</w:t>
            </w:r>
          </w:p>
        </w:tc>
      </w:tr>
    </w:tbl>
    <w:p w14:paraId="34469DD8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14223D7D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3BDB0E7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9DABF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RESTRICCIONES QUE APLICAN PARA COPROPIEDADES UBICADAS EN VALLE DEL CAUCA:</w:t>
            </w:r>
          </w:p>
        </w:tc>
      </w:tr>
      <w:tr w:rsidR="00000000" w:rsidRPr="00CD5738" w14:paraId="3FE78CD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C73FC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NO se aseguran copropiedades ubicadas en los siguientes sectores:</w:t>
            </w:r>
          </w:p>
        </w:tc>
      </w:tr>
    </w:tbl>
    <w:p w14:paraId="3112E721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3D399A5B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5377"/>
        <w:gridCol w:w="3584"/>
      </w:tblGrid>
      <w:tr w:rsidR="00000000" w14:paraId="5A9860B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E365D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lastRenderedPageBreak/>
              <w:t xml:space="preserve">.  Desde la Calle 5 hasta la Calle 13 y desde la Cra 34 hasta la Cra 52. 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Cali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C66EE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4458E84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C22D8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.  Sector la Morada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5A96D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(Jamundi)</w:t>
            </w:r>
          </w:p>
        </w:tc>
      </w:tr>
      <w:tr w:rsidR="00000000" w14:paraId="4BB2F58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D2EA0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.  Sector Haciendo el Castillo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68849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(Jamundi)</w:t>
            </w:r>
          </w:p>
        </w:tc>
      </w:tr>
      <w:tr w:rsidR="00000000" w14:paraId="3ED8DD3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82657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.  Sector la pradera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7B076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(Jamundi)</w:t>
            </w:r>
          </w:p>
        </w:tc>
      </w:tr>
    </w:tbl>
    <w:p w14:paraId="20AAF05B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58D38C14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2BCDEF5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B1BDD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FIN SECCI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AMPAROS TODO RIESGO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MATERIALES</w:t>
            </w:r>
          </w:p>
        </w:tc>
      </w:tr>
    </w:tbl>
    <w:p w14:paraId="16641349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184484DB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  <w:r w:rsidRPr="00CD5738"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  <w:br w:type="page"/>
      </w:r>
    </w:p>
    <w:p w14:paraId="17A974EB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51D679F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F7070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RESPONSABILIDAD CIVIL EXTRACONTRACTUAL</w:t>
            </w:r>
          </w:p>
        </w:tc>
      </w:tr>
    </w:tbl>
    <w:p w14:paraId="2C1165A0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327478C0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1"/>
        <w:gridCol w:w="2240"/>
        <w:gridCol w:w="2240"/>
      </w:tblGrid>
      <w:tr w:rsidR="00000000" w14:paraId="3CEB1C3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493E7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AMPARO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EEE1A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MITE POR EVENTO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52BB5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MITE AGREGADO ANUAL</w:t>
            </w:r>
          </w:p>
        </w:tc>
      </w:tr>
      <w:tr w:rsidR="00000000" w14:paraId="193B7AB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A5D7E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B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Á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SICO DE PREDIOS - OPERACIONES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595B3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0C343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</w:tr>
      <w:tr w:rsidR="00000000" w14:paraId="5354DA5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DFB7C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RESPONSABILIDAD CIVIL PATRONAL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9A9D2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8B695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</w:tr>
      <w:tr w:rsidR="00000000" w14:paraId="6A066D9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49FE9E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RESPONSABILIDAD CIVIL CONTRATISTAS Y SUBCONTRATISTAS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B9F5A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10C94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</w:tr>
      <w:tr w:rsidR="00000000" w14:paraId="5CE7BC5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A696D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RESPONSABILIDAD CIVIL CRUZADA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F67CC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200.000.000,00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1E4FC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</w:tr>
      <w:tr w:rsidR="00000000" w14:paraId="6B56367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314C2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RESPONSABILIDAD CIVIL BIENES BAJO CUIDADO, TENENCIA Y CONTROL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42E88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E0638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</w:tr>
      <w:tr w:rsidR="00000000" w14:paraId="19A3AF6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751F2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RESPONSABILIDAD CIVIL PARQUEADEROS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3992A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BC0F4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</w:tr>
      <w:tr w:rsidR="00000000" w14:paraId="1E09DA6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8CBF43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DICOS DE CARACTER HUMANITARIO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9233B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D6230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500.000.000,00</w:t>
            </w:r>
          </w:p>
        </w:tc>
      </w:tr>
    </w:tbl>
    <w:p w14:paraId="7B0D1AC7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40C93150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1AC7137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75AEF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ACLARACI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 PARA RESPONSABILIDAD CIVIL EXTRACONTRACTUAL</w:t>
            </w:r>
          </w:p>
        </w:tc>
      </w:tr>
      <w:tr w:rsidR="00000000" w:rsidRPr="00CD5738" w14:paraId="190950A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42001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Se amparan los perjuicios patrimoniales causados por el asegurado con motivo de la responsabilidad civil extracontractual en que incurra de acuerdo con la ley Colombiana </w:t>
            </w:r>
          </w:p>
        </w:tc>
      </w:tr>
      <w:tr w:rsidR="00000000" w:rsidRPr="00CD5738" w14:paraId="23FA124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66CE03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Los Copropietarios son considerados 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erceros.</w:t>
            </w:r>
          </w:p>
        </w:tc>
      </w:tr>
      <w:tr w:rsidR="00000000" w:rsidRPr="00CD5738" w14:paraId="5585DC0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9CB2D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PERJUICIOS EXTRAPATRIMONIALES: La cobertura de Responsabilidad Civil Extracontractual ampara el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Moral,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Fisiol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gico y el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de Vida en Relaci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n.</w:t>
            </w:r>
          </w:p>
        </w:tc>
      </w:tr>
    </w:tbl>
    <w:p w14:paraId="0B564D3D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08DDD117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7D492F3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AB0E1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Cl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usulas especiales incluidas en las condiciones particulares para Responsabilidad Civil Extracontractual</w:t>
            </w:r>
          </w:p>
        </w:tc>
      </w:tr>
      <w:tr w:rsidR="00000000" w:rsidRPr="00CD5738" w14:paraId="7202452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A487F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Amparo autom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tico nuevos predios con aviso 30 d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as</w:t>
            </w:r>
          </w:p>
        </w:tc>
      </w:tr>
      <w:tr w:rsidR="00000000" w:rsidRPr="00CD5738" w14:paraId="4ABC0CD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23212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La presente cobertura no ampara ninguna exposici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proveniente de, o relacionada con, ning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pa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s, organizaci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o persona que se encuentre actualmente sancionado, embargado o con el cual haya limitaciones comerciales impuestas por la "Oficina de Control de Activos Extranjeros" del Departamento de Tesorer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 de Estados Unidos (U.S. Treaseury Department: Office of Foreign Assets Control).</w:t>
            </w:r>
          </w:p>
        </w:tc>
      </w:tr>
    </w:tbl>
    <w:p w14:paraId="2B448F7C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00414E8F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10300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10300"/>
      </w:tblGrid>
      <w:tr w:rsidR="00000000" w14:paraId="22D5475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6F748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Exclusi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de Enfermedades Contagiosas</w:t>
            </w:r>
          </w:p>
        </w:tc>
      </w:tr>
      <w:tr w:rsidR="00000000" w:rsidRPr="00CD5738" w14:paraId="6E0667F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1DB71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Esta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no cubre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os, lesiones, costos, gastos, perdidas ni responsabilidades de ning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tipo causados por, o derivados de, relacionadas con o resultantes directa o indirectamente de cualquier enfermedad contagiosa.  Esta exclusi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 aplica aun cuando las reclamaciones contra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el Asegurado aleguen negligencia o mala pr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ctica con respecto a:</w:t>
            </w:r>
          </w:p>
        </w:tc>
      </w:tr>
      <w:tr w:rsidR="00000000" w:rsidRPr="00CD5738" w14:paraId="7F02667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D04562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a. la supervisi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reclutamiento, empleo, formaci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o vigilancia de otras personas que puedan ser infectadas y puedan transmitir una enfermedad contagiosa;</w:t>
            </w:r>
          </w:p>
        </w:tc>
      </w:tr>
      <w:tr w:rsidR="00000000" w:rsidRPr="00CD5738" w14:paraId="77512C7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20CC7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b. el test o prueba de una enferm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edad contagiosa;</w:t>
            </w:r>
          </w:p>
        </w:tc>
      </w:tr>
      <w:tr w:rsidR="00000000" w:rsidRPr="00CD5738" w14:paraId="0430020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241B17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c. fallo en la prevenci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del contagio de una enfermedad contagiosa;</w:t>
            </w:r>
          </w:p>
        </w:tc>
      </w:tr>
      <w:tr w:rsidR="00000000" w:rsidRPr="00CD5738" w14:paraId="2B90E43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CA4A4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d. fallo en la comunicaci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una enfermedad contagiosa a las autoridades.</w:t>
            </w:r>
          </w:p>
        </w:tc>
      </w:tr>
      <w:tr w:rsidR="00000000" w:rsidRPr="00CD5738" w14:paraId="02D46DA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90ECA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</w:p>
        </w:tc>
      </w:tr>
      <w:tr w:rsidR="00000000" w:rsidRPr="00CD5738" w14:paraId="59369D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7EB01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 efectos de esta exclusi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enfermedad contagiosa significa cualquier enfermedad infecci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osa, incluyendo cualquier virus, bacteria, microorganismo o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lastRenderedPageBreak/>
              <w:t>pat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geno que pueda o presumiblemente pueda provocar deterioro f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sico, dolencias o enfermedades.</w:t>
            </w:r>
          </w:p>
        </w:tc>
      </w:tr>
    </w:tbl>
    <w:p w14:paraId="1F462AD9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61E68266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2DBC941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256C6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Deducibles:</w:t>
            </w:r>
          </w:p>
        </w:tc>
      </w:tr>
    </w:tbl>
    <w:p w14:paraId="368A2D0B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6DEECE0B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0"/>
        <w:gridCol w:w="4481"/>
      </w:tblGrid>
      <w:tr w:rsidR="00000000" w14:paraId="7AB94A6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636E0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DICOS DE CARACTER HUMANITARIO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813AC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Sin deducible</w:t>
            </w:r>
          </w:p>
        </w:tc>
      </w:tr>
      <w:tr w:rsidR="00000000" w:rsidRPr="00CD5738" w14:paraId="7C69BD9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67FDE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TODA Y CADA P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É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RDIDA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85430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10%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INDEMNIZABLE,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1.00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</w:tbl>
    <w:p w14:paraId="7F9AED25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7588938F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5913344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91BD2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Observaciones Particulares:</w:t>
            </w:r>
          </w:p>
        </w:tc>
      </w:tr>
    </w:tbl>
    <w:p w14:paraId="50CA365A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7894065D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0"/>
        <w:gridCol w:w="4481"/>
      </w:tblGrid>
      <w:tr w:rsidR="00000000" w:rsidRPr="00CD5738" w14:paraId="51F99A8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vMerge w:val="restart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C51EA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B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Á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SICO DE PREDIOS - OPERACIONES</w:t>
            </w:r>
          </w:p>
        </w:tc>
        <w:tc>
          <w:tcPr>
            <w:tcW w:w="4450" w:type="dxa"/>
            <w:tcBorders>
              <w:bottom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36236B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Se ampara la RC derivada de la actividad propia del Asegurado</w:t>
            </w:r>
          </w:p>
        </w:tc>
      </w:tr>
      <w:tr w:rsidR="00000000" w:rsidRPr="00CD5738" w14:paraId="4D6CDE6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vMerge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AA4B5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</w:p>
        </w:tc>
        <w:tc>
          <w:tcPr>
            <w:tcW w:w="4450" w:type="dxa"/>
            <w:tcBorders>
              <w:top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1A279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Cobertura para nuevas edificaciones, montaje de nuevas plantas y/o montaje de maquinaria ye quipo que no haya estado previamente operando dentro de los predios asegurado, siempre que el valor final de dichas edificaciones, plantas y/o maquinaria y equipo n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 superen: 500,000,000</w:t>
            </w:r>
          </w:p>
        </w:tc>
      </w:tr>
      <w:tr w:rsidR="00000000" w:rsidRPr="00CD5738" w14:paraId="246C7EA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9C476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PARQUEADEROS</w:t>
            </w:r>
          </w:p>
        </w:tc>
        <w:tc>
          <w:tcPr>
            <w:tcW w:w="4450" w:type="dxa"/>
            <w:tcBorders>
              <w:bottom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6CAA5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Excluye hurto y hurto calificado de contenidos.</w:t>
            </w:r>
          </w:p>
          <w:p w14:paraId="15CF969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Se otorga cobertura para:</w:t>
            </w:r>
          </w:p>
          <w:p w14:paraId="57D1B1B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Autom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viles, bicicletas y motocicletas.</w:t>
            </w:r>
          </w:p>
          <w:p w14:paraId="229AB70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mite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ximo para bicicletas $10,000,000 evento/vigencia</w:t>
            </w:r>
          </w:p>
        </w:tc>
      </w:tr>
      <w:tr w:rsidR="00000000" w14:paraId="1DB431CC" w14:textId="77777777" w:rsidTr="00CD57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bottom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44ABB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GASTOS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DICOS DE CARACTER HUMANITARIO</w:t>
            </w:r>
          </w:p>
        </w:tc>
        <w:tc>
          <w:tcPr>
            <w:tcW w:w="4450" w:type="dxa"/>
            <w:tcBorders>
              <w:bottom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7C181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Sublimite por persona: $20'000,000</w:t>
            </w:r>
          </w:p>
        </w:tc>
      </w:tr>
      <w:tr w:rsidR="00000000" w:rsidRPr="00CD5738" w14:paraId="646A1119" w14:textId="77777777" w:rsidTr="00CD57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bottom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E72F0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RESPONSABILIDAD CIVIL CRUZADA</w:t>
            </w:r>
          </w:p>
        </w:tc>
        <w:tc>
          <w:tcPr>
            <w:tcW w:w="4450" w:type="dxa"/>
            <w:tcBorders>
              <w:bottom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405250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Se extiende a amparar la RESPONSABILIDAD CIVIL EXTRACONTRACTUAL ENTRE COPROPIETARIOS, derivada de las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reas y bienes de uso privado</w:t>
            </w:r>
          </w:p>
        </w:tc>
      </w:tr>
      <w:tr w:rsidR="00000000" w14:paraId="4330FCA6" w14:textId="77777777" w:rsidTr="00CD57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1ED59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RESPONSABILIDAD CIVIL EXTRA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CONTRACTUAL DERIVADA DE LA TENENCIA DE MASCOTAS (Animales Dom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sticos)</w:t>
            </w:r>
          </w:p>
          <w:p w14:paraId="3DF4856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Cubre la Responsabilidad Civil Extracontractual del propietario de la mascota, por los da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os que ocasione a terceros su mascota.</w:t>
            </w:r>
          </w:p>
          <w:p w14:paraId="68ADA25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El propietario de la mascota debe ser residente de la cop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ropiedad.</w:t>
            </w:r>
          </w:p>
          <w:p w14:paraId="6838F396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Esta RCE opera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ú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nicamente para hechos ocurridos dentro de predios de la copropiedad.</w:t>
            </w:r>
          </w:p>
        </w:tc>
        <w:tc>
          <w:tcPr>
            <w:tcW w:w="4450" w:type="dxa"/>
            <w:tcBorders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E5AC7D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b/>
                <w:bCs/>
                <w:color w:val="000000"/>
                <w:sz w:val="20"/>
                <w:szCs w:val="20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Subl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mite de valor asegurado por evento $5.000.000.</w:t>
            </w:r>
          </w:p>
          <w:p w14:paraId="65171FE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Agregado anual $25.000.000.</w:t>
            </w:r>
          </w:p>
        </w:tc>
      </w:tr>
    </w:tbl>
    <w:p w14:paraId="49594A90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52CDFE49" w14:textId="77777777" w:rsidTr="00CD57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8B587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Observaciones particulares para Responsabilidad Civil Extracontractual</w:t>
            </w:r>
          </w:p>
        </w:tc>
      </w:tr>
      <w:tr w:rsidR="00000000" w:rsidRPr="00CD5738" w14:paraId="2FA122EE" w14:textId="77777777" w:rsidTr="00CD573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9F843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Aplican EXCLUSIONES PARTICULARES consignadas en  Condicionado General.</w:t>
            </w:r>
          </w:p>
        </w:tc>
      </w:tr>
    </w:tbl>
    <w:p w14:paraId="53C5C739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6578A97A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6273"/>
        <w:gridCol w:w="2688"/>
      </w:tblGrid>
      <w:tr w:rsidR="00000000" w14:paraId="4FECA8E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0A8A01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Prima antes de IVA Responsabilidad Civil Extracontractual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5D3CA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$ 500.000,00</w:t>
            </w:r>
          </w:p>
        </w:tc>
      </w:tr>
    </w:tbl>
    <w:p w14:paraId="4518CF2E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63D0FE10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6059615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AF8A4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FIN SECCI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AMPAROS DE RESPONSABILIDAD CIVIL EXTRACONTRACTUAL</w:t>
            </w:r>
          </w:p>
        </w:tc>
      </w:tr>
    </w:tbl>
    <w:p w14:paraId="6CBAC5EA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57584F2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4788C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MANEJO GLOBAL COMERCIAL</w:t>
            </w:r>
          </w:p>
        </w:tc>
      </w:tr>
    </w:tbl>
    <w:p w14:paraId="71E08E56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4EC161EB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1"/>
        <w:gridCol w:w="2240"/>
        <w:gridCol w:w="2240"/>
      </w:tblGrid>
      <w:tr w:rsidR="00000000" w14:paraId="3D69791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D644C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AMPARO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190F9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MITE POR EVENTO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77B50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MITE AGREGADO ANUAL</w:t>
            </w:r>
          </w:p>
        </w:tc>
      </w:tr>
      <w:tr w:rsidR="00000000" w14:paraId="23F025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57E24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B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Á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SICO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9116C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23F80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10.000.000,00</w:t>
            </w:r>
          </w:p>
        </w:tc>
      </w:tr>
      <w:tr w:rsidR="00000000" w14:paraId="48DD3D4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DC69D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RDIDAS CAUSADAS POR EMPLEADOS NO IDENT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FICADOS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D5F12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90D23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5.000.000,00</w:t>
            </w:r>
          </w:p>
        </w:tc>
      </w:tr>
      <w:tr w:rsidR="00000000" w14:paraId="60121D1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83C612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PERSONAL SUMINISTRADO POR EMPRESAS DE SERVICIOS TEMPORALES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528A1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8951C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5.000.000,00</w:t>
            </w:r>
          </w:p>
        </w:tc>
      </w:tr>
      <w:tr w:rsidR="00000000" w14:paraId="0ABA6C2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F2321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BIENES DE PROPIEDAD DE TERCEROS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77EA6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675F2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5.000.000,00</w:t>
            </w:r>
          </w:p>
        </w:tc>
      </w:tr>
    </w:tbl>
    <w:p w14:paraId="2CD40037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5C1914F9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2D5892E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4669E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ACLARACI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N PARA MANEJO GLOBAL COMERCIAL</w:t>
            </w:r>
          </w:p>
        </w:tc>
      </w:tr>
      <w:tr w:rsidR="00000000" w:rsidRPr="00CD5738" w14:paraId="00C6472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08DAF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Se amparan las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rdidas sufridas por el asegurado como consecuencia directa de la apropiaci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indebida de dinero u otros bienes de su propiedad en que incurran sus empleados.</w:t>
            </w:r>
          </w:p>
        </w:tc>
      </w:tr>
      <w:tr w:rsidR="00000000" w:rsidRPr="00CD5738" w14:paraId="00A675E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A34BF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La cobertura del Amparo B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sico aplica para todos los miembros del consejo de Administraci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n, el Administrador y el contador que presten servicios a la Copropiedad independi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entemente del Contrato que se tenga con la Copropiedad.</w:t>
            </w:r>
          </w:p>
        </w:tc>
      </w:tr>
    </w:tbl>
    <w:p w14:paraId="0D055006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1FDB9F65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5FF05AE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7EA0E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Cl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usulas especiales incluidas en las condiciones particulares para Manejo Global Comercial</w:t>
            </w:r>
          </w:p>
        </w:tc>
      </w:tr>
      <w:tr w:rsidR="00000000" w:rsidRPr="00CD5738" w14:paraId="7B19CE7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DC5E4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* La cobertura no tiene exclusi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nuevos cargos creados durante la vigencia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liza.</w:t>
            </w:r>
          </w:p>
        </w:tc>
      </w:tr>
    </w:tbl>
    <w:p w14:paraId="2813858D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0FF73AAE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14:paraId="12471EC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92F17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Deducibles:</w:t>
            </w:r>
          </w:p>
        </w:tc>
      </w:tr>
    </w:tbl>
    <w:p w14:paraId="4D7588DF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3110AA28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480"/>
        <w:gridCol w:w="4481"/>
      </w:tblGrid>
      <w:tr w:rsidR="00000000" w:rsidRPr="00CD5738" w14:paraId="0B7DA49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5C7D8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TODA Y CADA P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É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RDIDA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4851F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5% DEL VALOR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 INDEMNIZABLE, 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NIMO 0.50 SMMLV PARA TODA Y CADA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RDIDA</w:t>
            </w:r>
          </w:p>
        </w:tc>
      </w:tr>
    </w:tbl>
    <w:p w14:paraId="6E1ED963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3086AA32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6273"/>
        <w:gridCol w:w="2688"/>
      </w:tblGrid>
      <w:tr w:rsidR="00000000" w14:paraId="48A5EC9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3C042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Prima antes de IVA Manejo Global Comercial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770FC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$ 100.000,00</w:t>
            </w:r>
          </w:p>
        </w:tc>
      </w:tr>
    </w:tbl>
    <w:p w14:paraId="20720A6A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520648C4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02AC353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22734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FIN SECCI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AMPAROS DE MANEJO GLOBAL COMERCIAL</w:t>
            </w:r>
          </w:p>
        </w:tc>
      </w:tr>
    </w:tbl>
    <w:p w14:paraId="238360F2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022ADA18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  <w:r w:rsidRPr="00CD5738"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  <w:br w:type="page"/>
      </w:r>
    </w:p>
    <w:p w14:paraId="40FD7B59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45E1EB4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71DAC0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RESPONSABILIDAD PARA ADMINISTRADORES DE COPROPIEDADES Y CONSEJO DE COPROPIETARIOS</w:t>
            </w:r>
          </w:p>
        </w:tc>
      </w:tr>
      <w:tr w:rsidR="00000000" w:rsidRPr="00CD5738" w14:paraId="7EDF77E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0C532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COBERTURA A: SEGUROS PARA LOS ADMINISTRADORES DE COPROPIEDADES Y CONSEJO DE COPROPIETARIOS.</w:t>
            </w:r>
          </w:p>
        </w:tc>
      </w:tr>
      <w:tr w:rsidR="00000000" w:rsidRPr="00CD5738" w14:paraId="10E4BB9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08C11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COBERTURA B: REEMBOLSO A LA COPROPIEDAD</w:t>
            </w:r>
          </w:p>
        </w:tc>
      </w:tr>
      <w:tr w:rsidR="00000000" w:rsidRPr="00CD5738" w14:paraId="07B20ED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FE669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MITE DE VALOR ASEGURADO POR VIGENCIA: $ 200,000,000</w:t>
            </w:r>
          </w:p>
        </w:tc>
      </w:tr>
    </w:tbl>
    <w:p w14:paraId="54F0F89E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3B7EB86A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6721"/>
        <w:gridCol w:w="2240"/>
      </w:tblGrid>
      <w:tr w:rsidR="00000000" w14:paraId="5B7E43E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758D6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EXTENSIONES DE COBERTURA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BD980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</w:rPr>
              <w:t>VALOR OTORGADO</w:t>
            </w:r>
          </w:p>
        </w:tc>
      </w:tr>
      <w:tr w:rsidR="00000000" w14:paraId="3E7F591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00867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HEREDEROS LEGALES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33FD0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200.000.000,00</w:t>
            </w:r>
          </w:p>
        </w:tc>
      </w:tr>
      <w:tr w:rsidR="00000000" w14:paraId="5459AD3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8A069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NYUGES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AFDD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200.000.000,00</w:t>
            </w:r>
          </w:p>
        </w:tc>
      </w:tr>
      <w:tr w:rsidR="00000000" w14:paraId="539A84B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5653E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PR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Á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CTICAS LABORALES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DE48C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7.000.000,00</w:t>
            </w:r>
          </w:p>
        </w:tc>
      </w:tr>
      <w:tr w:rsidR="00000000" w14:paraId="243E433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E1F72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COSTAS POR CONTAMINACI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D4A15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15.000.000,00</w:t>
            </w:r>
          </w:p>
        </w:tc>
      </w:tr>
      <w:tr w:rsidR="00000000" w14:paraId="1671FEC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7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A5B98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DA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Ñ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O FINANCIERO POR CONTAMINACI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</w:t>
            </w:r>
          </w:p>
        </w:tc>
        <w:tc>
          <w:tcPr>
            <w:tcW w:w="222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CB1F0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15.000.000,00</w:t>
            </w:r>
          </w:p>
        </w:tc>
      </w:tr>
    </w:tbl>
    <w:p w14:paraId="2E46CFDC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6DA10908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6273"/>
        <w:gridCol w:w="2688"/>
      </w:tblGrid>
      <w:tr w:rsidR="00000000" w14:paraId="12C466D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E45724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Prima antes de IVA RESPONSABILIDAD PARA ADMINISTRADORES DE COPROPIEDADES Y CONSEJO DE COPROPIETARIOS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EFD4D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$ 310.000,00</w:t>
            </w:r>
          </w:p>
        </w:tc>
      </w:tr>
    </w:tbl>
    <w:p w14:paraId="13AA04D3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7C87C766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2401820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F98F7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Condiciones particulares para Responsabilidad para Administradores de Copropiedades y Consejo de Copropietarios:</w:t>
            </w:r>
          </w:p>
        </w:tc>
      </w:tr>
      <w:tr w:rsidR="00000000" w:rsidRPr="00CD5738" w14:paraId="377BEDA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E515A3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1.Todas las extensiones y coberturas forman parte y no operaran en adici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al l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mite total agregado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liza.</w:t>
            </w:r>
          </w:p>
        </w:tc>
      </w:tr>
      <w:tr w:rsidR="00000000" w:rsidRPr="00CD5738" w14:paraId="17831BA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59C90F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2.Periodo de Descubrimiento: 6 meses sin cobro de prima.</w:t>
            </w:r>
          </w:p>
        </w:tc>
      </w:tr>
      <w:tr w:rsidR="00000000" w:rsidRPr="00CD5738" w14:paraId="10B97CC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C93315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3.Fecha de Reconocimiento de antig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ü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edad (Fecha de retroactividad): Fecha inicial de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 la Primera Vigencia en que la Copropiedad haya contratado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de D&amp;O con CHUBB Seguros Colombia S.A</w:t>
            </w:r>
          </w:p>
        </w:tc>
      </w:tr>
      <w:tr w:rsidR="00000000" w:rsidRPr="00CD5738" w14:paraId="09D25D3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F5ABF3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4.La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 opera bajo el sistema de aseguramiento base reclamaci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 xml:space="preserve">n "Claims-Made", es decir, se cubren todas las reclamaciones presentadas por primera 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vez, durante la vigencia de la 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liza, en un todo de acuerdo con lo establecido en el art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í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culo cuarto de la ley 389 de 1997.</w:t>
            </w:r>
          </w:p>
        </w:tc>
      </w:tr>
      <w:tr w:rsidR="00000000" w:rsidRPr="00CD5738" w14:paraId="60D8D81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4E31C9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5.T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é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rminos, condiciones y exclusi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de acuerdo en condicionado</w:t>
            </w:r>
          </w:p>
        </w:tc>
      </w:tr>
      <w:tr w:rsidR="00000000" w:rsidRPr="00CD5738" w14:paraId="0215D60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E5DB2A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FIN SECCI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AMPAROS DE RESPONSABILIDAD PARA ADMINISTRADORES DE COP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ROPIEDADES Y CONSEJO DE COPROPIETARIOS</w:t>
            </w:r>
          </w:p>
        </w:tc>
      </w:tr>
    </w:tbl>
    <w:p w14:paraId="1AC11A2C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7D15C9F9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  <w:r w:rsidRPr="00CD5738"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  <w:br w:type="page"/>
      </w:r>
    </w:p>
    <w:p w14:paraId="59196D33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8961"/>
      </w:tblGrid>
      <w:tr w:rsidR="00000000" w:rsidRPr="00CD5738" w14:paraId="0B6AEEE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7F22E8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both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RESUMEN VALORES ASEGURADOS TODO RIESGO DA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Ñ</w:t>
            </w:r>
            <w:r w:rsidRPr="00CD5738">
              <w:rPr>
                <w:rFonts w:ascii="Chubb Publico Light" w:hAnsi="Chubb Publico Light" w:cs="Chubb Publico Light"/>
                <w:b/>
                <w:bCs/>
                <w:color w:val="000000"/>
                <w:sz w:val="16"/>
                <w:szCs w:val="16"/>
                <w:lang w:val="es-419"/>
              </w:rPr>
              <w:t>OS MATERIALES</w:t>
            </w:r>
          </w:p>
        </w:tc>
      </w:tr>
    </w:tbl>
    <w:p w14:paraId="205BFED8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p w14:paraId="044C5FAB" w14:textId="77777777" w:rsidR="00000000" w:rsidRPr="00CD5738" w:rsidRDefault="00CD57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hubb Publico Light" w:hAnsi="Chubb Publico Light" w:cs="Chubb Publico Light"/>
          <w:color w:val="000000"/>
          <w:sz w:val="16"/>
          <w:szCs w:val="16"/>
          <w:lang w:val="es-419"/>
        </w:rPr>
      </w:pPr>
    </w:p>
    <w:tbl>
      <w:tblPr>
        <w:tblW w:w="8961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5377"/>
        <w:gridCol w:w="3584"/>
      </w:tblGrid>
      <w:tr w:rsidR="00000000" w14:paraId="388A483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FEC34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 xml:space="preserve">Edificio 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Á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REA COM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Ú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95DE9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8.059.118.996,00</w:t>
            </w:r>
          </w:p>
        </w:tc>
      </w:tr>
      <w:tr w:rsidR="00000000" w14:paraId="14E4D81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012BB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 xml:space="preserve">Edificio 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Á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REA PRIVADA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F7CF9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6D10377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41945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Cimientos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E5704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4571658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2DBA5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Maquinaria, herramienta y equipos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53305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135.928.328,00</w:t>
            </w:r>
          </w:p>
        </w:tc>
      </w:tr>
      <w:tr w:rsidR="00000000" w14:paraId="3A19390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5188B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Muebles y Enseres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F5F08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3.000.000,00</w:t>
            </w:r>
          </w:p>
        </w:tc>
      </w:tr>
      <w:tr w:rsidR="00000000" w14:paraId="0BA8A40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AE383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Equipo electr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 xml:space="preserve">nico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AF219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152.853.886,00</w:t>
            </w:r>
          </w:p>
        </w:tc>
      </w:tr>
      <w:tr w:rsidR="00000000" w14:paraId="4E2A1A1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AA6CC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Dinero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1BD0E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3.000.000,00</w:t>
            </w:r>
          </w:p>
        </w:tc>
      </w:tr>
      <w:tr w:rsidR="00000000" w14:paraId="57FDB41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38AF7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Existencias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B03568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5EE1500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F1CF7C" w14:textId="77777777" w:rsidR="00000000" w:rsidRPr="00CD5738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</w:pP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Cuotas de administraci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ó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n (Adicional al valor autom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á</w:t>
            </w:r>
            <w:r w:rsidRPr="00CD5738">
              <w:rPr>
                <w:rFonts w:ascii="Chubb Publico Light" w:hAnsi="Chubb Publico Light" w:cs="Chubb Publico Light"/>
                <w:color w:val="000000"/>
                <w:sz w:val="16"/>
                <w:szCs w:val="16"/>
                <w:lang w:val="es-419"/>
              </w:rPr>
              <w:t>tico)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B1A3A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86.386.029,00</w:t>
            </w:r>
          </w:p>
        </w:tc>
      </w:tr>
      <w:tr w:rsidR="00000000" w14:paraId="776FFEE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C82C7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Renta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5F41E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2C7577E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91CDE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Adecuaci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a terrenos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954B4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710330D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867B1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Í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ndice variable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2DF45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564.138.330,00</w:t>
            </w:r>
          </w:p>
        </w:tc>
      </w:tr>
      <w:tr w:rsidR="00000000" w14:paraId="6371862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75079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B0E5EC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698CB25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350E2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Edificio y contenidos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6C51D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8.440.287.239,00</w:t>
            </w:r>
          </w:p>
        </w:tc>
      </w:tr>
      <w:tr w:rsidR="00000000" w14:paraId="790DB16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A2C2D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Lucro Cesante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1AA3E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0</w:t>
            </w:r>
          </w:p>
        </w:tc>
      </w:tr>
      <w:tr w:rsidR="00000000" w14:paraId="3F07D7B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5C6F6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2A7CEF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4C9CC65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EB106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Valor total asegurable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E0E42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8.440.287.239,00</w:t>
            </w:r>
          </w:p>
        </w:tc>
      </w:tr>
    </w:tbl>
    <w:p w14:paraId="3571D737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p w14:paraId="6B5A2A20" w14:textId="77777777" w:rsidR="00000000" w:rsidRDefault="00CD5738">
      <w:pPr>
        <w:widowControl w:val="0"/>
        <w:autoSpaceDE w:val="0"/>
        <w:autoSpaceDN w:val="0"/>
        <w:adjustRightInd w:val="0"/>
        <w:spacing w:after="0" w:line="220" w:lineRule="atLeast"/>
        <w:rPr>
          <w:rFonts w:ascii="Chubb Publico Light" w:hAnsi="Chubb Publico Light" w:cs="Chubb Publico Light"/>
          <w:color w:val="000000"/>
          <w:sz w:val="16"/>
          <w:szCs w:val="16"/>
        </w:rPr>
      </w:pPr>
    </w:p>
    <w:tbl>
      <w:tblPr>
        <w:tblW w:w="89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688"/>
        <w:gridCol w:w="1792"/>
        <w:gridCol w:w="4481"/>
      </w:tblGrid>
      <w:tr w:rsidR="00000000" w14:paraId="5E5866F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7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0F02F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ñ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o de construcci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F1829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4450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2BB20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5A1F98C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7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73F29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ú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mero de pisos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2D8BC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50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5828B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315EE4A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7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34D40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ú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mero de Torres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B6B9D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4450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03D71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668327B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7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775C2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Tipo de construcci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15EF9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Concreto reforzado</w:t>
            </w:r>
          </w:p>
        </w:tc>
        <w:tc>
          <w:tcPr>
            <w:tcW w:w="4450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958E5B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205B273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7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97EF4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Ocupaci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  de la Copropiedad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C32F10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Uso residencial</w:t>
            </w:r>
          </w:p>
        </w:tc>
        <w:tc>
          <w:tcPr>
            <w:tcW w:w="4450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F1627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6C84F19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7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FBC3A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Estrato socioecon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ó</w:t>
            </w: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mico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8E3F6D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50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241D4E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3AE4000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7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35B0F5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Apartamentos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D28556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450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522862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7467D55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7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E30BBA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Casas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45B4F7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Ninguno</w:t>
            </w:r>
          </w:p>
        </w:tc>
        <w:tc>
          <w:tcPr>
            <w:tcW w:w="4450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3C2BC4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  <w:tr w:rsidR="00000000" w14:paraId="6DD6A72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7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707453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Locales comerciales</w:t>
            </w:r>
          </w:p>
        </w:tc>
        <w:tc>
          <w:tcPr>
            <w:tcW w:w="178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2B6899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  <w:r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  <w:t>Ninguno</w:t>
            </w:r>
          </w:p>
        </w:tc>
        <w:tc>
          <w:tcPr>
            <w:tcW w:w="4450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588441" w14:textId="77777777" w:rsidR="00000000" w:rsidRDefault="00CD5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hubb Publico Light" w:hAnsi="Chubb Publico Light" w:cs="Chubb Publico Light"/>
                <w:color w:val="000000"/>
                <w:sz w:val="16"/>
                <w:szCs w:val="16"/>
              </w:rPr>
            </w:pPr>
          </w:p>
        </w:tc>
      </w:tr>
    </w:tbl>
    <w:p w14:paraId="5ED842F6" w14:textId="77777777" w:rsidR="00000000" w:rsidRDefault="00CD5738">
      <w:pPr>
        <w:widowControl w:val="0"/>
        <w:autoSpaceDE w:val="0"/>
        <w:autoSpaceDN w:val="0"/>
        <w:adjustRightInd w:val="0"/>
        <w:spacing w:after="0" w:line="240" w:lineRule="auto"/>
        <w:rPr>
          <w:rFonts w:ascii="Chubb Publico Light" w:hAnsi="Chubb Publico Light" w:cs="Chubb Publico Light"/>
          <w:color w:val="000000"/>
          <w:sz w:val="16"/>
          <w:szCs w:val="16"/>
        </w:rPr>
      </w:pPr>
    </w:p>
    <w:sectPr w:rsidR="00000000">
      <w:headerReference w:type="default" r:id="rId7"/>
      <w:footerReference w:type="default" r:id="rId8"/>
      <w:pgSz w:w="11907" w:h="16840"/>
      <w:pgMar w:top="1200" w:right="800" w:bottom="100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69FB8" w14:textId="77777777" w:rsidR="00000000" w:rsidRDefault="00CD5738">
      <w:pPr>
        <w:spacing w:after="0" w:line="240" w:lineRule="auto"/>
      </w:pPr>
      <w:r>
        <w:separator/>
      </w:r>
    </w:p>
  </w:endnote>
  <w:endnote w:type="continuationSeparator" w:id="0">
    <w:p w14:paraId="453D5985" w14:textId="77777777" w:rsidR="00000000" w:rsidRDefault="00CD5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ubb Publico Ligh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47F9D" w14:textId="7548EC16" w:rsidR="00000000" w:rsidRDefault="00CD5738">
    <w:pPr>
      <w:widowControl w:val="0"/>
      <w:autoSpaceDE w:val="0"/>
      <w:autoSpaceDN w:val="0"/>
      <w:adjustRightInd w:val="0"/>
      <w:spacing w:after="0" w:line="320" w:lineRule="atLeas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26BE57D8" wp14:editId="7068887C">
          <wp:extent cx="6486525" cy="6286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DBA80" w14:textId="77777777" w:rsidR="00000000" w:rsidRDefault="00CD5738">
      <w:pPr>
        <w:spacing w:after="0" w:line="240" w:lineRule="auto"/>
      </w:pPr>
      <w:r>
        <w:separator/>
      </w:r>
    </w:p>
  </w:footnote>
  <w:footnote w:type="continuationSeparator" w:id="0">
    <w:p w14:paraId="3B8F1AEE" w14:textId="77777777" w:rsidR="00000000" w:rsidRDefault="00CD5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AF7C7" w14:textId="3A7D8E9F" w:rsidR="00000000" w:rsidRDefault="00CD5738">
    <w:pPr>
      <w:widowControl w:val="0"/>
      <w:autoSpaceDE w:val="0"/>
      <w:autoSpaceDN w:val="0"/>
      <w:adjustRightInd w:val="0"/>
      <w:spacing w:after="0" w:line="320" w:lineRule="atLeas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7D2A2DA" wp14:editId="0DCE32BF">
          <wp:extent cx="2324100" cy="4667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38"/>
    <w:rsid w:val="00CD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61A71"/>
  <w14:defaultImageDpi w14:val="0"/>
  <w15:docId w15:val="{357A8AA2-8580-4D88-966A-9595F1E7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4113</Words>
  <Characters>23445</Characters>
  <Application>Microsoft Office Word</Application>
  <DocSecurity>0</DocSecurity>
  <Lines>195</Lines>
  <Paragraphs>55</Paragraphs>
  <ScaleCrop>false</ScaleCrop>
  <Company/>
  <LinksUpToDate>false</LinksUpToDate>
  <CharactersWithSpaces>27503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Munoz, Yury X</dc:creator>
  <cp:keywords/>
  <dc:description/>
  <cp:lastModifiedBy>Munoz, Yury X</cp:lastModifiedBy>
  <cp:revision>2</cp:revision>
  <dcterms:created xsi:type="dcterms:W3CDTF">2021-12-07T16:04:00Z</dcterms:created>
  <dcterms:modified xsi:type="dcterms:W3CDTF">2021-12-07T16:04:00Z</dcterms:modified>
</cp:coreProperties>
</file>