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F6522" w14:textId="50C7B7A0" w:rsidR="00B775A1" w:rsidRPr="00B775A1" w:rsidRDefault="00B775A1" w:rsidP="00B775A1">
      <w:pPr>
        <w:pStyle w:val="Default"/>
        <w:jc w:val="both"/>
        <w:rPr>
          <w:rFonts w:ascii="Cambria" w:hAnsi="Cambria"/>
          <w:color w:val="auto"/>
        </w:rPr>
      </w:pPr>
      <w:r w:rsidRPr="00B775A1">
        <w:rPr>
          <w:rFonts w:ascii="Cambria" w:hAnsi="Cambria" w:cs="Cambria"/>
          <w:color w:val="auto"/>
        </w:rPr>
        <w:t xml:space="preserve">Santiago de Cali, </w:t>
      </w:r>
      <w:r w:rsidRPr="00B775A1">
        <w:rPr>
          <w:rFonts w:ascii="Cambria" w:hAnsi="Cambria" w:cs="Cambria"/>
          <w:color w:val="auto"/>
        </w:rPr>
        <w:t>21</w:t>
      </w:r>
      <w:r w:rsidRPr="00B775A1">
        <w:rPr>
          <w:rFonts w:ascii="Cambria" w:hAnsi="Cambria" w:cs="Cambria"/>
          <w:color w:val="auto"/>
        </w:rPr>
        <w:t xml:space="preserve"> </w:t>
      </w:r>
      <w:r w:rsidRPr="00B775A1">
        <w:rPr>
          <w:rFonts w:ascii="Cambria" w:hAnsi="Cambria" w:cs="Cambria"/>
          <w:color w:val="auto"/>
        </w:rPr>
        <w:t xml:space="preserve">noviembre </w:t>
      </w:r>
      <w:r w:rsidRPr="00B775A1">
        <w:rPr>
          <w:rFonts w:ascii="Cambria" w:hAnsi="Cambria" w:cs="Cambria"/>
          <w:color w:val="auto"/>
        </w:rPr>
        <w:t xml:space="preserve">de 2024. </w:t>
      </w:r>
    </w:p>
    <w:p w14:paraId="56A8CD15" w14:textId="77777777" w:rsidR="00B775A1" w:rsidRPr="00B775A1" w:rsidRDefault="00B775A1" w:rsidP="00B775A1">
      <w:pPr>
        <w:pStyle w:val="Default"/>
        <w:jc w:val="both"/>
        <w:rPr>
          <w:rFonts w:ascii="Cambria" w:hAnsi="Cambria" w:cs="Cambria"/>
          <w:color w:val="auto"/>
        </w:rPr>
      </w:pPr>
    </w:p>
    <w:p w14:paraId="6527A86F" w14:textId="18DC4DFE" w:rsidR="00B775A1" w:rsidRPr="00B775A1" w:rsidRDefault="00B775A1" w:rsidP="00B775A1">
      <w:pPr>
        <w:pStyle w:val="Default"/>
        <w:jc w:val="both"/>
        <w:rPr>
          <w:rFonts w:ascii="Cambria" w:hAnsi="Cambria" w:cs="Cambria"/>
          <w:color w:val="auto"/>
        </w:rPr>
      </w:pPr>
      <w:r w:rsidRPr="00B775A1">
        <w:rPr>
          <w:rFonts w:ascii="Cambria" w:hAnsi="Cambria" w:cs="Cambria"/>
          <w:color w:val="auto"/>
        </w:rPr>
        <w:t xml:space="preserve">Doctora, </w:t>
      </w:r>
    </w:p>
    <w:p w14:paraId="3D75976C" w14:textId="0804C779" w:rsidR="00B775A1" w:rsidRPr="00B775A1" w:rsidRDefault="00B775A1" w:rsidP="00B775A1">
      <w:pPr>
        <w:pStyle w:val="Default"/>
        <w:jc w:val="both"/>
        <w:rPr>
          <w:rFonts w:ascii="Cambria" w:hAnsi="Cambria" w:cs="Cambria"/>
          <w:color w:val="auto"/>
        </w:rPr>
      </w:pPr>
      <w:r w:rsidRPr="00B775A1">
        <w:rPr>
          <w:rFonts w:ascii="Cambria" w:hAnsi="Cambria" w:cs="Cambria"/>
          <w:b/>
          <w:bCs/>
          <w:color w:val="auto"/>
        </w:rPr>
        <w:t>ADRIANA TOVAR</w:t>
      </w:r>
    </w:p>
    <w:p w14:paraId="633ECFB1" w14:textId="77777777" w:rsidR="00B775A1" w:rsidRPr="00B775A1" w:rsidRDefault="00B775A1" w:rsidP="00B775A1">
      <w:pPr>
        <w:pStyle w:val="Default"/>
        <w:jc w:val="both"/>
        <w:rPr>
          <w:rFonts w:ascii="Cambria" w:hAnsi="Cambria" w:cs="Cambria"/>
          <w:color w:val="auto"/>
        </w:rPr>
      </w:pPr>
      <w:r w:rsidRPr="00B775A1">
        <w:rPr>
          <w:rFonts w:ascii="Cambria" w:hAnsi="Cambria" w:cs="Cambria"/>
          <w:color w:val="auto"/>
        </w:rPr>
        <w:t xml:space="preserve">Aseguradora Solidaria de Colombia E.C. </w:t>
      </w:r>
    </w:p>
    <w:p w14:paraId="7BB2A1BF" w14:textId="77777777" w:rsidR="00B775A1" w:rsidRPr="00B775A1" w:rsidRDefault="00B775A1" w:rsidP="00B775A1">
      <w:pPr>
        <w:pStyle w:val="Default"/>
        <w:jc w:val="both"/>
        <w:rPr>
          <w:rFonts w:ascii="Cambria" w:hAnsi="Cambria" w:cs="Cambria"/>
          <w:color w:val="auto"/>
        </w:rPr>
      </w:pPr>
      <w:r w:rsidRPr="00B775A1">
        <w:rPr>
          <w:rFonts w:ascii="Cambria" w:hAnsi="Cambria" w:cs="Cambria"/>
          <w:color w:val="auto"/>
        </w:rPr>
        <w:t xml:space="preserve">La Ciudad. </w:t>
      </w:r>
    </w:p>
    <w:p w14:paraId="54C2522F" w14:textId="77777777" w:rsidR="00B775A1" w:rsidRPr="00B775A1" w:rsidRDefault="00B775A1" w:rsidP="00B775A1">
      <w:pPr>
        <w:pStyle w:val="Default"/>
        <w:jc w:val="both"/>
        <w:rPr>
          <w:rFonts w:ascii="Cambria" w:hAnsi="Cambria" w:cs="Cambria"/>
          <w:b/>
          <w:bCs/>
          <w:color w:val="auto"/>
        </w:rPr>
      </w:pPr>
    </w:p>
    <w:p w14:paraId="0EF42489" w14:textId="7694AF59" w:rsidR="00B775A1" w:rsidRPr="00B775A1" w:rsidRDefault="00B775A1" w:rsidP="00B775A1">
      <w:pPr>
        <w:pStyle w:val="Default"/>
        <w:jc w:val="both"/>
        <w:rPr>
          <w:rFonts w:ascii="Cambria" w:hAnsi="Cambria" w:cs="Cambria"/>
          <w:b/>
          <w:bCs/>
          <w:color w:val="auto"/>
        </w:rPr>
      </w:pPr>
      <w:r w:rsidRPr="00B775A1">
        <w:rPr>
          <w:rFonts w:ascii="Cambria" w:hAnsi="Cambria" w:cs="Cambria"/>
          <w:b/>
          <w:bCs/>
          <w:color w:val="auto"/>
        </w:rPr>
        <w:t xml:space="preserve">Asunto: Actualización </w:t>
      </w:r>
      <w:r w:rsidRPr="00B775A1">
        <w:rPr>
          <w:rFonts w:ascii="Cambria" w:hAnsi="Cambria" w:cs="Cambria"/>
          <w:b/>
          <w:bCs/>
          <w:color w:val="auto"/>
        </w:rPr>
        <w:t>contingencia</w:t>
      </w:r>
      <w:r w:rsidRPr="00B775A1">
        <w:rPr>
          <w:rFonts w:ascii="Cambria" w:hAnsi="Cambria" w:cs="Cambria"/>
          <w:b/>
          <w:bCs/>
          <w:color w:val="auto"/>
        </w:rPr>
        <w:t xml:space="preserve">. </w:t>
      </w:r>
    </w:p>
    <w:p w14:paraId="3EA17179" w14:textId="77777777" w:rsidR="00B775A1" w:rsidRPr="00B775A1" w:rsidRDefault="00B775A1" w:rsidP="00B775A1">
      <w:pPr>
        <w:pStyle w:val="Default"/>
        <w:jc w:val="both"/>
        <w:rPr>
          <w:rFonts w:ascii="Cambria" w:hAnsi="Cambria"/>
          <w:color w:val="auto"/>
        </w:rPr>
      </w:pPr>
    </w:p>
    <w:p w14:paraId="3E581687" w14:textId="70D7ED3B" w:rsidR="00B775A1" w:rsidRPr="00B775A1" w:rsidRDefault="00B775A1" w:rsidP="00B775A1">
      <w:pPr>
        <w:spacing w:after="0"/>
        <w:jc w:val="both"/>
        <w:rPr>
          <w:rFonts w:ascii="Cambria" w:hAnsi="Cambria" w:cs="Arial"/>
          <w:b/>
          <w:bCs/>
          <w:sz w:val="24"/>
          <w:szCs w:val="24"/>
        </w:rPr>
      </w:pPr>
      <w:r w:rsidRPr="00B775A1">
        <w:rPr>
          <w:rFonts w:ascii="Cambria" w:hAnsi="Cambria" w:cs="Cambria"/>
          <w:sz w:val="24"/>
          <w:szCs w:val="24"/>
        </w:rPr>
        <w:t xml:space="preserve">Comedidamente procedemos a informar </w:t>
      </w:r>
      <w:r w:rsidRPr="00B775A1">
        <w:rPr>
          <w:rFonts w:ascii="Cambria" w:hAnsi="Cambria" w:cs="Cambria"/>
          <w:sz w:val="24"/>
          <w:szCs w:val="24"/>
        </w:rPr>
        <w:t>el cambio de contingencia del proceso: CAL50723.</w:t>
      </w:r>
    </w:p>
    <w:p w14:paraId="41AF7B03" w14:textId="77777777" w:rsidR="00B775A1" w:rsidRPr="00B775A1" w:rsidRDefault="00B775A1" w:rsidP="00B775A1">
      <w:pPr>
        <w:spacing w:after="0"/>
        <w:jc w:val="both"/>
        <w:rPr>
          <w:rFonts w:ascii="Cambria" w:hAnsi="Cambria" w:cs="Arial"/>
          <w:b/>
          <w:bCs/>
          <w:sz w:val="24"/>
          <w:szCs w:val="24"/>
        </w:rPr>
      </w:pPr>
    </w:p>
    <w:p w14:paraId="3FA8BB46" w14:textId="26B4E0C1" w:rsidR="00B775A1" w:rsidRPr="00B775A1" w:rsidRDefault="00B775A1" w:rsidP="00B775A1">
      <w:pPr>
        <w:spacing w:after="0"/>
        <w:jc w:val="both"/>
        <w:rPr>
          <w:rFonts w:ascii="Cambria" w:hAnsi="Cambria" w:cs="Arial"/>
          <w:b/>
          <w:bCs/>
          <w:sz w:val="24"/>
          <w:szCs w:val="24"/>
        </w:rPr>
      </w:pPr>
      <w:r w:rsidRPr="00B775A1">
        <w:rPr>
          <w:rFonts w:ascii="Cambria" w:hAnsi="Cambria" w:cs="Arial"/>
          <w:sz w:val="24"/>
          <w:szCs w:val="24"/>
        </w:rPr>
        <w:t xml:space="preserve">La calificación de la contingencia pasa a PROBABLE, pues la Póliza presta cobertura material y temporal y adicionalmente, se practicaron pruebas que refieren responsabilidad por parte del asegurado. </w:t>
      </w:r>
    </w:p>
    <w:p w14:paraId="472553FB" w14:textId="77777777" w:rsidR="00B775A1" w:rsidRPr="00B775A1" w:rsidRDefault="00B775A1" w:rsidP="00B775A1">
      <w:pPr>
        <w:spacing w:after="0"/>
        <w:jc w:val="both"/>
        <w:rPr>
          <w:rFonts w:ascii="Cambria" w:hAnsi="Cambria" w:cs="Arial"/>
          <w:sz w:val="24"/>
          <w:szCs w:val="24"/>
        </w:rPr>
      </w:pPr>
    </w:p>
    <w:p w14:paraId="7E139F11" w14:textId="77777777" w:rsidR="00B775A1" w:rsidRPr="00B775A1" w:rsidRDefault="00B775A1" w:rsidP="00B775A1">
      <w:pPr>
        <w:spacing w:after="0"/>
        <w:jc w:val="both"/>
        <w:rPr>
          <w:rFonts w:ascii="Cambria" w:hAnsi="Cambria" w:cs="Arial"/>
          <w:sz w:val="24"/>
          <w:szCs w:val="24"/>
        </w:rPr>
      </w:pPr>
      <w:r w:rsidRPr="00B775A1">
        <w:rPr>
          <w:rFonts w:ascii="Cambria" w:hAnsi="Cambria" w:cs="Arial"/>
          <w:sz w:val="24"/>
          <w:szCs w:val="24"/>
        </w:rPr>
        <w:t>Lo primero que debe tomarse en consideración es que la Póliza de Responsabilidad Civil Extracontractual No. 420-80-994000000181 anexo 1 cuyo tomador y asegurado es el Distrito Especial de Santiago de Cali, ofrece cobertura material, ya que se ampara la responsabilidad civil extracontractual en que pueda incurrir el asegurado; y, también ofrece cobertura temporal, pues se pactó bajo la modalidad de ocurrencia, y los hechos ocurrieron el día 02 de agosto de 2020, esto es, dentro del periodo de vigencia de la póliza que va desde el 23 de junio de 2020 hasta el 19 de mayo de 2021</w:t>
      </w:r>
    </w:p>
    <w:p w14:paraId="51CA5C0A" w14:textId="77777777" w:rsidR="00B775A1" w:rsidRPr="00B775A1" w:rsidRDefault="00B775A1" w:rsidP="00B775A1">
      <w:pPr>
        <w:spacing w:after="0"/>
        <w:jc w:val="both"/>
        <w:rPr>
          <w:rFonts w:ascii="Cambria" w:hAnsi="Cambria" w:cs="Arial"/>
          <w:sz w:val="24"/>
          <w:szCs w:val="24"/>
        </w:rPr>
      </w:pPr>
    </w:p>
    <w:p w14:paraId="5B39D80D" w14:textId="77777777" w:rsidR="00B775A1" w:rsidRPr="00B775A1" w:rsidRDefault="00B775A1" w:rsidP="00B775A1">
      <w:pPr>
        <w:spacing w:after="0"/>
        <w:jc w:val="both"/>
        <w:rPr>
          <w:rFonts w:ascii="Cambria" w:hAnsi="Cambria" w:cs="Arial"/>
          <w:sz w:val="24"/>
          <w:szCs w:val="24"/>
        </w:rPr>
      </w:pPr>
      <w:r w:rsidRPr="00B775A1">
        <w:rPr>
          <w:rFonts w:ascii="Cambria" w:hAnsi="Cambria" w:cs="Arial"/>
          <w:sz w:val="24"/>
          <w:szCs w:val="24"/>
        </w:rPr>
        <w:t>En cuanto a la responsabilidad del asegurado, Distrito Especial de Santiago de Cali, se debe indicar que si bien se aportó un IPAT en el que se registra como hipótesis “no estar atento a los factores de la vía” además de que la víctima debía portar lentes para conducir y no se encontró este tipo de elementos en las prendas del occiso ni en el lugar de los hechos, por lo que es posible que se haya configurado la culpa de la víctima. No obstante, durante el desarrollo de la audiencia de pruebas, rindió testimonio el señor EDWIN YOVANNY LARGO, agente de tránsito encargado de rendir el IPAT, en el cual contradice lo consignado por él mismo en el IPAT, afirmando que la iluminación era deficiente, y que no había las señalizaciones de tránsito que deberían de haber estado en el lugar de los hechos, y que podrían haber evitado el accidente.</w:t>
      </w:r>
    </w:p>
    <w:p w14:paraId="5522648E" w14:textId="77777777" w:rsidR="00B775A1" w:rsidRPr="00B775A1" w:rsidRDefault="00B775A1" w:rsidP="00B775A1">
      <w:pPr>
        <w:spacing w:after="0"/>
        <w:jc w:val="both"/>
        <w:rPr>
          <w:rFonts w:ascii="Cambria" w:hAnsi="Cambria" w:cs="Arial"/>
          <w:sz w:val="24"/>
          <w:szCs w:val="24"/>
        </w:rPr>
      </w:pPr>
    </w:p>
    <w:p w14:paraId="613D513F" w14:textId="77777777" w:rsidR="00B775A1" w:rsidRPr="00B775A1" w:rsidRDefault="00B775A1" w:rsidP="00B775A1">
      <w:pPr>
        <w:jc w:val="both"/>
        <w:rPr>
          <w:rFonts w:ascii="Cambria" w:hAnsi="Cambria" w:cs="Arial"/>
          <w:sz w:val="24"/>
          <w:szCs w:val="24"/>
        </w:rPr>
      </w:pPr>
      <w:r w:rsidRPr="00B775A1">
        <w:rPr>
          <w:rFonts w:ascii="Cambria" w:hAnsi="Cambria" w:cs="Arial"/>
          <w:b/>
          <w:bCs/>
          <w:sz w:val="24"/>
          <w:szCs w:val="24"/>
        </w:rPr>
        <w:t>LIQUIDACIÓN OBJETIVA</w:t>
      </w:r>
      <w:r w:rsidRPr="00B775A1">
        <w:rPr>
          <w:rFonts w:ascii="Cambria" w:hAnsi="Cambria" w:cs="Arial"/>
          <w:sz w:val="24"/>
          <w:szCs w:val="24"/>
        </w:rPr>
        <w:t xml:space="preserve">: </w:t>
      </w:r>
      <w:r w:rsidRPr="00B775A1">
        <w:rPr>
          <w:rFonts w:ascii="Cambria" w:hAnsi="Cambria" w:cs="Arial"/>
          <w:b/>
          <w:bCs/>
          <w:sz w:val="24"/>
          <w:szCs w:val="24"/>
          <w:highlight w:val="lightGray"/>
        </w:rPr>
        <w:t>$164.320.000</w:t>
      </w:r>
      <w:r w:rsidRPr="00B775A1">
        <w:rPr>
          <w:rFonts w:ascii="Cambria" w:hAnsi="Cambria" w:cs="Arial"/>
          <w:b/>
          <w:bCs/>
          <w:sz w:val="24"/>
          <w:szCs w:val="24"/>
        </w:rPr>
        <w:t xml:space="preserve"> </w:t>
      </w:r>
      <w:r w:rsidRPr="00B775A1">
        <w:rPr>
          <w:rFonts w:ascii="Cambria" w:hAnsi="Cambria" w:cs="Arial"/>
          <w:sz w:val="24"/>
          <w:szCs w:val="24"/>
        </w:rPr>
        <w:t>correspondientes al 32%</w:t>
      </w:r>
      <w:r w:rsidRPr="00B775A1">
        <w:rPr>
          <w:rStyle w:val="Refdenotaalpie"/>
          <w:rFonts w:ascii="Cambria" w:hAnsi="Cambria" w:cs="Arial"/>
          <w:sz w:val="24"/>
          <w:szCs w:val="24"/>
        </w:rPr>
        <w:footnoteReference w:id="1"/>
      </w:r>
      <w:r w:rsidRPr="00B775A1">
        <w:rPr>
          <w:rFonts w:ascii="Cambria" w:hAnsi="Cambria" w:cs="Arial"/>
          <w:sz w:val="24"/>
          <w:szCs w:val="24"/>
        </w:rPr>
        <w:t xml:space="preserve"> del coaseguro asumido por Solidaria en el caso,</w:t>
      </w:r>
      <w:r w:rsidRPr="00B775A1">
        <w:rPr>
          <w:rFonts w:ascii="Cambria" w:hAnsi="Cambria" w:cs="Arial"/>
          <w:b/>
          <w:bCs/>
          <w:sz w:val="24"/>
          <w:szCs w:val="24"/>
        </w:rPr>
        <w:t xml:space="preserve"> </w:t>
      </w:r>
      <w:r w:rsidRPr="00B775A1">
        <w:rPr>
          <w:rFonts w:ascii="Cambria" w:hAnsi="Cambria" w:cs="Arial"/>
          <w:sz w:val="24"/>
          <w:szCs w:val="24"/>
        </w:rPr>
        <w:t>respecto de la liquidación objetiva de pretensiones que se presenta a continuación.</w:t>
      </w:r>
    </w:p>
    <w:p w14:paraId="0862D8FF" w14:textId="77777777" w:rsidR="00B775A1" w:rsidRPr="00B775A1" w:rsidRDefault="00B775A1" w:rsidP="00B775A1">
      <w:pPr>
        <w:jc w:val="both"/>
        <w:rPr>
          <w:rFonts w:ascii="Cambria" w:hAnsi="Cambria" w:cs="Arial"/>
          <w:sz w:val="24"/>
          <w:szCs w:val="24"/>
        </w:rPr>
      </w:pPr>
      <w:r w:rsidRPr="00B775A1">
        <w:rPr>
          <w:rFonts w:ascii="Cambria" w:hAnsi="Cambria" w:cs="Arial"/>
          <w:sz w:val="24"/>
          <w:szCs w:val="24"/>
        </w:rPr>
        <w:t xml:space="preserve">A ese valor se llegó de la siguiente manera: </w:t>
      </w:r>
    </w:p>
    <w:p w14:paraId="532B72D2" w14:textId="77777777" w:rsidR="00B775A1" w:rsidRPr="00B775A1" w:rsidRDefault="00B775A1" w:rsidP="00B775A1">
      <w:pPr>
        <w:jc w:val="both"/>
        <w:rPr>
          <w:rFonts w:ascii="Cambria" w:hAnsi="Cambria" w:cs="Arial"/>
          <w:sz w:val="24"/>
          <w:szCs w:val="24"/>
        </w:rPr>
      </w:pPr>
      <w:r w:rsidRPr="00B775A1">
        <w:rPr>
          <w:rFonts w:ascii="Cambria" w:hAnsi="Cambria" w:cs="Arial"/>
          <w:sz w:val="24"/>
          <w:szCs w:val="24"/>
        </w:rPr>
        <w:t xml:space="preserve">Ello teniendo en cuenta lo siguiente: </w:t>
      </w:r>
    </w:p>
    <w:p w14:paraId="44E0C75E" w14:textId="77777777" w:rsidR="00B775A1" w:rsidRPr="00B775A1" w:rsidRDefault="00B775A1" w:rsidP="00B775A1">
      <w:pPr>
        <w:pStyle w:val="Prrafodelista"/>
        <w:numPr>
          <w:ilvl w:val="0"/>
          <w:numId w:val="2"/>
        </w:numPr>
        <w:jc w:val="both"/>
        <w:rPr>
          <w:rFonts w:ascii="Cambria" w:hAnsi="Cambria" w:cs="Arial"/>
          <w:sz w:val="24"/>
          <w:szCs w:val="24"/>
        </w:rPr>
      </w:pPr>
      <w:r w:rsidRPr="00B775A1">
        <w:rPr>
          <w:rFonts w:ascii="Cambria" w:hAnsi="Cambria" w:cs="Arial"/>
          <w:b/>
          <w:bCs/>
          <w:sz w:val="24"/>
          <w:szCs w:val="24"/>
        </w:rPr>
        <w:t>Frente al daño moral</w:t>
      </w:r>
      <w:r w:rsidRPr="00B775A1">
        <w:rPr>
          <w:rFonts w:ascii="Cambria" w:hAnsi="Cambria" w:cs="Arial"/>
          <w:sz w:val="24"/>
          <w:szCs w:val="24"/>
        </w:rPr>
        <w:t xml:space="preserve">: se reconoce a Abdón Sánchez Rodríguez (Padre de la víctima directa): 100 SMLMV, Consuelo Manzo Ramírez (madre de la víctima directa): 100 SMLMV, María José Sánchez Manzo (Hermana de la víctima directa): 50 SMLMV Diana Beatriz Triana Altamirano (Esposa de la víctima directa): 100 SMLMV. Total: </w:t>
      </w:r>
      <w:r w:rsidRPr="00B775A1">
        <w:rPr>
          <w:rFonts w:ascii="Cambria" w:hAnsi="Cambria" w:cs="Arial"/>
          <w:b/>
          <w:bCs/>
          <w:sz w:val="24"/>
          <w:szCs w:val="24"/>
        </w:rPr>
        <w:t>350 SMMLV</w:t>
      </w:r>
      <w:r w:rsidRPr="00B775A1">
        <w:rPr>
          <w:rFonts w:ascii="Cambria" w:hAnsi="Cambria" w:cs="Arial"/>
          <w:sz w:val="24"/>
          <w:szCs w:val="24"/>
        </w:rPr>
        <w:t>.</w:t>
      </w:r>
    </w:p>
    <w:p w14:paraId="7E4D3C42" w14:textId="77777777" w:rsidR="00B775A1" w:rsidRPr="00B775A1" w:rsidRDefault="00B775A1" w:rsidP="00B775A1">
      <w:pPr>
        <w:pStyle w:val="Prrafodelista"/>
        <w:jc w:val="both"/>
        <w:rPr>
          <w:rFonts w:ascii="Cambria" w:hAnsi="Cambria" w:cs="Arial"/>
          <w:sz w:val="24"/>
          <w:szCs w:val="24"/>
        </w:rPr>
      </w:pPr>
    </w:p>
    <w:p w14:paraId="740DAB61" w14:textId="77777777" w:rsidR="00B775A1" w:rsidRPr="00B775A1" w:rsidRDefault="00B775A1" w:rsidP="00B775A1">
      <w:pPr>
        <w:pStyle w:val="Prrafodelista"/>
        <w:numPr>
          <w:ilvl w:val="0"/>
          <w:numId w:val="3"/>
        </w:numPr>
        <w:jc w:val="both"/>
        <w:rPr>
          <w:rFonts w:ascii="Cambria" w:hAnsi="Cambria" w:cs="Arial"/>
          <w:sz w:val="24"/>
          <w:szCs w:val="24"/>
        </w:rPr>
      </w:pPr>
      <w:r w:rsidRPr="00B775A1">
        <w:rPr>
          <w:rFonts w:ascii="Cambria" w:hAnsi="Cambria" w:cs="Arial"/>
          <w:sz w:val="24"/>
          <w:szCs w:val="24"/>
        </w:rPr>
        <w:lastRenderedPageBreak/>
        <w:t xml:space="preserve">Para María Del Jesús Triana Altamirano (Tía esposa), Isabel Triana Altamirano (Tía esposa), Lida Constanza Escobar Triana (Prima esposa), teniendo en cuenta lo expresado en la audiencia de pruebas del 29 de octubre de 2024, en donde se afirmó la convivencia entre ellas y la víctima directa, especialmente, la última declarante afirmó que lo consideraba como un miembro más de la familia, reconocer el perjuicio moral de dichos demandantes al menos en el nivel 5 correspondiente "Relaciones afectivas no familiares - terceros damnificados" en una cuantía de 15 SMLMV para cada una. Total: </w:t>
      </w:r>
      <w:r w:rsidRPr="00B775A1">
        <w:rPr>
          <w:rFonts w:ascii="Cambria" w:hAnsi="Cambria" w:cs="Arial"/>
          <w:b/>
          <w:bCs/>
          <w:sz w:val="24"/>
          <w:szCs w:val="24"/>
        </w:rPr>
        <w:t>45 SMMLV</w:t>
      </w:r>
      <w:r w:rsidRPr="00B775A1">
        <w:rPr>
          <w:rFonts w:ascii="Cambria" w:hAnsi="Cambria" w:cs="Arial"/>
          <w:sz w:val="24"/>
          <w:szCs w:val="24"/>
        </w:rPr>
        <w:t>.</w:t>
      </w:r>
    </w:p>
    <w:p w14:paraId="4B74AEBC" w14:textId="77777777" w:rsidR="00B775A1" w:rsidRPr="00B775A1" w:rsidRDefault="00B775A1" w:rsidP="00B775A1">
      <w:pPr>
        <w:pStyle w:val="Prrafodelista"/>
        <w:numPr>
          <w:ilvl w:val="0"/>
          <w:numId w:val="3"/>
        </w:numPr>
        <w:jc w:val="both"/>
        <w:rPr>
          <w:rFonts w:ascii="Cambria" w:hAnsi="Cambria" w:cs="Arial"/>
          <w:sz w:val="24"/>
          <w:szCs w:val="24"/>
        </w:rPr>
      </w:pPr>
      <w:r w:rsidRPr="00B775A1">
        <w:rPr>
          <w:rFonts w:ascii="Cambria" w:hAnsi="Cambria" w:cs="Arial"/>
          <w:sz w:val="24"/>
          <w:szCs w:val="24"/>
        </w:rPr>
        <w:t xml:space="preserve">Para Gloria María Triana Altamirano (Suegra del causante); Héctor Javier Castro Triana (Primo esposa); Luis Fernando Durán Triana (Primo esposa); Ángela Stella Escobar Triana (Prima esposa); Diego Enrique Triana Guerrero (Primo esposa): no es procedente indemnización debido al vínculo por afinidad. </w:t>
      </w:r>
    </w:p>
    <w:p w14:paraId="56603DEF" w14:textId="77777777" w:rsidR="00B775A1" w:rsidRPr="00B775A1" w:rsidRDefault="00B775A1" w:rsidP="00B775A1">
      <w:pPr>
        <w:pStyle w:val="Prrafodelista"/>
        <w:numPr>
          <w:ilvl w:val="0"/>
          <w:numId w:val="3"/>
        </w:numPr>
        <w:spacing w:after="0"/>
        <w:jc w:val="both"/>
        <w:rPr>
          <w:rFonts w:ascii="Cambria" w:hAnsi="Cambria" w:cs="Arial"/>
          <w:sz w:val="24"/>
          <w:szCs w:val="24"/>
        </w:rPr>
      </w:pPr>
      <w:r w:rsidRPr="00B775A1">
        <w:rPr>
          <w:rFonts w:ascii="Cambria" w:hAnsi="Cambria" w:cs="Arial"/>
          <w:sz w:val="24"/>
          <w:szCs w:val="24"/>
        </w:rPr>
        <w:t xml:space="preserve">Tampoco se acredita la relación afectiva. Luz Helena Lozano </w:t>
      </w:r>
      <w:proofErr w:type="spellStart"/>
      <w:r w:rsidRPr="00B775A1">
        <w:rPr>
          <w:rFonts w:ascii="Cambria" w:hAnsi="Cambria" w:cs="Arial"/>
          <w:sz w:val="24"/>
          <w:szCs w:val="24"/>
        </w:rPr>
        <w:t>Lecompte</w:t>
      </w:r>
      <w:proofErr w:type="spellEnd"/>
      <w:r w:rsidRPr="00B775A1">
        <w:rPr>
          <w:rFonts w:ascii="Cambria" w:hAnsi="Cambria" w:cs="Arial"/>
          <w:sz w:val="24"/>
          <w:szCs w:val="24"/>
        </w:rPr>
        <w:t xml:space="preserve"> (Amiga): no se acredita la relación afectiva. Diego Mauricio Arias Ramírez (Amigo): no se acredita la relación afectiva.</w:t>
      </w:r>
    </w:p>
    <w:p w14:paraId="4534D948" w14:textId="77777777" w:rsidR="00B775A1" w:rsidRPr="00B775A1" w:rsidRDefault="00B775A1" w:rsidP="00B775A1">
      <w:pPr>
        <w:pStyle w:val="Prrafodelista"/>
        <w:spacing w:after="0"/>
        <w:ind w:left="1080"/>
        <w:jc w:val="both"/>
        <w:rPr>
          <w:rFonts w:ascii="Cambria" w:hAnsi="Cambria" w:cs="Arial"/>
          <w:sz w:val="24"/>
          <w:szCs w:val="24"/>
        </w:rPr>
      </w:pPr>
      <w:r w:rsidRPr="00B775A1">
        <w:rPr>
          <w:rFonts w:ascii="Cambria" w:hAnsi="Cambria" w:cs="Arial"/>
          <w:sz w:val="24"/>
          <w:szCs w:val="24"/>
        </w:rPr>
        <w:t xml:space="preserve"> </w:t>
      </w:r>
    </w:p>
    <w:p w14:paraId="178088BC" w14:textId="77777777" w:rsidR="00B775A1" w:rsidRPr="00B775A1" w:rsidRDefault="00B775A1" w:rsidP="00B775A1">
      <w:pPr>
        <w:pStyle w:val="Prrafodelista"/>
        <w:numPr>
          <w:ilvl w:val="0"/>
          <w:numId w:val="2"/>
        </w:numPr>
        <w:jc w:val="both"/>
        <w:rPr>
          <w:rFonts w:ascii="Cambria" w:hAnsi="Cambria" w:cs="Arial"/>
          <w:sz w:val="24"/>
          <w:szCs w:val="24"/>
        </w:rPr>
      </w:pPr>
      <w:r w:rsidRPr="00B775A1">
        <w:rPr>
          <w:rFonts w:ascii="Cambria" w:hAnsi="Cambria" w:cs="Arial"/>
          <w:b/>
          <w:bCs/>
          <w:sz w:val="24"/>
          <w:szCs w:val="24"/>
        </w:rPr>
        <w:t>Frente al lucro cesante</w:t>
      </w:r>
      <w:r w:rsidRPr="00B775A1">
        <w:rPr>
          <w:rFonts w:ascii="Cambria" w:hAnsi="Cambria" w:cs="Arial"/>
          <w:sz w:val="24"/>
          <w:szCs w:val="24"/>
        </w:rPr>
        <w:t xml:space="preserve">: no es procedente su reconocimiento toda vez que no se probó que el causante estuviera vinculado laboralmente y/o que recibiera ingresos económicos. </w:t>
      </w:r>
    </w:p>
    <w:p w14:paraId="390A4527" w14:textId="77777777" w:rsidR="00B775A1" w:rsidRPr="00B775A1" w:rsidRDefault="00B775A1" w:rsidP="00B775A1">
      <w:pPr>
        <w:jc w:val="both"/>
        <w:rPr>
          <w:rFonts w:ascii="Cambria" w:hAnsi="Cambria" w:cs="Arial"/>
          <w:sz w:val="24"/>
          <w:szCs w:val="24"/>
        </w:rPr>
      </w:pPr>
      <w:r w:rsidRPr="00B775A1">
        <w:rPr>
          <w:rFonts w:ascii="Cambria" w:hAnsi="Cambria" w:cs="Arial"/>
          <w:sz w:val="24"/>
          <w:szCs w:val="24"/>
        </w:rPr>
        <w:t xml:space="preserve">Sin deducible. </w:t>
      </w:r>
    </w:p>
    <w:p w14:paraId="5A0BAD20" w14:textId="77777777" w:rsidR="00B775A1" w:rsidRPr="00B775A1" w:rsidRDefault="00B775A1" w:rsidP="00B775A1">
      <w:pPr>
        <w:jc w:val="both"/>
        <w:rPr>
          <w:rFonts w:ascii="Cambria" w:hAnsi="Cambria" w:cs="Arial"/>
          <w:b/>
          <w:bCs/>
          <w:sz w:val="24"/>
          <w:szCs w:val="24"/>
        </w:rPr>
      </w:pPr>
      <w:r w:rsidRPr="00B775A1">
        <w:rPr>
          <w:rFonts w:ascii="Cambria" w:hAnsi="Cambria" w:cs="Arial"/>
          <w:sz w:val="24"/>
          <w:szCs w:val="24"/>
        </w:rPr>
        <w:t>6. Total reconocido</w:t>
      </w:r>
      <w:r w:rsidRPr="00B775A1">
        <w:rPr>
          <w:rStyle w:val="Refdenotaalpie"/>
          <w:rFonts w:ascii="Cambria" w:hAnsi="Cambria" w:cs="Arial"/>
          <w:sz w:val="24"/>
          <w:szCs w:val="24"/>
        </w:rPr>
        <w:footnoteReference w:id="2"/>
      </w:r>
      <w:r w:rsidRPr="00B775A1">
        <w:rPr>
          <w:rFonts w:ascii="Cambria" w:hAnsi="Cambria" w:cs="Arial"/>
          <w:sz w:val="24"/>
          <w:szCs w:val="24"/>
        </w:rPr>
        <w:t xml:space="preserve">: </w:t>
      </w:r>
      <w:r w:rsidRPr="00B775A1">
        <w:rPr>
          <w:rFonts w:ascii="Cambria" w:hAnsi="Cambria" w:cs="Arial"/>
          <w:b/>
          <w:bCs/>
          <w:sz w:val="24"/>
          <w:szCs w:val="24"/>
        </w:rPr>
        <w:t>$513.500.000</w:t>
      </w:r>
      <w:r w:rsidRPr="00B775A1">
        <w:rPr>
          <w:rFonts w:ascii="Cambria" w:hAnsi="Cambria" w:cs="Arial"/>
          <w:sz w:val="24"/>
          <w:szCs w:val="24"/>
        </w:rPr>
        <w:t xml:space="preserve"> – </w:t>
      </w:r>
      <w:r w:rsidRPr="00B775A1">
        <w:rPr>
          <w:rFonts w:ascii="Cambria" w:hAnsi="Cambria" w:cs="Arial"/>
          <w:b/>
          <w:bCs/>
          <w:sz w:val="24"/>
          <w:szCs w:val="24"/>
          <w:highlight w:val="lightGray"/>
        </w:rPr>
        <w:t>Suma reconocida por Solidaria: (32%) de coaseguro = $164.320.000</w:t>
      </w:r>
    </w:p>
    <w:p w14:paraId="78365B5E" w14:textId="77777777" w:rsidR="00B775A1" w:rsidRPr="00B775A1" w:rsidRDefault="00B775A1" w:rsidP="00B775A1">
      <w:pPr>
        <w:jc w:val="both"/>
        <w:rPr>
          <w:rFonts w:ascii="Cambria" w:hAnsi="Cambria" w:cs="Arial"/>
          <w:b/>
          <w:bCs/>
          <w:sz w:val="24"/>
          <w:szCs w:val="24"/>
          <w:u w:val="single"/>
        </w:rPr>
      </w:pPr>
      <w:r w:rsidRPr="00B775A1">
        <w:rPr>
          <w:rFonts w:ascii="Cambria" w:hAnsi="Cambria" w:cs="Arial"/>
          <w:b/>
          <w:bCs/>
          <w:sz w:val="24"/>
          <w:szCs w:val="24"/>
        </w:rPr>
        <w:t>PROPUESTA FÓRMULA CONCILIATORIA</w:t>
      </w:r>
      <w:r w:rsidRPr="00B775A1">
        <w:rPr>
          <w:rFonts w:ascii="Cambria" w:hAnsi="Cambria" w:cs="Arial"/>
          <w:sz w:val="24"/>
          <w:szCs w:val="24"/>
        </w:rPr>
        <w:t xml:space="preserve">: $164.320.000 x 70% = </w:t>
      </w:r>
      <w:r w:rsidRPr="00B775A1">
        <w:rPr>
          <w:rFonts w:ascii="Cambria" w:hAnsi="Cambria" w:cs="Arial"/>
          <w:b/>
          <w:bCs/>
          <w:sz w:val="24"/>
          <w:szCs w:val="24"/>
          <w:highlight w:val="lightGray"/>
          <w:u w:val="single"/>
        </w:rPr>
        <w:t>$115.024.000</w:t>
      </w:r>
    </w:p>
    <w:p w14:paraId="612EA995" w14:textId="77777777" w:rsidR="00B775A1" w:rsidRPr="00B775A1" w:rsidRDefault="00B775A1" w:rsidP="00B775A1">
      <w:pPr>
        <w:jc w:val="both"/>
        <w:rPr>
          <w:rFonts w:ascii="Cambria" w:hAnsi="Cambria" w:cs="Arial"/>
          <w:sz w:val="24"/>
          <w:szCs w:val="24"/>
        </w:rPr>
      </w:pPr>
      <w:r w:rsidRPr="00B775A1">
        <w:rPr>
          <w:rFonts w:ascii="Cambria" w:hAnsi="Cambria" w:cs="Arial"/>
          <w:sz w:val="24"/>
          <w:szCs w:val="24"/>
        </w:rPr>
        <w:t>(Ahora bien, si se tiene en cuenta que en este tipo de casos solidaria como aseguradora líder suele asumir el 100% del valor reconocido, entonces el cálculo sería el siguiente: Total reconocido</w:t>
      </w:r>
      <w:r w:rsidRPr="00B775A1">
        <w:rPr>
          <w:rStyle w:val="Refdenotaalpie"/>
          <w:rFonts w:ascii="Cambria" w:hAnsi="Cambria" w:cs="Arial"/>
          <w:sz w:val="24"/>
          <w:szCs w:val="24"/>
        </w:rPr>
        <w:footnoteReference w:id="3"/>
      </w:r>
      <w:r w:rsidRPr="00B775A1">
        <w:rPr>
          <w:rFonts w:ascii="Cambria" w:hAnsi="Cambria" w:cs="Arial"/>
          <w:sz w:val="24"/>
          <w:szCs w:val="24"/>
        </w:rPr>
        <w:t xml:space="preserve">: $513.500.000. </w:t>
      </w:r>
      <w:r w:rsidRPr="00B775A1">
        <w:rPr>
          <w:rFonts w:ascii="Cambria" w:hAnsi="Cambria" w:cs="Arial"/>
          <w:b/>
          <w:bCs/>
          <w:sz w:val="24"/>
          <w:szCs w:val="24"/>
        </w:rPr>
        <w:t>PROPUESTA FÓRMULA CONCILIATORIA</w:t>
      </w:r>
      <w:r w:rsidRPr="00B775A1">
        <w:rPr>
          <w:rFonts w:ascii="Cambria" w:hAnsi="Cambria" w:cs="Arial"/>
          <w:sz w:val="24"/>
          <w:szCs w:val="24"/>
        </w:rPr>
        <w:t xml:space="preserve">: $513.500.000 x 70% = </w:t>
      </w:r>
      <w:r w:rsidRPr="00B775A1">
        <w:rPr>
          <w:rFonts w:ascii="Cambria" w:hAnsi="Cambria" w:cs="Arial"/>
          <w:b/>
          <w:bCs/>
          <w:sz w:val="24"/>
          <w:szCs w:val="24"/>
          <w:highlight w:val="lightGray"/>
        </w:rPr>
        <w:t>$359.450.000</w:t>
      </w:r>
      <w:r w:rsidRPr="00B775A1">
        <w:rPr>
          <w:rFonts w:ascii="Cambria" w:hAnsi="Cambria" w:cs="Arial"/>
          <w:sz w:val="24"/>
          <w:szCs w:val="24"/>
        </w:rPr>
        <w:t>)</w:t>
      </w:r>
    </w:p>
    <w:p w14:paraId="562CA52D" w14:textId="77777777" w:rsidR="00B775A1" w:rsidRPr="00B775A1" w:rsidRDefault="00B775A1" w:rsidP="00B775A1">
      <w:pPr>
        <w:jc w:val="both"/>
        <w:rPr>
          <w:rFonts w:ascii="Cambria" w:hAnsi="Cambria" w:cs="Arial"/>
          <w:b/>
          <w:bCs/>
          <w:sz w:val="24"/>
          <w:szCs w:val="24"/>
          <w:u w:val="single"/>
        </w:rPr>
      </w:pPr>
    </w:p>
    <w:p w14:paraId="09C98658" w14:textId="77777777" w:rsidR="00B775A1" w:rsidRPr="00B775A1" w:rsidRDefault="00B775A1" w:rsidP="00B775A1">
      <w:pPr>
        <w:jc w:val="both"/>
        <w:rPr>
          <w:rFonts w:ascii="Cambria" w:hAnsi="Cambria" w:cs="Arial"/>
          <w:b/>
          <w:bCs/>
          <w:sz w:val="24"/>
          <w:szCs w:val="24"/>
          <w:u w:val="single"/>
        </w:rPr>
      </w:pPr>
    </w:p>
    <w:p w14:paraId="7E74F3FD" w14:textId="77777777" w:rsidR="00194DAC" w:rsidRPr="00B775A1" w:rsidRDefault="00194DAC" w:rsidP="00B775A1">
      <w:pPr>
        <w:tabs>
          <w:tab w:val="left" w:pos="5626"/>
        </w:tabs>
        <w:jc w:val="both"/>
        <w:rPr>
          <w:rFonts w:ascii="Cambria" w:hAnsi="Cambria"/>
          <w:sz w:val="24"/>
          <w:szCs w:val="24"/>
        </w:rPr>
      </w:pPr>
    </w:p>
    <w:sectPr w:rsidR="00194DAC" w:rsidRPr="00B775A1"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CD05" w14:textId="77777777" w:rsidR="00236870" w:rsidRDefault="00236870" w:rsidP="0025591F">
      <w:r>
        <w:separator/>
      </w:r>
    </w:p>
  </w:endnote>
  <w:endnote w:type="continuationSeparator" w:id="0">
    <w:p w14:paraId="4A73FE07" w14:textId="77777777" w:rsidR="00236870" w:rsidRDefault="0023687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Raleway">
    <w:altName w:val="Raleway"/>
    <w:charset w:val="00"/>
    <w:family w:val="auto"/>
    <w:pitch w:val="variable"/>
    <w:sig w:usb0="A00002FF" w:usb1="5000205B" w:usb2="00000000" w:usb3="00000000" w:csb0="00000197"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2210"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3C0C8F3" wp14:editId="55E9E22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895BDC6" wp14:editId="739E12F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5474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C2D078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BDC6"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725474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C2D078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124A9D39" wp14:editId="537E413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2802D" w14:textId="77777777" w:rsidR="00416F84" w:rsidRDefault="00416F84" w:rsidP="00416F84">
    <w:pPr>
      <w:ind w:left="7080" w:firstLine="708"/>
      <w:rPr>
        <w:color w:val="222A35" w:themeColor="text2" w:themeShade="80"/>
      </w:rPr>
    </w:pPr>
  </w:p>
  <w:p w14:paraId="16FC1950"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D97B218" wp14:editId="2F980C8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FFF6C" w14:textId="77777777" w:rsidR="00416F84" w:rsidRPr="004A356B" w:rsidRDefault="004A356B" w:rsidP="00416F84">
                          <w:pPr>
                            <w:spacing w:before="10"/>
                            <w:jc w:val="right"/>
                            <w:rPr>
                              <w:rFonts w:ascii="Raleway" w:hAnsi="Raleway"/>
                              <w:b/>
                              <w:bCs/>
                              <w:color w:val="FFFFFF" w:themeColor="background1"/>
                              <w:w w:val="105"/>
                              <w:sz w:val="20"/>
                              <w:szCs w:val="20"/>
                            </w:rPr>
                          </w:pPr>
                          <w:r w:rsidRPr="004A356B">
                            <w:rPr>
                              <w:rFonts w:ascii="Raleway" w:hAnsi="Raleway"/>
                              <w:b/>
                              <w:bCs/>
                              <w:color w:val="FFFFFF" w:themeColor="background1"/>
                              <w:w w:val="105"/>
                            </w:rPr>
                            <w:t>Iniciales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B21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5EFFF6C" w14:textId="77777777" w:rsidR="00416F84" w:rsidRPr="004A356B" w:rsidRDefault="004A356B" w:rsidP="00416F84">
                    <w:pPr>
                      <w:spacing w:before="10"/>
                      <w:jc w:val="right"/>
                      <w:rPr>
                        <w:rFonts w:ascii="Raleway" w:hAnsi="Raleway"/>
                        <w:b/>
                        <w:bCs/>
                        <w:color w:val="FFFFFF" w:themeColor="background1"/>
                        <w:w w:val="105"/>
                        <w:sz w:val="20"/>
                        <w:szCs w:val="20"/>
                      </w:rPr>
                    </w:pPr>
                    <w:r w:rsidRPr="004A356B">
                      <w:rPr>
                        <w:rFonts w:ascii="Raleway" w:hAnsi="Raleway"/>
                        <w:b/>
                        <w:bCs/>
                        <w:color w:val="FFFFFF" w:themeColor="background1"/>
                        <w:w w:val="105"/>
                      </w:rPr>
                      <w:t>Iniciales</w:t>
                    </w:r>
                  </w:p>
                </w:txbxContent>
              </v:textbox>
              <w10:wrap anchorx="page" anchory="margin"/>
            </v:rect>
          </w:pict>
        </mc:Fallback>
      </mc:AlternateContent>
    </w:r>
  </w:p>
  <w:p w14:paraId="6063D92B" w14:textId="77777777" w:rsidR="00416F84" w:rsidRDefault="00416F84" w:rsidP="004A356B">
    <w:pPr>
      <w:rPr>
        <w:color w:val="222A35" w:themeColor="text2" w:themeShade="80"/>
      </w:rPr>
    </w:pPr>
  </w:p>
  <w:p w14:paraId="718F2EE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D07E79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49130" w14:textId="77777777" w:rsidR="00236870" w:rsidRDefault="00236870" w:rsidP="0025591F">
      <w:r>
        <w:separator/>
      </w:r>
    </w:p>
  </w:footnote>
  <w:footnote w:type="continuationSeparator" w:id="0">
    <w:p w14:paraId="440A7908" w14:textId="77777777" w:rsidR="00236870" w:rsidRDefault="00236870" w:rsidP="0025591F">
      <w:r>
        <w:continuationSeparator/>
      </w:r>
    </w:p>
  </w:footnote>
  <w:footnote w:id="1">
    <w:p w14:paraId="13338D07" w14:textId="77777777" w:rsidR="00B775A1" w:rsidRDefault="00B775A1" w:rsidP="00B775A1">
      <w:pPr>
        <w:pStyle w:val="Textonotapie"/>
      </w:pPr>
      <w:r>
        <w:rPr>
          <w:rStyle w:val="Refdenotaalpie"/>
        </w:rPr>
        <w:footnoteRef/>
      </w:r>
      <w:r>
        <w:t xml:space="preserve"> Dada la probable consolidación de concurrencia de culpas</w:t>
      </w:r>
    </w:p>
  </w:footnote>
  <w:footnote w:id="2">
    <w:p w14:paraId="3BB5FBB7" w14:textId="77777777" w:rsidR="00B775A1" w:rsidRDefault="00B775A1" w:rsidP="00B775A1">
      <w:pPr>
        <w:pStyle w:val="Textonotapie"/>
      </w:pPr>
      <w:r>
        <w:rPr>
          <w:rStyle w:val="Refdenotaalpie"/>
        </w:rPr>
        <w:footnoteRef/>
      </w:r>
      <w:r>
        <w:t xml:space="preserve"> Se liquidó con SMMLV de 2024</w:t>
      </w:r>
    </w:p>
  </w:footnote>
  <w:footnote w:id="3">
    <w:p w14:paraId="4F8681D5" w14:textId="77777777" w:rsidR="00B775A1" w:rsidRDefault="00B775A1" w:rsidP="00B775A1">
      <w:pPr>
        <w:pStyle w:val="Textonotapie"/>
      </w:pPr>
      <w:r>
        <w:rPr>
          <w:rStyle w:val="Refdenotaalpie"/>
        </w:rPr>
        <w:footnoteRef/>
      </w:r>
      <w:r>
        <w:t xml:space="preserve"> Se liquidó con SMMLV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893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3861124" wp14:editId="394C6B65">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7C4CAB"/>
    <w:multiLevelType w:val="hybridMultilevel"/>
    <w:tmpl w:val="6CAEED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24856901">
    <w:abstractNumId w:val="0"/>
  </w:num>
  <w:num w:numId="2" w16cid:durableId="170032117">
    <w:abstractNumId w:val="1"/>
  </w:num>
  <w:num w:numId="3" w16cid:durableId="759370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0A"/>
    <w:rsid w:val="0003111F"/>
    <w:rsid w:val="000C2815"/>
    <w:rsid w:val="001925A0"/>
    <w:rsid w:val="00194DAC"/>
    <w:rsid w:val="00234F3F"/>
    <w:rsid w:val="00236870"/>
    <w:rsid w:val="00254E27"/>
    <w:rsid w:val="0025591F"/>
    <w:rsid w:val="00267DDC"/>
    <w:rsid w:val="00281D90"/>
    <w:rsid w:val="002B5E76"/>
    <w:rsid w:val="00375AFE"/>
    <w:rsid w:val="003C5BCE"/>
    <w:rsid w:val="003F26B0"/>
    <w:rsid w:val="00416F84"/>
    <w:rsid w:val="0042497F"/>
    <w:rsid w:val="00470810"/>
    <w:rsid w:val="004A356B"/>
    <w:rsid w:val="004C01CE"/>
    <w:rsid w:val="00505F3C"/>
    <w:rsid w:val="00543F6F"/>
    <w:rsid w:val="005A3F2C"/>
    <w:rsid w:val="005D7117"/>
    <w:rsid w:val="00637020"/>
    <w:rsid w:val="006F3F7B"/>
    <w:rsid w:val="00793C8E"/>
    <w:rsid w:val="007C1A65"/>
    <w:rsid w:val="007F632D"/>
    <w:rsid w:val="007F6A39"/>
    <w:rsid w:val="008830A7"/>
    <w:rsid w:val="008A3EE5"/>
    <w:rsid w:val="008E4E08"/>
    <w:rsid w:val="008F1E2F"/>
    <w:rsid w:val="00957F0A"/>
    <w:rsid w:val="00997C0E"/>
    <w:rsid w:val="00A877E6"/>
    <w:rsid w:val="00AB3A2C"/>
    <w:rsid w:val="00AD03AA"/>
    <w:rsid w:val="00B20189"/>
    <w:rsid w:val="00B54DCC"/>
    <w:rsid w:val="00B775A1"/>
    <w:rsid w:val="00BA33E1"/>
    <w:rsid w:val="00BB7105"/>
    <w:rsid w:val="00BE6214"/>
    <w:rsid w:val="00BF1A90"/>
    <w:rsid w:val="00C53500"/>
    <w:rsid w:val="00C70FF5"/>
    <w:rsid w:val="00D23A48"/>
    <w:rsid w:val="00E23DED"/>
    <w:rsid w:val="00E43BA7"/>
    <w:rsid w:val="00E63CC0"/>
    <w:rsid w:val="00EB06B6"/>
    <w:rsid w:val="00EC434B"/>
    <w:rsid w:val="00EE40E3"/>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63E5"/>
  <w15:chartTrackingRefBased/>
  <w15:docId w15:val="{CA3ACBD5-0EFD-49B6-956C-7D0532FF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A1"/>
    <w:rPr>
      <w:kern w:val="2"/>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B775A1"/>
    <w:pPr>
      <w:ind w:left="720"/>
      <w:contextualSpacing/>
    </w:pPr>
  </w:style>
  <w:style w:type="paragraph" w:styleId="Textonotapie">
    <w:name w:val="footnote text"/>
    <w:basedOn w:val="Normal"/>
    <w:link w:val="TextonotapieCar"/>
    <w:uiPriority w:val="99"/>
    <w:semiHidden/>
    <w:unhideWhenUsed/>
    <w:rsid w:val="00B775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75A1"/>
    <w:rPr>
      <w:kern w:val="2"/>
      <w:sz w:val="20"/>
      <w:szCs w:val="20"/>
      <w14:ligatures w14:val="standardContextual"/>
    </w:rPr>
  </w:style>
  <w:style w:type="character" w:styleId="Refdenotaalpie">
    <w:name w:val="footnote reference"/>
    <w:basedOn w:val="Fuentedeprrafopredeter"/>
    <w:uiPriority w:val="99"/>
    <w:semiHidden/>
    <w:unhideWhenUsed/>
    <w:rsid w:val="00B775A1"/>
    <w:rPr>
      <w:vertAlign w:val="superscript"/>
    </w:rPr>
  </w:style>
  <w:style w:type="paragraph" w:customStyle="1" w:styleId="Default">
    <w:name w:val="Default"/>
    <w:rsid w:val="00B775A1"/>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t\OneDrive\Escritorio\Oficina%20GHA\GHA\Membrete\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Benitez Freyre</dc:creator>
  <cp:keywords/>
  <dc:description/>
  <cp:lastModifiedBy>Diana Carolina Benitez Freyre</cp:lastModifiedBy>
  <cp:revision>2</cp:revision>
  <dcterms:created xsi:type="dcterms:W3CDTF">2024-11-21T21:20:00Z</dcterms:created>
  <dcterms:modified xsi:type="dcterms:W3CDTF">2024-11-21T21:29:00Z</dcterms:modified>
</cp:coreProperties>
</file>