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6A92" w14:textId="77777777" w:rsidR="00216403" w:rsidRPr="00216403" w:rsidRDefault="00216403" w:rsidP="00216403">
      <w:pPr>
        <w:jc w:val="both"/>
        <w:rPr>
          <w:rFonts w:asciiTheme="minorHAnsi" w:hAnsiTheme="minorHAnsi" w:cstheme="minorHAnsi"/>
        </w:rPr>
      </w:pPr>
    </w:p>
    <w:tbl>
      <w:tblPr>
        <w:tblW w:w="9380" w:type="dxa"/>
        <w:tblInd w:w="-3" w:type="dxa"/>
        <w:tblCellMar>
          <w:left w:w="0" w:type="dxa"/>
          <w:right w:w="0" w:type="dxa"/>
        </w:tblCellMar>
        <w:tblLook w:val="04A0" w:firstRow="1" w:lastRow="0" w:firstColumn="1" w:lastColumn="0" w:noHBand="0" w:noVBand="1"/>
      </w:tblPr>
      <w:tblGrid>
        <w:gridCol w:w="4104"/>
        <w:gridCol w:w="5276"/>
      </w:tblGrid>
      <w:tr w:rsidR="00216403" w:rsidRPr="00216403" w14:paraId="36E0F564" w14:textId="77777777" w:rsidTr="001D741A">
        <w:trPr>
          <w:trHeight w:val="300"/>
        </w:trPr>
        <w:tc>
          <w:tcPr>
            <w:tcW w:w="41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A3B36CF"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RADICADO INTERNO GERENCIA JURIDICA</w:t>
            </w:r>
          </w:p>
        </w:tc>
        <w:tc>
          <w:tcPr>
            <w:tcW w:w="527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724E1D53" w14:textId="77777777" w:rsidR="001D741A" w:rsidRPr="001D741A" w:rsidRDefault="001D741A" w:rsidP="001D741A">
            <w:pPr>
              <w:pStyle w:val="Ttulo3"/>
              <w:shd w:val="clear" w:color="auto" w:fill="EFF2F3"/>
              <w:spacing w:before="0" w:line="525" w:lineRule="atLeast"/>
              <w:rPr>
                <w:rFonts w:ascii="Calibri" w:eastAsiaTheme="minorHAnsi" w:hAnsi="Calibri" w:cs="Times New Roman"/>
                <w:color w:val="auto"/>
                <w:sz w:val="22"/>
                <w:szCs w:val="22"/>
              </w:rPr>
            </w:pPr>
            <w:r w:rsidRPr="001D741A">
              <w:rPr>
                <w:rFonts w:ascii="Calibri" w:eastAsiaTheme="minorHAnsi" w:hAnsi="Calibri" w:cs="Times New Roman"/>
                <w:color w:val="auto"/>
                <w:sz w:val="22"/>
                <w:szCs w:val="22"/>
              </w:rPr>
              <w:t>CAL50723</w:t>
            </w:r>
          </w:p>
          <w:p w14:paraId="0CB27FE4" w14:textId="77777777" w:rsidR="00216403" w:rsidRPr="001D741A" w:rsidRDefault="00216403" w:rsidP="00FC2407">
            <w:pPr>
              <w:jc w:val="both"/>
              <w:rPr>
                <w:rFonts w:asciiTheme="minorHAnsi" w:hAnsiTheme="minorHAnsi" w:cstheme="minorHAnsi"/>
                <w:color w:val="000000"/>
                <w:lang w:eastAsia="es-CO"/>
              </w:rPr>
            </w:pPr>
          </w:p>
        </w:tc>
      </w:tr>
      <w:tr w:rsidR="00216403" w:rsidRPr="00216403" w14:paraId="607B6208" w14:textId="77777777" w:rsidTr="00884AEB">
        <w:trPr>
          <w:trHeight w:val="375"/>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32D391"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RADICADO JUDICIAL</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0BEB6481" w14:textId="46AE4C72" w:rsidR="00216403" w:rsidRPr="00216403" w:rsidRDefault="00340782" w:rsidP="00216403">
            <w:pPr>
              <w:jc w:val="both"/>
              <w:rPr>
                <w:rFonts w:asciiTheme="minorHAnsi" w:hAnsiTheme="minorHAnsi" w:cstheme="minorHAnsi"/>
                <w:color w:val="000000"/>
                <w:lang w:eastAsia="es-CO"/>
              </w:rPr>
            </w:pPr>
            <w:r w:rsidRPr="00340782">
              <w:t>76001333300720220024900</w:t>
            </w:r>
          </w:p>
        </w:tc>
      </w:tr>
      <w:tr w:rsidR="00216403" w:rsidRPr="00216403" w14:paraId="4316D0C9" w14:textId="77777777" w:rsidTr="00884AEB">
        <w:trPr>
          <w:trHeight w:val="30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6CBD72"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DESPACHO</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7EACB7DF" w14:textId="46C059B2" w:rsidR="00216403" w:rsidRPr="00216403" w:rsidRDefault="00FC2407" w:rsidP="00216403">
            <w:pPr>
              <w:jc w:val="both"/>
              <w:rPr>
                <w:rFonts w:asciiTheme="minorHAnsi" w:hAnsiTheme="minorHAnsi" w:cstheme="minorHAnsi"/>
                <w:color w:val="000000"/>
                <w:lang w:eastAsia="es-CO"/>
              </w:rPr>
            </w:pPr>
            <w:r>
              <w:rPr>
                <w:rFonts w:asciiTheme="minorHAnsi" w:hAnsiTheme="minorHAnsi" w:cstheme="minorHAnsi"/>
                <w:color w:val="000000"/>
                <w:lang w:eastAsia="es-CO"/>
              </w:rPr>
              <w:t xml:space="preserve">Juzgado </w:t>
            </w:r>
            <w:r w:rsidR="00340782">
              <w:rPr>
                <w:rFonts w:asciiTheme="minorHAnsi" w:hAnsiTheme="minorHAnsi" w:cstheme="minorHAnsi"/>
                <w:color w:val="000000"/>
                <w:lang w:eastAsia="es-CO"/>
              </w:rPr>
              <w:t>7 Administrativo de Cali</w:t>
            </w:r>
          </w:p>
        </w:tc>
      </w:tr>
      <w:tr w:rsidR="00216403" w:rsidRPr="00216403" w14:paraId="1BD48294" w14:textId="77777777" w:rsidTr="00884AEB">
        <w:trPr>
          <w:trHeight w:val="30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5482B7"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CLASE DE PROCESO</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0E277C34" w14:textId="5140B627" w:rsidR="00216403" w:rsidRPr="00216403" w:rsidRDefault="00340782" w:rsidP="00216403">
            <w:pPr>
              <w:jc w:val="both"/>
              <w:rPr>
                <w:rFonts w:asciiTheme="minorHAnsi" w:hAnsiTheme="minorHAnsi" w:cstheme="minorHAnsi"/>
                <w:color w:val="000000"/>
                <w:lang w:eastAsia="es-CO"/>
              </w:rPr>
            </w:pPr>
            <w:r>
              <w:rPr>
                <w:rFonts w:asciiTheme="minorHAnsi" w:hAnsiTheme="minorHAnsi" w:cstheme="minorHAnsi"/>
                <w:color w:val="000000"/>
                <w:lang w:eastAsia="es-CO"/>
              </w:rPr>
              <w:t>Reparación directa</w:t>
            </w:r>
          </w:p>
        </w:tc>
      </w:tr>
      <w:tr w:rsidR="00216403" w:rsidRPr="00216403" w14:paraId="09E6CA5A" w14:textId="77777777" w:rsidTr="00884AEB">
        <w:trPr>
          <w:trHeight w:val="30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A21745" w14:textId="77777777" w:rsidR="00216403" w:rsidRPr="00216403" w:rsidRDefault="00216403" w:rsidP="00216403">
            <w:pPr>
              <w:jc w:val="both"/>
              <w:rPr>
                <w:rFonts w:asciiTheme="minorHAnsi" w:hAnsiTheme="minorHAnsi" w:cstheme="minorHAnsi"/>
              </w:rPr>
            </w:pPr>
            <w:r w:rsidRPr="00216403">
              <w:rPr>
                <w:rFonts w:asciiTheme="minorHAnsi" w:hAnsiTheme="minorHAnsi" w:cstheme="minorHAnsi"/>
                <w:b/>
                <w:bCs/>
                <w:color w:val="000000"/>
                <w:lang w:eastAsia="es-CO"/>
              </w:rPr>
              <w:t>DEMANDANTE</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5F63920C" w14:textId="292C8D6B" w:rsidR="00216403" w:rsidRPr="00216403" w:rsidRDefault="00340782" w:rsidP="00FC2407">
            <w:pPr>
              <w:ind w:right="-20"/>
              <w:jc w:val="both"/>
              <w:rPr>
                <w:rFonts w:asciiTheme="minorHAnsi" w:hAnsiTheme="minorHAnsi" w:cstheme="minorHAnsi"/>
              </w:rPr>
            </w:pPr>
            <w:r>
              <w:rPr>
                <w:rFonts w:ascii="Open Sans" w:hAnsi="Open Sans" w:cs="Open Sans"/>
                <w:color w:val="5A6573"/>
                <w:spacing w:val="2"/>
                <w:sz w:val="18"/>
                <w:szCs w:val="18"/>
                <w:shd w:val="clear" w:color="auto" w:fill="F8F9FA"/>
              </w:rPr>
              <w:t>ABDON SANCHEZ RODRIGUEZ</w:t>
            </w:r>
          </w:p>
        </w:tc>
      </w:tr>
      <w:tr w:rsidR="00216403" w:rsidRPr="00216403" w14:paraId="5E68DB83" w14:textId="77777777" w:rsidTr="00884AEB">
        <w:trPr>
          <w:trHeight w:val="30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5ED9910"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DEMANDADOS</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3715E7C2" w14:textId="53B19CD5" w:rsidR="00216403" w:rsidRPr="00FC2407" w:rsidRDefault="00340782" w:rsidP="00FC2407">
            <w:pPr>
              <w:ind w:right="-20"/>
              <w:jc w:val="both"/>
              <w:rPr>
                <w:rFonts w:asciiTheme="minorHAnsi" w:eastAsia="Calibri" w:hAnsiTheme="minorHAnsi" w:cstheme="minorHAnsi"/>
              </w:rPr>
            </w:pPr>
            <w:r>
              <w:rPr>
                <w:rFonts w:ascii="Open Sans" w:hAnsi="Open Sans" w:cs="Open Sans"/>
                <w:color w:val="5A6573"/>
                <w:spacing w:val="2"/>
                <w:sz w:val="18"/>
                <w:szCs w:val="18"/>
                <w:shd w:val="clear" w:color="auto" w:fill="F8F9FA"/>
              </w:rPr>
              <w:t>DISTRITO ESPECIAL DE SANTIAGO DE CALI</w:t>
            </w:r>
          </w:p>
        </w:tc>
      </w:tr>
      <w:tr w:rsidR="00216403" w:rsidRPr="00216403" w14:paraId="12E5439D" w14:textId="77777777" w:rsidTr="00884AEB">
        <w:trPr>
          <w:trHeight w:val="432"/>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BA08DA"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TIPO DE VINCULACION ASEGURADORA</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36F29259" w14:textId="724C1EED" w:rsidR="00216403" w:rsidRPr="00216403" w:rsidRDefault="00340782" w:rsidP="00216403">
            <w:pPr>
              <w:jc w:val="both"/>
              <w:rPr>
                <w:rFonts w:asciiTheme="minorHAnsi" w:hAnsiTheme="minorHAnsi" w:cstheme="minorHAnsi"/>
                <w:color w:val="000000"/>
                <w:lang w:eastAsia="es-CO"/>
              </w:rPr>
            </w:pPr>
            <w:r>
              <w:rPr>
                <w:rFonts w:asciiTheme="minorHAnsi" w:hAnsiTheme="minorHAnsi" w:cstheme="minorHAnsi"/>
                <w:color w:val="000000"/>
                <w:lang w:eastAsia="es-CO"/>
              </w:rPr>
              <w:t>Llamados en garantía</w:t>
            </w:r>
          </w:p>
        </w:tc>
      </w:tr>
      <w:tr w:rsidR="00216403" w:rsidRPr="00216403" w14:paraId="6BED3802" w14:textId="77777777" w:rsidTr="00884AEB">
        <w:trPr>
          <w:trHeight w:val="30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5FAB5E"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FECHA DEL SINIESTRO</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713DD3A4" w14:textId="59B1D577" w:rsidR="00216403" w:rsidRPr="00216403" w:rsidRDefault="00340782" w:rsidP="00FC2407">
            <w:pPr>
              <w:jc w:val="both"/>
              <w:rPr>
                <w:rFonts w:asciiTheme="minorHAnsi" w:hAnsiTheme="minorHAnsi" w:cstheme="minorHAnsi"/>
                <w:color w:val="000000"/>
                <w:lang w:eastAsia="es-CO"/>
              </w:rPr>
            </w:pPr>
            <w:r>
              <w:rPr>
                <w:rFonts w:asciiTheme="minorHAnsi" w:hAnsiTheme="minorHAnsi" w:cstheme="minorHAnsi"/>
              </w:rPr>
              <w:t>02 de agosto de 2020</w:t>
            </w:r>
          </w:p>
        </w:tc>
      </w:tr>
      <w:tr w:rsidR="00216403" w:rsidRPr="00216403" w14:paraId="143C1A39" w14:textId="77777777" w:rsidTr="00884AEB">
        <w:trPr>
          <w:trHeight w:val="735"/>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8A8F81"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HECHOS</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68FB8577" w14:textId="3F9CC9A6" w:rsidR="00216403" w:rsidRPr="00216403" w:rsidRDefault="00340782" w:rsidP="00FC2407">
            <w:pPr>
              <w:jc w:val="both"/>
              <w:rPr>
                <w:rFonts w:asciiTheme="minorHAnsi" w:hAnsiTheme="minorHAnsi" w:cstheme="minorHAnsi"/>
                <w:color w:val="000000"/>
                <w:lang w:eastAsia="es-CO"/>
              </w:rPr>
            </w:pPr>
            <w:r w:rsidRPr="00340782">
              <w:rPr>
                <w:rFonts w:asciiTheme="minorHAnsi" w:hAnsiTheme="minorHAnsi" w:cstheme="minorHAnsi"/>
                <w:color w:val="000000"/>
                <w:lang w:eastAsia="es-CO"/>
              </w:rPr>
              <w:t>De conformidad con los hechos de la demanda el 2 de agosto de 2020 el señor ANDRES FELIPE SANCHEZ MANZO se movilizó a bordo de la motocicleta de placas EIF-24F a la altura de la Diagonal 23 con calle 13B de la ciudad de Cali, hecho posterior sufrió una caída debido a unos restos de “taches” y a un presunto mal estado de la vía. La parte actora manifestó que debido a dicho accidente se presentó el fallecimiento del señor ANDRES SANCHEZ, debido a la gravedad de las heridas, además, indicó la responsabilidad del Municipio de Santiago de Cali al presuntamente omitir de forma efectiva la opta funcionalidad de las vías, además de la conservación y el sostenimiento de las vías públicas.</w:t>
            </w:r>
          </w:p>
        </w:tc>
      </w:tr>
      <w:tr w:rsidR="00216403" w:rsidRPr="00216403" w14:paraId="1261AB6A" w14:textId="77777777" w:rsidTr="00340782">
        <w:trPr>
          <w:trHeight w:val="1373"/>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C6B713"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PRETENSIONES (calificadas por concepto y cuantía Según el tipo de Demanda)</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7A9A7404" w14:textId="30FA930B" w:rsidR="00216403" w:rsidRPr="00FC2407" w:rsidRDefault="00340782" w:rsidP="00FC2407">
            <w:pPr>
              <w:ind w:right="-2"/>
              <w:jc w:val="both"/>
              <w:rPr>
                <w:rFonts w:asciiTheme="minorHAnsi" w:eastAsia="Calibri" w:hAnsiTheme="minorHAnsi" w:cstheme="minorHAnsi"/>
              </w:rPr>
            </w:pPr>
            <w:r>
              <w:rPr>
                <w:rFonts w:asciiTheme="minorHAnsi" w:eastAsia="Times New Roman" w:hAnsiTheme="minorHAnsi" w:cstheme="minorHAnsi"/>
                <w:bCs/>
              </w:rPr>
              <w:t xml:space="preserve">$1.669.805.159, </w:t>
            </w:r>
            <w:r w:rsidRPr="00340782">
              <w:rPr>
                <w:rFonts w:asciiTheme="minorHAnsi" w:eastAsia="Times New Roman" w:hAnsiTheme="minorHAnsi" w:cstheme="minorHAnsi"/>
                <w:bCs/>
              </w:rPr>
              <w:t>Las pretensiones de la demanda van encaminadas al reconocimiento de 550 SMLMV por concepto de perjuicios morales, 1.031.805.159 por concepto de lucro cesante y el pago de costas y agencias en derecho.</w:t>
            </w:r>
          </w:p>
        </w:tc>
      </w:tr>
      <w:tr w:rsidR="00216403" w:rsidRPr="00216403" w14:paraId="526B0B0F" w14:textId="77777777" w:rsidTr="00884AEB">
        <w:trPr>
          <w:trHeight w:val="60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F9B73B"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ENUMERAR LAS EXCEPCIONES PROPUESTAS - DEFENSA</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51F73557" w14:textId="77777777" w:rsidR="00DB7866" w:rsidRPr="00CC15D7" w:rsidRDefault="00DB7866" w:rsidP="00DB7866">
            <w:pPr>
              <w:jc w:val="both"/>
              <w:rPr>
                <w:rFonts w:asciiTheme="minorHAnsi" w:hAnsiTheme="minorHAnsi" w:cstheme="minorHAnsi"/>
                <w:b/>
                <w:u w:val="single"/>
              </w:rPr>
            </w:pPr>
            <w:r w:rsidRPr="00CC15D7">
              <w:rPr>
                <w:rFonts w:asciiTheme="minorHAnsi" w:hAnsiTheme="minorHAnsi" w:cstheme="minorHAnsi"/>
                <w:b/>
                <w:u w:val="single"/>
              </w:rPr>
              <w:t xml:space="preserve">Excepciones frente a la demanda: </w:t>
            </w:r>
          </w:p>
          <w:p w14:paraId="2D4924D8" w14:textId="68A43FAF" w:rsidR="006D6540" w:rsidRDefault="00340782" w:rsidP="00340782">
            <w:pPr>
              <w:pStyle w:val="Prrafodelista"/>
              <w:numPr>
                <w:ilvl w:val="0"/>
                <w:numId w:val="12"/>
              </w:numPr>
              <w:spacing w:after="160"/>
              <w:jc w:val="both"/>
              <w:rPr>
                <w:rFonts w:asciiTheme="minorHAnsi" w:hAnsiTheme="minorHAnsi" w:cstheme="minorHAnsi"/>
              </w:rPr>
            </w:pPr>
            <w:r>
              <w:rPr>
                <w:rFonts w:asciiTheme="minorHAnsi" w:hAnsiTheme="minorHAnsi" w:cstheme="minorHAnsi"/>
              </w:rPr>
              <w:t>Inexistencia de pruebas que brinden certeza sobre las circunstancias de tiempo, modo y lugar en que ocurrió el accidente – la parte actora no aportó pruebas que soporten la presunta falla del servicio del distrito especial de Santiago de Cali.</w:t>
            </w:r>
          </w:p>
          <w:p w14:paraId="362DDD6A" w14:textId="05C947A2" w:rsidR="00340782" w:rsidRDefault="00340782" w:rsidP="00340782">
            <w:pPr>
              <w:pStyle w:val="Prrafodelista"/>
              <w:numPr>
                <w:ilvl w:val="0"/>
                <w:numId w:val="12"/>
              </w:numPr>
              <w:spacing w:after="160"/>
              <w:jc w:val="both"/>
              <w:rPr>
                <w:rFonts w:asciiTheme="minorHAnsi" w:hAnsiTheme="minorHAnsi" w:cstheme="minorHAnsi"/>
              </w:rPr>
            </w:pPr>
            <w:r>
              <w:rPr>
                <w:rFonts w:asciiTheme="minorHAnsi" w:hAnsiTheme="minorHAnsi" w:cstheme="minorHAnsi"/>
              </w:rPr>
              <w:t>Inexistencia del nexo de causalidad por encontrarse probado la culpa exclusiva de la víctima en el resultado dañoso como causal eximente de responsabilidad del distrito especial de Santiago de Cali.</w:t>
            </w:r>
          </w:p>
          <w:p w14:paraId="4179C5CA" w14:textId="77777777" w:rsidR="00340782" w:rsidRDefault="00340782" w:rsidP="00340782">
            <w:pPr>
              <w:pStyle w:val="Prrafodelista"/>
              <w:numPr>
                <w:ilvl w:val="0"/>
                <w:numId w:val="12"/>
              </w:numPr>
              <w:spacing w:after="160"/>
              <w:jc w:val="both"/>
              <w:rPr>
                <w:rFonts w:asciiTheme="minorHAnsi" w:hAnsiTheme="minorHAnsi" w:cstheme="minorHAnsi"/>
              </w:rPr>
            </w:pPr>
            <w:r>
              <w:rPr>
                <w:rFonts w:asciiTheme="minorHAnsi" w:hAnsiTheme="minorHAnsi" w:cstheme="minorHAnsi"/>
              </w:rPr>
              <w:t xml:space="preserve">Ausencia de prueba de los perjuicios patrimoniales y extrapatrimoniales y exagerada tasación de </w:t>
            </w:r>
            <w:proofErr w:type="gramStart"/>
            <w:r>
              <w:rPr>
                <w:rFonts w:asciiTheme="minorHAnsi" w:hAnsiTheme="minorHAnsi" w:cstheme="minorHAnsi"/>
              </w:rPr>
              <w:t>los mismos</w:t>
            </w:r>
            <w:proofErr w:type="gramEnd"/>
            <w:r>
              <w:rPr>
                <w:rFonts w:asciiTheme="minorHAnsi" w:hAnsiTheme="minorHAnsi" w:cstheme="minorHAnsi"/>
              </w:rPr>
              <w:t>.</w:t>
            </w:r>
          </w:p>
          <w:p w14:paraId="008299F3" w14:textId="77777777" w:rsidR="00340782" w:rsidRDefault="00340782" w:rsidP="00340782">
            <w:pPr>
              <w:pStyle w:val="Prrafodelista"/>
              <w:numPr>
                <w:ilvl w:val="0"/>
                <w:numId w:val="12"/>
              </w:numPr>
              <w:spacing w:after="160"/>
              <w:jc w:val="both"/>
              <w:rPr>
                <w:rFonts w:asciiTheme="minorHAnsi" w:hAnsiTheme="minorHAnsi" w:cstheme="minorHAnsi"/>
              </w:rPr>
            </w:pPr>
            <w:r>
              <w:rPr>
                <w:rFonts w:asciiTheme="minorHAnsi" w:hAnsiTheme="minorHAnsi" w:cstheme="minorHAnsi"/>
              </w:rPr>
              <w:t>Imposibilidad de afectar la póliza de responsabilidad civil extracontractual No. 420-80-</w:t>
            </w:r>
            <w:r>
              <w:rPr>
                <w:rFonts w:asciiTheme="minorHAnsi" w:hAnsiTheme="minorHAnsi" w:cstheme="minorHAnsi"/>
              </w:rPr>
              <w:lastRenderedPageBreak/>
              <w:t>9940000000109 por cuanto no ofrece cobertura temporal.</w:t>
            </w:r>
          </w:p>
          <w:p w14:paraId="0412C420" w14:textId="77777777" w:rsidR="00340782" w:rsidRDefault="00340782" w:rsidP="00340782">
            <w:pPr>
              <w:pStyle w:val="Prrafodelista"/>
              <w:numPr>
                <w:ilvl w:val="0"/>
                <w:numId w:val="12"/>
              </w:numPr>
              <w:spacing w:after="160"/>
              <w:jc w:val="both"/>
              <w:rPr>
                <w:rFonts w:asciiTheme="minorHAnsi" w:hAnsiTheme="minorHAnsi" w:cstheme="minorHAnsi"/>
              </w:rPr>
            </w:pPr>
            <w:r>
              <w:rPr>
                <w:rFonts w:asciiTheme="minorHAnsi" w:hAnsiTheme="minorHAnsi" w:cstheme="minorHAnsi"/>
              </w:rPr>
              <w:t>No se ha realizado el riesgo asegurado en las pólizas de responsabilidad civil extracontractual No. 420-80-9940000000109 y No. 420-80-9940000000181 en tanto no hay responsabilidad del asegurado en los hechos materia de debate.</w:t>
            </w:r>
          </w:p>
          <w:p w14:paraId="18552192" w14:textId="77777777" w:rsidR="00340782" w:rsidRDefault="00340782" w:rsidP="00340782">
            <w:pPr>
              <w:pStyle w:val="Prrafodelista"/>
              <w:numPr>
                <w:ilvl w:val="0"/>
                <w:numId w:val="12"/>
              </w:numPr>
              <w:spacing w:after="160"/>
              <w:jc w:val="both"/>
              <w:rPr>
                <w:rFonts w:asciiTheme="minorHAnsi" w:hAnsiTheme="minorHAnsi" w:cstheme="minorHAnsi"/>
              </w:rPr>
            </w:pPr>
            <w:r>
              <w:rPr>
                <w:rFonts w:asciiTheme="minorHAnsi" w:hAnsiTheme="minorHAnsi" w:cstheme="minorHAnsi"/>
              </w:rPr>
              <w:t xml:space="preserve">La obligación de la aseguradora Solidaria de Colombia </w:t>
            </w:r>
            <w:proofErr w:type="gramStart"/>
            <w:r>
              <w:rPr>
                <w:rFonts w:asciiTheme="minorHAnsi" w:hAnsiTheme="minorHAnsi" w:cstheme="minorHAnsi"/>
              </w:rPr>
              <w:t>EC,</w:t>
            </w:r>
            <w:proofErr w:type="gramEnd"/>
            <w:r>
              <w:rPr>
                <w:rFonts w:asciiTheme="minorHAnsi" w:hAnsiTheme="minorHAnsi" w:cstheme="minorHAnsi"/>
              </w:rPr>
              <w:t xml:space="preserve"> se circunscribe al porcentaje de participación pactado en las pólizas No. 420-80-994000000109 y No. 420-80-9940000000181, teniendo en cuenta el coaseguro y la inexistencia de solidaridad entre las coaseguradoras.</w:t>
            </w:r>
          </w:p>
          <w:p w14:paraId="194902BE" w14:textId="77777777" w:rsidR="00340782" w:rsidRDefault="00340782" w:rsidP="00340782">
            <w:pPr>
              <w:pStyle w:val="Prrafodelista"/>
              <w:numPr>
                <w:ilvl w:val="0"/>
                <w:numId w:val="12"/>
              </w:numPr>
              <w:spacing w:after="160"/>
              <w:jc w:val="both"/>
              <w:rPr>
                <w:rFonts w:asciiTheme="minorHAnsi" w:hAnsiTheme="minorHAnsi" w:cstheme="minorHAnsi"/>
              </w:rPr>
            </w:pPr>
            <w:r>
              <w:rPr>
                <w:rFonts w:asciiTheme="minorHAnsi" w:hAnsiTheme="minorHAnsi" w:cstheme="minorHAnsi"/>
              </w:rPr>
              <w:t>Existencia de un límite máximo de responsabilidad sujeto a la disponibilidad del valor asegurado en las pólizas de responsabilidad civil extracontractual No. 420-80-9940000000109 y No. 420-9940000000181.</w:t>
            </w:r>
          </w:p>
          <w:p w14:paraId="7958C28C" w14:textId="77777777" w:rsidR="001D741A" w:rsidRDefault="001D741A" w:rsidP="00340782">
            <w:pPr>
              <w:pStyle w:val="Prrafodelista"/>
              <w:numPr>
                <w:ilvl w:val="0"/>
                <w:numId w:val="12"/>
              </w:numPr>
              <w:spacing w:after="160"/>
              <w:jc w:val="both"/>
              <w:rPr>
                <w:rFonts w:asciiTheme="minorHAnsi" w:hAnsiTheme="minorHAnsi" w:cstheme="minorHAnsi"/>
              </w:rPr>
            </w:pPr>
            <w:r>
              <w:rPr>
                <w:rFonts w:asciiTheme="minorHAnsi" w:hAnsiTheme="minorHAnsi" w:cstheme="minorHAnsi"/>
              </w:rPr>
              <w:t>Existencia de causales de exclusión de cobertura de la póliza No. 420-80-9940000000109 y 420-80-9940000000181.</w:t>
            </w:r>
          </w:p>
          <w:p w14:paraId="6326612E" w14:textId="26FC162C" w:rsidR="00216403" w:rsidRPr="001D741A" w:rsidRDefault="001D741A" w:rsidP="001D741A">
            <w:pPr>
              <w:pStyle w:val="Prrafodelista"/>
              <w:numPr>
                <w:ilvl w:val="0"/>
                <w:numId w:val="12"/>
              </w:numPr>
              <w:spacing w:after="160"/>
              <w:jc w:val="both"/>
              <w:rPr>
                <w:rFonts w:asciiTheme="minorHAnsi" w:hAnsiTheme="minorHAnsi" w:cstheme="minorHAnsi"/>
              </w:rPr>
            </w:pPr>
            <w:r>
              <w:rPr>
                <w:rFonts w:asciiTheme="minorHAnsi" w:hAnsiTheme="minorHAnsi" w:cstheme="minorHAnsi"/>
              </w:rPr>
              <w:t>Inexistencia de solidaridad entre el Distrito Especial de Santiago de Cali como asegurado y la aseguradora, respecto de las pólizas de seguro de responsabilidad civil extracontractual No. 420-80-9940000000109 y 420-80-9940000000181.</w:t>
            </w:r>
            <w:r w:rsidR="006D6540" w:rsidRPr="001D741A">
              <w:rPr>
                <w:rFonts w:asciiTheme="minorHAnsi" w:hAnsiTheme="minorHAnsi" w:cstheme="minorHAnsi"/>
              </w:rPr>
              <w:t xml:space="preserve"> </w:t>
            </w:r>
          </w:p>
        </w:tc>
      </w:tr>
      <w:tr w:rsidR="00216403" w:rsidRPr="00216403" w14:paraId="2D84260E" w14:textId="77777777" w:rsidTr="00884AEB">
        <w:trPr>
          <w:trHeight w:val="210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94271F"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lastRenderedPageBreak/>
              <w:t>POLIZA VINCULADA</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21ADC6F3" w14:textId="31F9F87E" w:rsidR="00216403" w:rsidRPr="00216403" w:rsidRDefault="00216403" w:rsidP="00216403">
            <w:pPr>
              <w:jc w:val="both"/>
              <w:rPr>
                <w:rFonts w:asciiTheme="minorHAnsi" w:hAnsiTheme="minorHAnsi" w:cstheme="minorHAnsi"/>
                <w:color w:val="000000"/>
                <w:lang w:eastAsia="es-CO"/>
              </w:rPr>
            </w:pPr>
            <w:r w:rsidRPr="00216403">
              <w:rPr>
                <w:rFonts w:asciiTheme="minorHAnsi" w:hAnsiTheme="minorHAnsi" w:cstheme="minorHAnsi"/>
                <w:color w:val="000000"/>
                <w:lang w:eastAsia="es-CO"/>
              </w:rPr>
              <w:t>No.:</w:t>
            </w:r>
            <w:r w:rsidR="001D741A">
              <w:t xml:space="preserve"> </w:t>
            </w:r>
            <w:r w:rsidR="001D741A" w:rsidRPr="001D741A">
              <w:rPr>
                <w:rFonts w:asciiTheme="minorHAnsi" w:hAnsiTheme="minorHAnsi" w:cstheme="minorHAnsi"/>
                <w:color w:val="000000"/>
                <w:lang w:eastAsia="es-CO"/>
              </w:rPr>
              <w:t>42080994000000181</w:t>
            </w:r>
          </w:p>
          <w:p w14:paraId="22B62754" w14:textId="062C066D" w:rsidR="00216403" w:rsidRPr="00216403" w:rsidRDefault="00FC2407" w:rsidP="00216403">
            <w:pPr>
              <w:jc w:val="both"/>
              <w:rPr>
                <w:rFonts w:asciiTheme="minorHAnsi" w:hAnsiTheme="minorHAnsi" w:cstheme="minorHAnsi"/>
                <w:color w:val="000000"/>
                <w:lang w:eastAsia="es-CO"/>
              </w:rPr>
            </w:pPr>
            <w:proofErr w:type="spellStart"/>
            <w:proofErr w:type="gramStart"/>
            <w:r>
              <w:rPr>
                <w:rFonts w:asciiTheme="minorHAnsi" w:hAnsiTheme="minorHAnsi" w:cstheme="minorHAnsi"/>
                <w:color w:val="000000"/>
                <w:lang w:eastAsia="es-CO"/>
              </w:rPr>
              <w:t>Ramo:</w:t>
            </w:r>
            <w:r w:rsidR="001D741A">
              <w:rPr>
                <w:rFonts w:asciiTheme="minorHAnsi" w:hAnsiTheme="minorHAnsi" w:cstheme="minorHAnsi"/>
                <w:color w:val="000000"/>
                <w:lang w:eastAsia="es-CO"/>
              </w:rPr>
              <w:t>RCE</w:t>
            </w:r>
            <w:proofErr w:type="spellEnd"/>
            <w:proofErr w:type="gramEnd"/>
          </w:p>
          <w:p w14:paraId="410F8D32" w14:textId="10209934" w:rsidR="00216403" w:rsidRPr="00216403" w:rsidRDefault="00216403" w:rsidP="00216403">
            <w:pPr>
              <w:jc w:val="both"/>
              <w:rPr>
                <w:rFonts w:asciiTheme="minorHAnsi" w:hAnsiTheme="minorHAnsi" w:cstheme="minorHAnsi"/>
                <w:color w:val="000000"/>
                <w:lang w:eastAsia="es-CO"/>
              </w:rPr>
            </w:pPr>
            <w:proofErr w:type="gramStart"/>
            <w:r w:rsidRPr="00216403">
              <w:rPr>
                <w:rFonts w:asciiTheme="minorHAnsi" w:hAnsiTheme="minorHAnsi" w:cstheme="minorHAnsi"/>
                <w:color w:val="000000"/>
                <w:lang w:eastAsia="es-CO"/>
              </w:rPr>
              <w:t>Amparo a afectar</w:t>
            </w:r>
            <w:proofErr w:type="gramEnd"/>
            <w:r w:rsidRPr="00216403">
              <w:rPr>
                <w:rFonts w:asciiTheme="minorHAnsi" w:hAnsiTheme="minorHAnsi" w:cstheme="minorHAnsi"/>
                <w:color w:val="000000"/>
                <w:lang w:eastAsia="es-CO"/>
              </w:rPr>
              <w:t xml:space="preserve">: </w:t>
            </w:r>
            <w:r w:rsidR="001D741A">
              <w:rPr>
                <w:rFonts w:asciiTheme="minorHAnsi" w:hAnsiTheme="minorHAnsi" w:cstheme="minorHAnsi"/>
                <w:color w:val="000000"/>
                <w:lang w:eastAsia="es-CO"/>
              </w:rPr>
              <w:t>PLO</w:t>
            </w:r>
          </w:p>
          <w:p w14:paraId="0CA87C2D" w14:textId="61EFF034" w:rsidR="00216403" w:rsidRPr="00216403" w:rsidRDefault="00216403" w:rsidP="00216403">
            <w:pPr>
              <w:jc w:val="both"/>
              <w:rPr>
                <w:rFonts w:asciiTheme="minorHAnsi" w:hAnsiTheme="minorHAnsi" w:cstheme="minorHAnsi"/>
                <w:color w:val="000000"/>
                <w:lang w:eastAsia="es-CO"/>
              </w:rPr>
            </w:pPr>
            <w:r w:rsidRPr="00216403">
              <w:rPr>
                <w:rFonts w:asciiTheme="minorHAnsi" w:hAnsiTheme="minorHAnsi" w:cstheme="minorHAnsi"/>
                <w:color w:val="000000"/>
                <w:lang w:eastAsia="es-CO"/>
              </w:rPr>
              <w:t>Valor asegurado: $</w:t>
            </w:r>
            <w:r w:rsidR="001D741A">
              <w:rPr>
                <w:rFonts w:asciiTheme="minorHAnsi" w:hAnsiTheme="minorHAnsi" w:cstheme="minorHAnsi"/>
                <w:color w:val="000000"/>
                <w:lang w:eastAsia="es-CO"/>
              </w:rPr>
              <w:t>7.000.000.000</w:t>
            </w:r>
          </w:p>
          <w:p w14:paraId="36B088FD" w14:textId="77777777" w:rsidR="00216403" w:rsidRPr="00216403" w:rsidRDefault="00216403" w:rsidP="00216403">
            <w:pPr>
              <w:jc w:val="both"/>
              <w:rPr>
                <w:rFonts w:asciiTheme="minorHAnsi" w:hAnsiTheme="minorHAnsi" w:cstheme="minorHAnsi"/>
                <w:color w:val="000000"/>
                <w:lang w:eastAsia="es-CO"/>
              </w:rPr>
            </w:pPr>
            <w:r w:rsidRPr="00216403">
              <w:rPr>
                <w:rFonts w:asciiTheme="minorHAnsi" w:hAnsiTheme="minorHAnsi" w:cstheme="minorHAnsi"/>
                <w:color w:val="000000"/>
                <w:lang w:eastAsia="es-CO"/>
              </w:rPr>
              <w:t>Placa:</w:t>
            </w:r>
            <w:r w:rsidRPr="00216403">
              <w:rPr>
                <w:rFonts w:asciiTheme="minorHAnsi" w:hAnsiTheme="minorHAnsi" w:cstheme="minorHAnsi"/>
              </w:rPr>
              <w:t xml:space="preserve"> </w:t>
            </w:r>
            <w:r w:rsidRPr="00216403">
              <w:rPr>
                <w:rFonts w:asciiTheme="minorHAnsi" w:hAnsiTheme="minorHAnsi" w:cstheme="minorHAnsi"/>
                <w:color w:val="000000"/>
                <w:lang w:eastAsia="es-CO"/>
              </w:rPr>
              <w:t>No aplica</w:t>
            </w:r>
          </w:p>
        </w:tc>
      </w:tr>
      <w:tr w:rsidR="00216403" w:rsidRPr="00216403" w14:paraId="108846F1" w14:textId="77777777" w:rsidTr="00884AEB">
        <w:trPr>
          <w:trHeight w:val="435"/>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1B4C040"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 xml:space="preserve">CALIFICACION DE LA CONTINGENCIA </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4E4036EF" w14:textId="1CA4EF52" w:rsidR="00216403" w:rsidRPr="00216403" w:rsidRDefault="00216403" w:rsidP="00216403">
            <w:pPr>
              <w:jc w:val="both"/>
              <w:rPr>
                <w:rFonts w:asciiTheme="minorHAnsi" w:hAnsiTheme="minorHAnsi" w:cstheme="minorHAnsi"/>
                <w:color w:val="000000"/>
                <w:lang w:eastAsia="es-CO"/>
              </w:rPr>
            </w:pPr>
            <w:r w:rsidRPr="00216403">
              <w:rPr>
                <w:rFonts w:asciiTheme="minorHAnsi" w:hAnsiTheme="minorHAnsi" w:cstheme="minorHAnsi"/>
                <w:color w:val="000000"/>
                <w:lang w:eastAsia="es-CO"/>
              </w:rPr>
              <w:t>Remota _</w:t>
            </w:r>
            <w:r w:rsidR="001D741A">
              <w:rPr>
                <w:rFonts w:asciiTheme="minorHAnsi" w:hAnsiTheme="minorHAnsi" w:cstheme="minorHAnsi"/>
                <w:color w:val="000000"/>
                <w:lang w:eastAsia="es-CO"/>
              </w:rPr>
              <w:t>X</w:t>
            </w:r>
            <w:r w:rsidRPr="00216403">
              <w:rPr>
                <w:rFonts w:asciiTheme="minorHAnsi" w:hAnsiTheme="minorHAnsi" w:cstheme="minorHAnsi"/>
                <w:color w:val="000000"/>
                <w:lang w:eastAsia="es-CO"/>
              </w:rPr>
              <w:t xml:space="preserve">_ Eventual </w:t>
            </w:r>
            <w:r w:rsidR="00FC2407">
              <w:rPr>
                <w:rFonts w:asciiTheme="minorHAnsi" w:hAnsiTheme="minorHAnsi" w:cstheme="minorHAnsi"/>
                <w:color w:val="000000"/>
                <w:u w:val="single"/>
                <w:lang w:eastAsia="es-CO"/>
              </w:rPr>
              <w:t>_</w:t>
            </w:r>
            <w:r w:rsidRPr="00216403">
              <w:rPr>
                <w:rFonts w:asciiTheme="minorHAnsi" w:hAnsiTheme="minorHAnsi" w:cstheme="minorHAnsi"/>
                <w:color w:val="000000"/>
                <w:u w:val="single"/>
                <w:lang w:eastAsia="es-CO"/>
              </w:rPr>
              <w:t>_</w:t>
            </w:r>
            <w:r w:rsidR="00FC2407">
              <w:rPr>
                <w:rFonts w:asciiTheme="minorHAnsi" w:hAnsiTheme="minorHAnsi" w:cstheme="minorHAnsi"/>
                <w:color w:val="000000"/>
                <w:lang w:eastAsia="es-CO"/>
              </w:rPr>
              <w:t xml:space="preserve"> Probable _</w:t>
            </w:r>
            <w:r w:rsidRPr="00216403">
              <w:rPr>
                <w:rFonts w:asciiTheme="minorHAnsi" w:hAnsiTheme="minorHAnsi" w:cstheme="minorHAnsi"/>
                <w:color w:val="000000"/>
                <w:lang w:eastAsia="es-CO"/>
              </w:rPr>
              <w:t xml:space="preserve">_ </w:t>
            </w:r>
          </w:p>
        </w:tc>
      </w:tr>
      <w:tr w:rsidR="00216403" w:rsidRPr="00216403" w14:paraId="6BDD60BF" w14:textId="77777777" w:rsidTr="00884AEB">
        <w:trPr>
          <w:trHeight w:val="84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65667"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t xml:space="preserve">CONCEPTO JURIDICO </w:t>
            </w:r>
          </w:p>
        </w:tc>
        <w:tc>
          <w:tcPr>
            <w:tcW w:w="5276" w:type="dxa"/>
            <w:tcBorders>
              <w:top w:val="nil"/>
              <w:left w:val="nil"/>
              <w:bottom w:val="single" w:sz="8" w:space="0" w:color="auto"/>
              <w:right w:val="single" w:sz="8" w:space="0" w:color="auto"/>
            </w:tcBorders>
            <w:tcMar>
              <w:top w:w="0" w:type="dxa"/>
              <w:left w:w="70" w:type="dxa"/>
              <w:bottom w:w="0" w:type="dxa"/>
              <w:right w:w="70" w:type="dxa"/>
            </w:tcMar>
            <w:hideMark/>
          </w:tcPr>
          <w:p w14:paraId="79D141FC" w14:textId="47B7C990" w:rsidR="00216403" w:rsidRPr="00FC2407" w:rsidRDefault="001D741A" w:rsidP="00FC2407">
            <w:pPr>
              <w:spacing w:line="276" w:lineRule="auto"/>
              <w:jc w:val="both"/>
              <w:rPr>
                <w:rFonts w:cstheme="minorHAnsi"/>
              </w:rPr>
            </w:pPr>
            <w:r w:rsidRPr="001D741A">
              <w:rPr>
                <w:rFonts w:cstheme="minorHAnsi"/>
                <w:color w:val="201F1E"/>
                <w:bdr w:val="none" w:sz="0" w:space="0" w:color="auto" w:frame="1"/>
              </w:rPr>
              <w:t xml:space="preserve">La calificación de la contingencia es Remota. El asegurado no es responsable de la ocurrencia del accidente de tránsito. La póliza ofrece cobertura material y temporal.       EN CUANTO AL SEGURO: la póliza de seguro de responsabilidad Civil Extracontractual N°420-80-994000000109 no ofrece cobertura temporal. En cuanto a la póliza No. 420-80-994000000181 anexo 1, ofrece cobertura material, ya que se ampara la responsabilidad civil extracontractual en que pueda incurrir el asegurado; y, temporalmente ofrece cobertura teniendo en cuenta </w:t>
            </w:r>
            <w:r w:rsidRPr="001D741A">
              <w:rPr>
                <w:rFonts w:cstheme="minorHAnsi"/>
                <w:color w:val="201F1E"/>
                <w:bdr w:val="none" w:sz="0" w:space="0" w:color="auto" w:frame="1"/>
              </w:rPr>
              <w:lastRenderedPageBreak/>
              <w:t xml:space="preserve">que la vigencia de la póliza va desde el 23/06/2020 hasta el19/05/2021, y los hechos ocurrieron el día 02 de agosto de 2020.       EN CUANTO A LA RESPONSABILIDAD DE CALI: La contingencia se califica como remota teniendo en cuenta que no existen pruebas que acrediten el mal estado de la vía y la falta de señalización y demarcación de esta. Con los elementos allegados al proceso se demuestra la culpa exclusiva de la víctima, pues tanto la hipótesis del IPAT como el Informe de Policía Judicial de Inspección técnica al lugar de los hechos, permiten inferir que el occiso no estaba atento a los factores de la vía. Por un lado, la zona donde se movilizaba era residencial, lo que demandaba que el occiso manejara a una velocidad igual o inferior a los 30 km/h, velocidad que le permitía esquivar cualquier obstáculo que apareciera en la vía, además, la gravedad del impacto recibido fue de tal magnitud, que permite inferir que se movilizaba a una velocidad superior. De igual manera, la victima debía portar lentes para conducir y no se encontró este tipo de elementos en las prendas del occiso ni en el lugar de los hechos. Por otro lado, si bien en la demanda se anexan unos videos del presunto lugar de los hechos, no existen otros medios de convicción que permitan contrastar lo que allí se representa; por lo tanto, no existe certeza sobre la autenticidad del video, el lugar donde se tomó, la fecha y si conservó la cadena de custodia </w:t>
            </w:r>
            <w:proofErr w:type="gramStart"/>
            <w:r w:rsidRPr="001D741A">
              <w:rPr>
                <w:rFonts w:cstheme="minorHAnsi"/>
                <w:color w:val="201F1E"/>
                <w:bdr w:val="none" w:sz="0" w:space="0" w:color="auto" w:frame="1"/>
              </w:rPr>
              <w:t>del mismo</w:t>
            </w:r>
            <w:proofErr w:type="gramEnd"/>
            <w:r w:rsidRPr="001D741A">
              <w:rPr>
                <w:rFonts w:cstheme="minorHAnsi"/>
                <w:color w:val="201F1E"/>
                <w:bdr w:val="none" w:sz="0" w:space="0" w:color="auto" w:frame="1"/>
              </w:rPr>
              <w:t xml:space="preserve">.   </w:t>
            </w:r>
          </w:p>
        </w:tc>
      </w:tr>
      <w:tr w:rsidR="00216403" w:rsidRPr="00216403" w14:paraId="36CB0A41" w14:textId="77777777" w:rsidTr="00216403">
        <w:trPr>
          <w:trHeight w:val="390"/>
        </w:trPr>
        <w:tc>
          <w:tcPr>
            <w:tcW w:w="4104" w:type="dxa"/>
            <w:tcBorders>
              <w:top w:val="nil"/>
              <w:left w:val="single" w:sz="8" w:space="0" w:color="auto"/>
              <w:bottom w:val="nil"/>
              <w:right w:val="single" w:sz="8" w:space="0" w:color="auto"/>
            </w:tcBorders>
            <w:tcMar>
              <w:top w:w="0" w:type="dxa"/>
              <w:left w:w="70" w:type="dxa"/>
              <w:bottom w:w="0" w:type="dxa"/>
              <w:right w:w="70" w:type="dxa"/>
            </w:tcMar>
            <w:hideMark/>
          </w:tcPr>
          <w:p w14:paraId="26D57780" w14:textId="77777777" w:rsidR="00216403" w:rsidRPr="00216403" w:rsidRDefault="00216403" w:rsidP="00216403">
            <w:pPr>
              <w:jc w:val="both"/>
              <w:rPr>
                <w:rFonts w:asciiTheme="minorHAnsi" w:hAnsiTheme="minorHAnsi" w:cstheme="minorHAnsi"/>
                <w:b/>
                <w:bCs/>
                <w:color w:val="000000"/>
                <w:lang w:eastAsia="es-CO"/>
              </w:rPr>
            </w:pPr>
            <w:r w:rsidRPr="00216403">
              <w:rPr>
                <w:rFonts w:asciiTheme="minorHAnsi" w:hAnsiTheme="minorHAnsi" w:cstheme="minorHAnsi"/>
                <w:b/>
                <w:bCs/>
                <w:color w:val="000000"/>
                <w:lang w:eastAsia="es-CO"/>
              </w:rPr>
              <w:lastRenderedPageBreak/>
              <w:t>RESERVA SUGERIDA</w:t>
            </w:r>
          </w:p>
        </w:tc>
        <w:tc>
          <w:tcPr>
            <w:tcW w:w="5276" w:type="dxa"/>
            <w:tcBorders>
              <w:top w:val="nil"/>
              <w:left w:val="nil"/>
              <w:bottom w:val="nil"/>
              <w:right w:val="single" w:sz="8" w:space="0" w:color="auto"/>
            </w:tcBorders>
            <w:tcMar>
              <w:top w:w="0" w:type="dxa"/>
              <w:left w:w="70" w:type="dxa"/>
              <w:bottom w:w="0" w:type="dxa"/>
              <w:right w:w="70" w:type="dxa"/>
            </w:tcMar>
            <w:hideMark/>
          </w:tcPr>
          <w:p w14:paraId="66562391" w14:textId="12F5A3F2" w:rsidR="00FC2407" w:rsidRPr="00B05D50" w:rsidRDefault="00FC2407" w:rsidP="00FC2407">
            <w:pPr>
              <w:spacing w:line="276" w:lineRule="auto"/>
              <w:jc w:val="both"/>
              <w:rPr>
                <w:rFonts w:cstheme="minorHAnsi"/>
                <w:color w:val="201F1E"/>
                <w:shd w:val="clear" w:color="auto" w:fill="FFFFFF"/>
              </w:rPr>
            </w:pPr>
            <w:r w:rsidRPr="00B05D50">
              <w:rPr>
                <w:rFonts w:cstheme="minorHAnsi"/>
                <w:b/>
                <w:u w:val="single"/>
              </w:rPr>
              <w:t>$</w:t>
            </w:r>
            <w:r w:rsidRPr="00B05D50">
              <w:rPr>
                <w:rFonts w:cstheme="minorHAnsi"/>
                <w:b/>
                <w:color w:val="201F1E"/>
                <w:u w:val="single"/>
                <w:shd w:val="clear" w:color="auto" w:fill="FFFFFF"/>
              </w:rPr>
              <w:t xml:space="preserve"> </w:t>
            </w:r>
            <w:r w:rsidR="001D741A" w:rsidRPr="001D741A">
              <w:rPr>
                <w:rFonts w:cstheme="minorHAnsi"/>
                <w:b/>
                <w:color w:val="201F1E"/>
                <w:u w:val="single"/>
                <w:shd w:val="clear" w:color="auto" w:fill="FFFFFF"/>
              </w:rPr>
              <w:t>129</w:t>
            </w:r>
            <w:r w:rsidR="001D741A">
              <w:rPr>
                <w:rFonts w:cstheme="minorHAnsi"/>
                <w:b/>
                <w:color w:val="201F1E"/>
                <w:u w:val="single"/>
                <w:shd w:val="clear" w:color="auto" w:fill="FFFFFF"/>
              </w:rPr>
              <w:t>.</w:t>
            </w:r>
            <w:r w:rsidR="001D741A" w:rsidRPr="001D741A">
              <w:rPr>
                <w:rFonts w:cstheme="minorHAnsi"/>
                <w:b/>
                <w:color w:val="201F1E"/>
                <w:u w:val="single"/>
                <w:shd w:val="clear" w:color="auto" w:fill="FFFFFF"/>
              </w:rPr>
              <w:t>920</w:t>
            </w:r>
            <w:r w:rsidR="001D741A">
              <w:rPr>
                <w:rFonts w:cstheme="minorHAnsi"/>
                <w:b/>
                <w:color w:val="201F1E"/>
                <w:u w:val="single"/>
                <w:shd w:val="clear" w:color="auto" w:fill="FFFFFF"/>
              </w:rPr>
              <w:t>.</w:t>
            </w:r>
            <w:r w:rsidR="001D741A" w:rsidRPr="001D741A">
              <w:rPr>
                <w:rFonts w:cstheme="minorHAnsi"/>
                <w:b/>
                <w:color w:val="201F1E"/>
                <w:u w:val="single"/>
                <w:shd w:val="clear" w:color="auto" w:fill="FFFFFF"/>
              </w:rPr>
              <w:t>000</w:t>
            </w:r>
            <w:r w:rsidR="001D741A">
              <w:rPr>
                <w:rFonts w:cstheme="minorHAnsi"/>
                <w:b/>
                <w:color w:val="201F1E"/>
                <w:u w:val="single"/>
                <w:shd w:val="clear" w:color="auto" w:fill="FFFFFF"/>
              </w:rPr>
              <w:t xml:space="preserve"> </w:t>
            </w:r>
            <w:r>
              <w:rPr>
                <w:rFonts w:cstheme="minorHAnsi"/>
                <w:b/>
                <w:color w:val="201F1E"/>
                <w:u w:val="single"/>
                <w:shd w:val="clear" w:color="auto" w:fill="FFFFFF"/>
              </w:rPr>
              <w:t xml:space="preserve">Discriminados así: </w:t>
            </w:r>
          </w:p>
          <w:p w14:paraId="119F691D" w14:textId="77777777" w:rsidR="00FC2407" w:rsidRDefault="00FC2407" w:rsidP="00FC2407">
            <w:pPr>
              <w:spacing w:line="276" w:lineRule="auto"/>
              <w:jc w:val="both"/>
              <w:rPr>
                <w:rFonts w:cstheme="minorHAnsi"/>
                <w:color w:val="201F1E"/>
                <w:shd w:val="clear" w:color="auto" w:fill="FFFFFF"/>
              </w:rPr>
            </w:pPr>
          </w:p>
          <w:p w14:paraId="676F6037" w14:textId="55DDD06B" w:rsidR="00216403" w:rsidRPr="001D741A" w:rsidRDefault="001D741A" w:rsidP="001D741A">
            <w:pPr>
              <w:spacing w:line="276" w:lineRule="auto"/>
              <w:jc w:val="both"/>
              <w:rPr>
                <w:rFonts w:asciiTheme="minorHAnsi" w:hAnsiTheme="minorHAnsi" w:cstheme="minorHAnsi"/>
                <w:color w:val="000000"/>
                <w:lang w:eastAsia="es-CO"/>
              </w:rPr>
            </w:pPr>
            <w:r w:rsidRPr="001D741A">
              <w:rPr>
                <w:rFonts w:asciiTheme="minorHAnsi" w:hAnsiTheme="minorHAnsi" w:cstheme="minorHAnsi"/>
                <w:color w:val="000000"/>
                <w:lang w:eastAsia="es-CO"/>
              </w:rPr>
              <w:t xml:space="preserve">En el eventual caso que se profiera sentencia desfavorable, la condena para el asegurado sería de 350 SMLMV ($406.000.000). Teniendo en cuenta que la póliza se pactó sin deducible y en coaseguro, correspondiendo a SOLIDARIA el 32%, a la aseguradora le corresponde asumir la suma de 112 SMLMV ($129.920.000). Ello teniendo en cuenta lo siguiente:        1.     Frente al daño moral:    Abdón Sánchez Rodríguez (Padre del causante): 100 SMLMV  Consuelo Manzo Ramirez (madre del causante): 100 SMLMV  María José Sánchez Manzo (Hermana del causante): 50 SMLMV  Diana Beatriz Triana Altamirano (Esposa del causante): 100 SMLMV  Gloria María Triana Altamirano (Suegra del causante); María Del Jesús Triana Altamirano (Tía esposa); Isabel Triana Altamirano (Tía </w:t>
            </w:r>
            <w:r w:rsidRPr="001D741A">
              <w:rPr>
                <w:rFonts w:asciiTheme="minorHAnsi" w:hAnsiTheme="minorHAnsi" w:cstheme="minorHAnsi"/>
                <w:color w:val="000000"/>
                <w:lang w:eastAsia="es-CO"/>
              </w:rPr>
              <w:lastRenderedPageBreak/>
              <w:t xml:space="preserve">esposa); Héctor Javier Castro Triana (Primo esposa); Luis Fernando Durán Triana (Primo esposa); Lida Constanza Escobar Triana (Prima esposa); Ángela Stella Escobar Triana (Prima esposa); Diego Enrique Triana Guerrero (Primo esposa): no es procedente indemnización en razón del vínculo por afinidad. Tampoco se acredita la relación afectiva.   Luz Helena Lozano </w:t>
            </w:r>
            <w:proofErr w:type="spellStart"/>
            <w:r w:rsidRPr="001D741A">
              <w:rPr>
                <w:rFonts w:asciiTheme="minorHAnsi" w:hAnsiTheme="minorHAnsi" w:cstheme="minorHAnsi"/>
                <w:color w:val="000000"/>
                <w:lang w:eastAsia="es-CO"/>
              </w:rPr>
              <w:t>Lecompte</w:t>
            </w:r>
            <w:proofErr w:type="spellEnd"/>
            <w:r w:rsidRPr="001D741A">
              <w:rPr>
                <w:rFonts w:asciiTheme="minorHAnsi" w:hAnsiTheme="minorHAnsi" w:cstheme="minorHAnsi"/>
                <w:color w:val="000000"/>
                <w:lang w:eastAsia="es-CO"/>
              </w:rPr>
              <w:t xml:space="preserve"> (Amiga): no se acredita la relación afectiva.  Diego Mauricio Arias Ramírez (Amigo): no se acredita la relación afectiva.   2.     Frente al lucro cesante: no es procedente su reconocimiento toda vez que no se prueba que el causante estuviera vinculado laboralmente y/o que recibiera ingresos económicos.    La condena en total sería de 350 SMLMV, correspondiendo a SOLIDARIA la suma de 112 SMLMV ($129.920.000) correspondiente al coaseguro pactado de 32%.  </w:t>
            </w:r>
          </w:p>
        </w:tc>
      </w:tr>
      <w:tr w:rsidR="00216403" w:rsidRPr="00216403" w14:paraId="3F2B3495" w14:textId="77777777" w:rsidTr="00884AEB">
        <w:trPr>
          <w:trHeight w:val="390"/>
        </w:trPr>
        <w:tc>
          <w:tcPr>
            <w:tcW w:w="410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6552526" w14:textId="77777777" w:rsidR="00216403" w:rsidRPr="00216403" w:rsidRDefault="00216403" w:rsidP="00216403">
            <w:pPr>
              <w:jc w:val="both"/>
              <w:rPr>
                <w:rFonts w:asciiTheme="minorHAnsi" w:hAnsiTheme="minorHAnsi" w:cstheme="minorHAnsi"/>
                <w:b/>
                <w:bCs/>
                <w:color w:val="000000"/>
                <w:lang w:eastAsia="es-CO"/>
              </w:rPr>
            </w:pPr>
          </w:p>
        </w:tc>
        <w:tc>
          <w:tcPr>
            <w:tcW w:w="5276" w:type="dxa"/>
            <w:tcBorders>
              <w:top w:val="nil"/>
              <w:left w:val="nil"/>
              <w:bottom w:val="single" w:sz="8" w:space="0" w:color="auto"/>
              <w:right w:val="single" w:sz="8" w:space="0" w:color="auto"/>
            </w:tcBorders>
            <w:tcMar>
              <w:top w:w="0" w:type="dxa"/>
              <w:left w:w="70" w:type="dxa"/>
              <w:bottom w:w="0" w:type="dxa"/>
              <w:right w:w="70" w:type="dxa"/>
            </w:tcMar>
          </w:tcPr>
          <w:p w14:paraId="2B7EEBDD" w14:textId="77777777" w:rsidR="00216403" w:rsidRDefault="00216403" w:rsidP="00216403">
            <w:pPr>
              <w:jc w:val="both"/>
              <w:rPr>
                <w:rFonts w:asciiTheme="minorHAnsi" w:hAnsiTheme="minorHAnsi" w:cstheme="minorHAnsi"/>
                <w:b/>
                <w:color w:val="000000"/>
                <w:lang w:eastAsia="es-CO"/>
              </w:rPr>
            </w:pPr>
          </w:p>
        </w:tc>
      </w:tr>
    </w:tbl>
    <w:p w14:paraId="778D13EA" w14:textId="77777777" w:rsidR="00216403" w:rsidRPr="00216403" w:rsidRDefault="00216403" w:rsidP="00216403">
      <w:pPr>
        <w:jc w:val="both"/>
        <w:rPr>
          <w:rFonts w:asciiTheme="minorHAnsi" w:hAnsiTheme="minorHAnsi" w:cstheme="minorHAnsi"/>
        </w:rPr>
      </w:pPr>
    </w:p>
    <w:p w14:paraId="7A41E566" w14:textId="77777777" w:rsidR="00216403" w:rsidRPr="00216403" w:rsidRDefault="00216403" w:rsidP="00216403">
      <w:pPr>
        <w:jc w:val="both"/>
        <w:rPr>
          <w:rFonts w:asciiTheme="minorHAnsi" w:hAnsiTheme="minorHAnsi" w:cstheme="minorHAnsi"/>
        </w:rPr>
      </w:pPr>
    </w:p>
    <w:p w14:paraId="4D0A81C0" w14:textId="77777777" w:rsidR="006B7158" w:rsidRPr="00216403" w:rsidRDefault="006B7158" w:rsidP="00216403">
      <w:pPr>
        <w:jc w:val="both"/>
        <w:rPr>
          <w:rFonts w:asciiTheme="minorHAnsi" w:hAnsiTheme="minorHAnsi" w:cstheme="minorHAnsi"/>
        </w:rPr>
      </w:pPr>
    </w:p>
    <w:sectPr w:rsidR="006B7158" w:rsidRPr="002164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BDD"/>
    <w:multiLevelType w:val="hybridMultilevel"/>
    <w:tmpl w:val="936C2B3E"/>
    <w:lvl w:ilvl="0" w:tplc="2ABE0D9C">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1" w15:restartNumberingAfterBreak="0">
    <w:nsid w:val="12921E13"/>
    <w:multiLevelType w:val="hybridMultilevel"/>
    <w:tmpl w:val="DD967192"/>
    <w:lvl w:ilvl="0" w:tplc="A5262E68">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E966B6"/>
    <w:multiLevelType w:val="hybridMultilevel"/>
    <w:tmpl w:val="1D127D6C"/>
    <w:lvl w:ilvl="0" w:tplc="040A000F">
      <w:start w:val="1"/>
      <w:numFmt w:val="decimal"/>
      <w:lvlText w:val="%1."/>
      <w:lvlJc w:val="left"/>
      <w:pPr>
        <w:ind w:left="844"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 w15:restartNumberingAfterBreak="0">
    <w:nsid w:val="223746EE"/>
    <w:multiLevelType w:val="hybridMultilevel"/>
    <w:tmpl w:val="6B028556"/>
    <w:lvl w:ilvl="0" w:tplc="0D92FB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11555B"/>
    <w:multiLevelType w:val="hybridMultilevel"/>
    <w:tmpl w:val="68CE1FB4"/>
    <w:lvl w:ilvl="0" w:tplc="0F0459AA">
      <w:start w:val="19"/>
      <w:numFmt w:val="bullet"/>
      <w:lvlText w:val="-"/>
      <w:lvlJc w:val="left"/>
      <w:pPr>
        <w:ind w:left="720" w:hanging="360"/>
      </w:pPr>
      <w:rPr>
        <w:rFonts w:ascii="Calibri" w:eastAsia="Times New Roman"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B26578"/>
    <w:multiLevelType w:val="hybridMultilevel"/>
    <w:tmpl w:val="FA16BF4A"/>
    <w:lvl w:ilvl="0" w:tplc="040A000F">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6" w15:restartNumberingAfterBreak="0">
    <w:nsid w:val="45440EC3"/>
    <w:multiLevelType w:val="hybridMultilevel"/>
    <w:tmpl w:val="1EEA81EC"/>
    <w:lvl w:ilvl="0" w:tplc="040A000F">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7" w15:restartNumberingAfterBreak="0">
    <w:nsid w:val="4D3108FE"/>
    <w:multiLevelType w:val="hybridMultilevel"/>
    <w:tmpl w:val="545E02D4"/>
    <w:lvl w:ilvl="0" w:tplc="040A000F">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8" w15:restartNumberingAfterBreak="0">
    <w:nsid w:val="607B297D"/>
    <w:multiLevelType w:val="hybridMultilevel"/>
    <w:tmpl w:val="A9A6F83A"/>
    <w:lvl w:ilvl="0" w:tplc="040A000F">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9" w15:restartNumberingAfterBreak="0">
    <w:nsid w:val="697324AE"/>
    <w:multiLevelType w:val="hybridMultilevel"/>
    <w:tmpl w:val="DE0E5636"/>
    <w:lvl w:ilvl="0" w:tplc="A5262E68">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1143D6"/>
    <w:multiLevelType w:val="hybridMultilevel"/>
    <w:tmpl w:val="658878D0"/>
    <w:lvl w:ilvl="0" w:tplc="040A000F">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1" w15:restartNumberingAfterBreak="0">
    <w:nsid w:val="77D57D72"/>
    <w:multiLevelType w:val="hybridMultilevel"/>
    <w:tmpl w:val="A2342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03389587">
    <w:abstractNumId w:val="8"/>
  </w:num>
  <w:num w:numId="2" w16cid:durableId="609509814">
    <w:abstractNumId w:val="7"/>
  </w:num>
  <w:num w:numId="3" w16cid:durableId="2146508293">
    <w:abstractNumId w:val="9"/>
  </w:num>
  <w:num w:numId="4" w16cid:durableId="36047519">
    <w:abstractNumId w:val="10"/>
  </w:num>
  <w:num w:numId="5" w16cid:durableId="481849814">
    <w:abstractNumId w:val="2"/>
  </w:num>
  <w:num w:numId="6" w16cid:durableId="1130175530">
    <w:abstractNumId w:val="0"/>
  </w:num>
  <w:num w:numId="7" w16cid:durableId="1657802960">
    <w:abstractNumId w:val="1"/>
  </w:num>
  <w:num w:numId="8" w16cid:durableId="1639602734">
    <w:abstractNumId w:val="5"/>
  </w:num>
  <w:num w:numId="9" w16cid:durableId="2095199667">
    <w:abstractNumId w:val="6"/>
  </w:num>
  <w:num w:numId="10" w16cid:durableId="1842354494">
    <w:abstractNumId w:val="4"/>
  </w:num>
  <w:num w:numId="11" w16cid:durableId="286737522">
    <w:abstractNumId w:val="3"/>
  </w:num>
  <w:num w:numId="12" w16cid:durableId="513886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03"/>
    <w:rsid w:val="001D741A"/>
    <w:rsid w:val="00216403"/>
    <w:rsid w:val="00340782"/>
    <w:rsid w:val="006B7158"/>
    <w:rsid w:val="006D6540"/>
    <w:rsid w:val="00DB7866"/>
    <w:rsid w:val="00FC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ED0F"/>
  <w15:chartTrackingRefBased/>
  <w15:docId w15:val="{FF01F685-FBBA-4B5A-A846-07505FB2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03"/>
    <w:pPr>
      <w:spacing w:after="0" w:line="240" w:lineRule="auto"/>
    </w:pPr>
    <w:rPr>
      <w:rFonts w:ascii="Calibri" w:hAnsi="Calibri" w:cs="Times New Roman"/>
      <w:lang w:val="es-CO"/>
    </w:rPr>
  </w:style>
  <w:style w:type="paragraph" w:styleId="Ttulo3">
    <w:name w:val="heading 3"/>
    <w:basedOn w:val="Normal"/>
    <w:next w:val="Normal"/>
    <w:link w:val="Ttulo3Car"/>
    <w:uiPriority w:val="9"/>
    <w:semiHidden/>
    <w:unhideWhenUsed/>
    <w:qFormat/>
    <w:rsid w:val="001D741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FC2407"/>
    <w:pPr>
      <w:spacing w:before="100" w:beforeAutospacing="1" w:after="100" w:afterAutospacing="1"/>
      <w:outlineLvl w:val="4"/>
    </w:pPr>
    <w:rPr>
      <w:rFonts w:ascii="Times New Roman" w:eastAsia="Times New Roman" w:hAnsi="Times New Roman"/>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1,Párrafo de lista1"/>
    <w:basedOn w:val="Normal"/>
    <w:link w:val="PrrafodelistaCar"/>
    <w:uiPriority w:val="34"/>
    <w:qFormat/>
    <w:rsid w:val="00216403"/>
    <w:pPr>
      <w:ind w:left="720"/>
      <w:contextualSpacing/>
    </w:pPr>
  </w:style>
  <w:style w:type="paragraph" w:styleId="Sinespaciado">
    <w:name w:val="No Spacing"/>
    <w:link w:val="SinespaciadoCar"/>
    <w:uiPriority w:val="1"/>
    <w:qFormat/>
    <w:rsid w:val="00216403"/>
    <w:pPr>
      <w:spacing w:after="0" w:line="240" w:lineRule="auto"/>
    </w:pPr>
    <w:rPr>
      <w:rFonts w:ascii="Calibri" w:hAnsi="Calibri" w:cs="Times New Roman"/>
      <w:lang w:val="es-CO"/>
    </w:rPr>
  </w:style>
  <w:style w:type="character" w:customStyle="1" w:styleId="SinespaciadoCar">
    <w:name w:val="Sin espaciado Car"/>
    <w:link w:val="Sinespaciado"/>
    <w:uiPriority w:val="1"/>
    <w:locked/>
    <w:rsid w:val="00216403"/>
    <w:rPr>
      <w:rFonts w:ascii="Calibri" w:hAnsi="Calibri" w:cs="Times New Roman"/>
      <w:lang w:val="es-CO"/>
    </w:rPr>
  </w:style>
  <w:style w:type="character" w:customStyle="1" w:styleId="PrrafodelistaCar">
    <w:name w:val="Párrafo de lista Car"/>
    <w:aliases w:val="Nivel 1 Car,Párrafo de lista1 Car"/>
    <w:link w:val="Prrafodelista"/>
    <w:uiPriority w:val="34"/>
    <w:locked/>
    <w:rsid w:val="00216403"/>
    <w:rPr>
      <w:rFonts w:ascii="Calibri" w:hAnsi="Calibri" w:cs="Times New Roman"/>
      <w:lang w:val="es-CO"/>
    </w:rPr>
  </w:style>
  <w:style w:type="paragraph" w:customStyle="1" w:styleId="Textbody">
    <w:name w:val="Text body"/>
    <w:basedOn w:val="Normal"/>
    <w:rsid w:val="00DB7866"/>
    <w:pPr>
      <w:suppressAutoHyphens/>
      <w:autoSpaceDN w:val="0"/>
      <w:jc w:val="both"/>
      <w:textAlignment w:val="baseline"/>
    </w:pPr>
    <w:rPr>
      <w:rFonts w:ascii="Arial" w:eastAsia="Times New Roman" w:hAnsi="Arial" w:cs="Arial"/>
      <w:sz w:val="24"/>
      <w:szCs w:val="20"/>
      <w:lang w:val="es-ES_tradnl" w:eastAsia="es-CO"/>
    </w:rPr>
  </w:style>
  <w:style w:type="character" w:customStyle="1" w:styleId="Ttulo5Car">
    <w:name w:val="Título 5 Car"/>
    <w:basedOn w:val="Fuentedeprrafopredeter"/>
    <w:link w:val="Ttulo5"/>
    <w:uiPriority w:val="9"/>
    <w:rsid w:val="00FC2407"/>
    <w:rPr>
      <w:rFonts w:ascii="Times New Roman" w:eastAsia="Times New Roman" w:hAnsi="Times New Roman" w:cs="Times New Roman"/>
      <w:b/>
      <w:bCs/>
      <w:sz w:val="20"/>
      <w:szCs w:val="20"/>
    </w:rPr>
  </w:style>
  <w:style w:type="character" w:customStyle="1" w:styleId="Ttulo3Car">
    <w:name w:val="Título 3 Car"/>
    <w:basedOn w:val="Fuentedeprrafopredeter"/>
    <w:link w:val="Ttulo3"/>
    <w:uiPriority w:val="9"/>
    <w:semiHidden/>
    <w:rsid w:val="001D741A"/>
    <w:rPr>
      <w:rFonts w:asciiTheme="majorHAnsi" w:eastAsiaTheme="majorEastAsia" w:hAnsiTheme="majorHAnsi" w:cstheme="majorBidi"/>
      <w:color w:val="1F4D78" w:themeColor="accent1" w:themeShade="7F"/>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064">
      <w:bodyDiv w:val="1"/>
      <w:marLeft w:val="0"/>
      <w:marRight w:val="0"/>
      <w:marTop w:val="0"/>
      <w:marBottom w:val="0"/>
      <w:divBdr>
        <w:top w:val="none" w:sz="0" w:space="0" w:color="auto"/>
        <w:left w:val="none" w:sz="0" w:space="0" w:color="auto"/>
        <w:bottom w:val="none" w:sz="0" w:space="0" w:color="auto"/>
        <w:right w:val="none" w:sz="0" w:space="0" w:color="auto"/>
      </w:divBdr>
    </w:div>
    <w:div w:id="726875659">
      <w:bodyDiv w:val="1"/>
      <w:marLeft w:val="0"/>
      <w:marRight w:val="0"/>
      <w:marTop w:val="0"/>
      <w:marBottom w:val="0"/>
      <w:divBdr>
        <w:top w:val="none" w:sz="0" w:space="0" w:color="auto"/>
        <w:left w:val="none" w:sz="0" w:space="0" w:color="auto"/>
        <w:bottom w:val="none" w:sz="0" w:space="0" w:color="auto"/>
        <w:right w:val="none" w:sz="0" w:space="0" w:color="auto"/>
      </w:divBdr>
    </w:div>
    <w:div w:id="847408385">
      <w:bodyDiv w:val="1"/>
      <w:marLeft w:val="0"/>
      <w:marRight w:val="0"/>
      <w:marTop w:val="0"/>
      <w:marBottom w:val="0"/>
      <w:divBdr>
        <w:top w:val="none" w:sz="0" w:space="0" w:color="auto"/>
        <w:left w:val="none" w:sz="0" w:space="0" w:color="auto"/>
        <w:bottom w:val="none" w:sz="0" w:space="0" w:color="auto"/>
        <w:right w:val="none" w:sz="0" w:space="0" w:color="auto"/>
      </w:divBdr>
    </w:div>
    <w:div w:id="8948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Mz</dc:creator>
  <cp:keywords/>
  <dc:description/>
  <cp:lastModifiedBy>Lorena Jurado Chaves</cp:lastModifiedBy>
  <cp:revision>2</cp:revision>
  <dcterms:created xsi:type="dcterms:W3CDTF">2023-11-30T02:57:00Z</dcterms:created>
  <dcterms:modified xsi:type="dcterms:W3CDTF">2023-11-30T02:57:00Z</dcterms:modified>
</cp:coreProperties>
</file>