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E814B23" w:rsidR="00A06D0B" w:rsidRPr="00B94ABF" w:rsidRDefault="009D1FD7" w:rsidP="00D5455D">
            <w:pPr>
              <w:spacing w:after="0" w:line="267" w:lineRule="exact"/>
              <w:ind w:right="-20"/>
              <w:rPr>
                <w:rFonts w:ascii="Calibri" w:eastAsia="Calibri" w:hAnsi="Calibri" w:cs="Calibri"/>
                <w:sz w:val="24"/>
                <w:szCs w:val="24"/>
              </w:rPr>
            </w:pPr>
            <w:r>
              <w:rPr>
                <w:rFonts w:ascii="Calibri" w:hAnsi="Calibri" w:cs="Calibri"/>
                <w:color w:val="000000"/>
              </w:rPr>
              <w:t>471736</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4E847EB8" w:rsidR="00A06D0B" w:rsidRPr="00B94ABF" w:rsidRDefault="009D1FD7" w:rsidP="009D1FD7">
            <w:pPr>
              <w:tabs>
                <w:tab w:val="left" w:pos="3540"/>
              </w:tabs>
              <w:spacing w:after="0" w:line="264" w:lineRule="exact"/>
              <w:ind w:right="-20"/>
              <w:rPr>
                <w:rFonts w:ascii="Calibri" w:eastAsia="Calibri" w:hAnsi="Calibri" w:cs="Calibri"/>
                <w:sz w:val="24"/>
                <w:szCs w:val="24"/>
              </w:rPr>
            </w:pPr>
            <w:r>
              <w:rPr>
                <w:rFonts w:ascii="Calibri" w:eastAsia="Calibri" w:hAnsi="Calibri" w:cs="Calibri"/>
                <w:sz w:val="24"/>
                <w:szCs w:val="24"/>
              </w:rPr>
              <w:t>68432318900120190008600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5F3DA8C"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9D1FD7">
              <w:rPr>
                <w:rFonts w:ascii="Calibri" w:eastAsia="Calibri" w:hAnsi="Calibri" w:cs="Calibri"/>
                <w:lang w:val="es-CO"/>
              </w:rPr>
              <w:t>1 PROMISCUO DEL CIRCUITO DE MÁLAGA SANTANDER</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9D7D6CC" w:rsidR="00A06D0B" w:rsidRDefault="009D1FD7">
            <w:pPr>
              <w:spacing w:after="0" w:line="267" w:lineRule="exact"/>
              <w:ind w:left="59" w:right="-20"/>
              <w:rPr>
                <w:rFonts w:ascii="Calibri" w:eastAsia="Calibri" w:hAnsi="Calibri" w:cs="Calibri"/>
              </w:rPr>
            </w:pPr>
            <w:r>
              <w:rPr>
                <w:rFonts w:ascii="Calibri" w:eastAsia="Calibri" w:hAnsi="Calibri" w:cs="Calibri"/>
              </w:rPr>
              <w:t>DECLARATIVO VERBAL</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EDE87B3" w:rsidR="007E3E69" w:rsidRPr="003637A1" w:rsidRDefault="009D1FD7" w:rsidP="007E3E69">
            <w:pPr>
              <w:spacing w:after="0" w:line="264" w:lineRule="exact"/>
              <w:ind w:left="59" w:right="-20"/>
              <w:jc w:val="both"/>
              <w:rPr>
                <w:rFonts w:ascii="Calibri" w:eastAsia="Calibri" w:hAnsi="Calibri" w:cs="Calibri"/>
                <w:lang w:val="es-CO"/>
              </w:rPr>
            </w:pPr>
            <w:r>
              <w:rPr>
                <w:rFonts w:ascii="Calibri" w:hAnsi="Calibri" w:cs="Calibri"/>
                <w:color w:val="000000"/>
              </w:rPr>
              <w:t>JOSE AGUSTIN JIMENEZ PATIÑO</w:t>
            </w:r>
            <w:r w:rsidR="00AF693D">
              <w:rPr>
                <w:rFonts w:ascii="Calibri" w:eastAsia="Calibri" w:hAnsi="Calibri" w:cs="Calibri"/>
                <w:lang w:val="es-CO"/>
              </w:rPr>
              <w:t xml:space="preserve">  </w:t>
            </w:r>
            <w:r w:rsidR="00492707">
              <w:rPr>
                <w:rFonts w:ascii="Calibri" w:eastAsia="Calibri" w:hAnsi="Calibri" w:cs="Calibri"/>
                <w:lang w:val="es-CO"/>
              </w:rPr>
              <w:t xml:space="preserve"> </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3E77CF05" w:rsidR="007E3E69" w:rsidRPr="00AB19D8" w:rsidRDefault="009D1FD7" w:rsidP="009D1FD7">
            <w:pPr>
              <w:pStyle w:val="NormalWeb"/>
              <w:ind w:left="59" w:right="-20"/>
              <w:jc w:val="both"/>
              <w:rPr>
                <w:rFonts w:ascii="Calibri" w:eastAsia="Calibri" w:hAnsi="Calibri" w:cs="Calibri"/>
              </w:rPr>
            </w:pPr>
            <w:r>
              <w:rPr>
                <w:rFonts w:ascii="Calibri" w:hAnsi="Calibri" w:cs="Calibri"/>
                <w:color w:val="000000"/>
                <w:sz w:val="22"/>
                <w:szCs w:val="22"/>
              </w:rPr>
              <w:t>CONSORCIO SAN JOSE DE MIRANDA, LATINOAMERICANA DE CONSTRUCCIONES - LATINCO S.A. Y HB ESTRUCTURAS METALICAS S.A.S.</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707A19" w:rsidRDefault="0083734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LLAMAMIENTO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3527E36" w:rsidR="007E3E69" w:rsidRDefault="009D1FD7" w:rsidP="007E3E69">
            <w:pPr>
              <w:spacing w:after="0" w:line="264" w:lineRule="exact"/>
              <w:ind w:left="59" w:right="-20"/>
              <w:rPr>
                <w:rFonts w:ascii="Calibri" w:eastAsia="Calibri" w:hAnsi="Calibri" w:cs="Calibri"/>
              </w:rPr>
            </w:pPr>
            <w:r>
              <w:rPr>
                <w:rFonts w:ascii="Calibri" w:eastAsia="Calibri" w:hAnsi="Calibri" w:cs="Calibri"/>
              </w:rPr>
              <w:t>27/05/2019</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9EA5A33" w:rsidR="00796B62" w:rsidRPr="00675B7A" w:rsidRDefault="009D1FD7" w:rsidP="00F2006A">
            <w:pPr>
              <w:spacing w:after="0" w:line="264" w:lineRule="exact"/>
              <w:ind w:right="-20"/>
              <w:rPr>
                <w:rFonts w:ascii="Calibri" w:eastAsia="Calibri" w:hAnsi="Calibri" w:cs="Calibri"/>
                <w:lang w:val="es-CO"/>
              </w:rPr>
            </w:pPr>
            <w:r>
              <w:rPr>
                <w:rFonts w:ascii="Calibri" w:eastAsia="Calibri" w:hAnsi="Calibri" w:cs="Calibri"/>
                <w:lang w:val="es-CO"/>
              </w:rPr>
              <w:t>04/10/2019</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8BB2C35" w:rsidR="007E3E69" w:rsidRPr="00AB19D8" w:rsidRDefault="009D1FD7" w:rsidP="00B91A88">
            <w:pPr>
              <w:spacing w:after="0" w:line="264" w:lineRule="exact"/>
              <w:ind w:right="-20"/>
              <w:rPr>
                <w:rFonts w:ascii="Calibri" w:eastAsia="Calibri" w:hAnsi="Calibri" w:cs="Calibri"/>
                <w:lang w:val="es-CO"/>
              </w:rPr>
            </w:pPr>
            <w:r>
              <w:rPr>
                <w:rFonts w:ascii="Calibri" w:eastAsia="Calibri" w:hAnsi="Calibri" w:cs="Calibri"/>
                <w:lang w:val="es-CO"/>
              </w:rPr>
              <w:t>07/11/2019</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9BAEC95" w:rsidR="007E3E69" w:rsidRPr="00696A44" w:rsidRDefault="00E02461" w:rsidP="00B91A88">
            <w:pPr>
              <w:spacing w:after="0" w:line="267" w:lineRule="exact"/>
              <w:ind w:right="-20"/>
              <w:rPr>
                <w:rFonts w:ascii="Calibri" w:eastAsia="Calibri" w:hAnsi="Calibri" w:cs="Calibri"/>
                <w:lang w:val="es-CO"/>
              </w:rPr>
            </w:pPr>
            <w:r>
              <w:rPr>
                <w:rFonts w:ascii="Calibri" w:eastAsia="Calibri" w:hAnsi="Calibri" w:cs="Calibri"/>
                <w:lang w:val="es-CO"/>
              </w:rPr>
              <w:t>30/09/2014</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888B10D"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E02461">
              <w:rPr>
                <w:rFonts w:ascii="Calibri" w:eastAsia="Calibri" w:hAnsi="Calibri" w:cs="Calibri"/>
              </w:rPr>
              <w:t>30/09/2014</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759B5DC9" w14:textId="77777777" w:rsidR="00E02461" w:rsidRPr="00E02461" w:rsidRDefault="00E02461" w:rsidP="00E02461">
            <w:pPr>
              <w:widowControl/>
              <w:shd w:val="clear" w:color="auto" w:fill="FFFFFF"/>
              <w:spacing w:after="0" w:line="240" w:lineRule="auto"/>
              <w:jc w:val="both"/>
              <w:rPr>
                <w:rFonts w:ascii="Arial" w:eastAsia="Times New Roman" w:hAnsi="Arial" w:cs="Arial"/>
                <w:lang w:val="es-CO" w:eastAsia="es-MX"/>
              </w:rPr>
            </w:pPr>
            <w:r w:rsidRPr="00E02461">
              <w:rPr>
                <w:rFonts w:ascii="Arial" w:eastAsia="Times New Roman" w:hAnsi="Arial" w:cs="Arial"/>
                <w:lang w:val="es-CO" w:eastAsia="es-MX"/>
              </w:rPr>
              <w:t>De conformidad con los hechos de la demanda, el 30 de septiembre de 2014, el señor Jose Agustín Jimenez Patiño, se desplazaba en la motocicleta de placa ROM18B, cuando se encontraba a la altura del Km 40 + 960 jurisdicción de Málaga Santander, perdió el control del rodante debido a un hueco en la vía que se encontraba sin señalización e iluminación.</w:t>
            </w:r>
          </w:p>
          <w:p w14:paraId="6469CED2" w14:textId="77777777" w:rsidR="00E02461" w:rsidRPr="00E02461" w:rsidRDefault="00E02461" w:rsidP="00E02461">
            <w:pPr>
              <w:widowControl/>
              <w:shd w:val="clear" w:color="auto" w:fill="FFFFFF"/>
              <w:spacing w:after="0" w:line="240" w:lineRule="auto"/>
              <w:jc w:val="both"/>
              <w:rPr>
                <w:rFonts w:ascii="Arial" w:eastAsia="Times New Roman" w:hAnsi="Arial" w:cs="Arial"/>
                <w:lang w:val="es-CO" w:eastAsia="es-MX"/>
              </w:rPr>
            </w:pPr>
          </w:p>
          <w:p w14:paraId="4A303038" w14:textId="77777777" w:rsidR="00E02461" w:rsidRPr="00E02461" w:rsidRDefault="00E02461" w:rsidP="00E02461">
            <w:pPr>
              <w:widowControl/>
              <w:shd w:val="clear" w:color="auto" w:fill="FFFFFF"/>
              <w:spacing w:after="0" w:line="240" w:lineRule="auto"/>
              <w:jc w:val="both"/>
              <w:rPr>
                <w:rFonts w:ascii="Arial" w:eastAsia="Times New Roman" w:hAnsi="Arial" w:cs="Arial"/>
                <w:lang w:val="es-CO" w:eastAsia="es-MX"/>
              </w:rPr>
            </w:pPr>
            <w:r w:rsidRPr="00E02461">
              <w:rPr>
                <w:rFonts w:ascii="Arial" w:eastAsia="Times New Roman" w:hAnsi="Arial" w:cs="Arial"/>
                <w:lang w:val="es-CO" w:eastAsia="es-MX"/>
              </w:rPr>
              <w:t xml:space="preserve">Debido a las lesiones, el señor Jimenez fue trasladado al Hospital Regional de García Rovira donde fue atendido y diagnosticado con: traumatismo craneoencefálico severo con exposición meníngea, con alteración del estado de conciencia, con pérdida de tejido óseo </w:t>
            </w:r>
            <w:proofErr w:type="spellStart"/>
            <w:r w:rsidRPr="00E02461">
              <w:rPr>
                <w:rFonts w:ascii="Arial" w:eastAsia="Times New Roman" w:hAnsi="Arial" w:cs="Arial"/>
                <w:lang w:val="es-CO" w:eastAsia="es-MX"/>
              </w:rPr>
              <w:t>interciliar</w:t>
            </w:r>
            <w:proofErr w:type="spellEnd"/>
            <w:r w:rsidRPr="00E02461">
              <w:rPr>
                <w:rFonts w:ascii="Arial" w:eastAsia="Times New Roman" w:hAnsi="Arial" w:cs="Arial"/>
                <w:lang w:val="es-CO" w:eastAsia="es-MX"/>
              </w:rPr>
              <w:t>, con exposición meníngea en el lóbulo frontal y herida que divide en dos la pirámide nasal, fractura de codo, fractura de clavícula y fractura craneana con pérdida ósea que se extiende hasta la región occipital.</w:t>
            </w:r>
          </w:p>
          <w:p w14:paraId="35B6BDB2" w14:textId="77777777" w:rsidR="00E02461" w:rsidRPr="00E02461" w:rsidRDefault="00E02461" w:rsidP="00E02461">
            <w:pPr>
              <w:widowControl/>
              <w:shd w:val="clear" w:color="auto" w:fill="FFFFFF"/>
              <w:spacing w:after="0" w:line="240" w:lineRule="auto"/>
              <w:jc w:val="both"/>
              <w:rPr>
                <w:rFonts w:ascii="Arial" w:eastAsia="Times New Roman" w:hAnsi="Arial" w:cs="Arial"/>
                <w:lang w:val="es-CO" w:eastAsia="es-MX"/>
              </w:rPr>
            </w:pPr>
          </w:p>
          <w:p w14:paraId="342584D0" w14:textId="3E9817FA" w:rsidR="007E3E69" w:rsidRPr="00B4333D" w:rsidRDefault="00E02461" w:rsidP="00E02461">
            <w:pPr>
              <w:widowControl/>
              <w:shd w:val="clear" w:color="auto" w:fill="FFFFFF"/>
              <w:spacing w:after="0" w:line="240" w:lineRule="auto"/>
              <w:jc w:val="both"/>
              <w:rPr>
                <w:rFonts w:ascii="Arial" w:eastAsia="Times New Roman" w:hAnsi="Arial" w:cs="Arial"/>
                <w:lang w:val="es-CO" w:eastAsia="es-MX"/>
              </w:rPr>
            </w:pPr>
            <w:r w:rsidRPr="00E02461">
              <w:rPr>
                <w:rFonts w:ascii="Arial" w:eastAsia="Times New Roman" w:hAnsi="Arial" w:cs="Arial"/>
                <w:lang w:val="es-CO" w:eastAsia="es-MX"/>
              </w:rPr>
              <w:t xml:space="preserve">Debido a la gravead de las heridas, el paciente fue remitido a la ESE Hospital Universitario de Santander por traumatismo craneoencefálico severo (TCE) a donde ingreso el 01 de octubre </w:t>
            </w:r>
            <w:r w:rsidRPr="00E02461">
              <w:rPr>
                <w:rFonts w:ascii="Arial" w:eastAsia="Times New Roman" w:hAnsi="Arial" w:cs="Arial"/>
                <w:lang w:val="es-CO" w:eastAsia="es-MX"/>
              </w:rPr>
              <w:lastRenderedPageBreak/>
              <w:t>de 2014 y hospitalizado en la unidad de cuidado intensivos, requiriendo de una dolorosa y larga recuperación, teniendo una calificación de pérdida de capacidad laboral del 45.98%.</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6790A32" w14:textId="77777777" w:rsidR="00E02461" w:rsidRPr="00E02461" w:rsidRDefault="00E02461" w:rsidP="00E02461">
            <w:pPr>
              <w:rPr>
                <w:rFonts w:ascii="Calibri" w:eastAsia="Calibri" w:hAnsi="Calibri" w:cs="Calibri"/>
                <w:lang w:val="es-CO"/>
              </w:rPr>
            </w:pPr>
            <w:r w:rsidRPr="00E02461">
              <w:rPr>
                <w:rFonts w:ascii="Calibri" w:eastAsia="Calibri" w:hAnsi="Calibri" w:cs="Calibri"/>
                <w:lang w:val="es-CO"/>
              </w:rPr>
              <w:t>Las pretensiones de la demanda van encaminadas a obtener el pago de $92.466.003 por concepto de lucro cesante consolidado, $70.453.454 por concepto de lucro cesante futuro, 10 SMMLV por concepto de perjuicios morales, 10 SMMLV por concepto de perjuicios a la vida de relación más costas y agencias en derecho.</w:t>
            </w:r>
          </w:p>
          <w:p w14:paraId="548CDD00" w14:textId="759F2C72" w:rsidR="007E3E69" w:rsidRPr="00F56E1E" w:rsidRDefault="007E3E69" w:rsidP="00B4333D">
            <w:pPr>
              <w:jc w:val="both"/>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A792B7C"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E02461">
              <w:rPr>
                <w:rFonts w:ascii="Calibri" w:eastAsia="Calibri" w:hAnsi="Calibri" w:cs="Calibri"/>
                <w:lang w:val="es-CO"/>
              </w:rPr>
              <w:t>188.919.457</w:t>
            </w:r>
            <w:r w:rsidR="009608C8">
              <w:rPr>
                <w:rFonts w:ascii="Calibri" w:eastAsia="Calibri" w:hAnsi="Calibri" w:cs="Calibri"/>
                <w:lang w:val="es-CO"/>
              </w:rPr>
              <w:t xml:space="preserve"> (ACTUALIZADO AÑO 2024)</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7108313F"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2200D7">
              <w:rPr>
                <w:rFonts w:ascii="Calibri" w:eastAsia="Calibri" w:hAnsi="Calibri" w:cs="Calibri"/>
                <w:lang w:val="es-CO"/>
              </w:rPr>
              <w:t>232.625.271</w:t>
            </w:r>
          </w:p>
          <w:p w14:paraId="18221485" w14:textId="77777777" w:rsidR="00981902"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981902">
              <w:rPr>
                <w:rFonts w:ascii="Calibri" w:eastAsia="Calibri" w:hAnsi="Calibri" w:cs="Calibri"/>
                <w:lang w:val="es-CO"/>
              </w:rPr>
              <w:t>23.262.527</w:t>
            </w:r>
          </w:p>
          <w:p w14:paraId="5DD5C3E0" w14:textId="0501262C"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75231B">
              <w:rPr>
                <w:rFonts w:ascii="Calibri" w:eastAsia="Calibri" w:hAnsi="Calibri" w:cs="Calibri"/>
                <w:lang w:val="es-CO"/>
              </w:rPr>
              <w:t>100</w:t>
            </w:r>
            <w:r w:rsidR="00C5298E">
              <w:rPr>
                <w:rFonts w:ascii="Calibri" w:eastAsia="Calibri" w:hAnsi="Calibri" w:cs="Calibri"/>
                <w:lang w:val="es-CO"/>
              </w:rPr>
              <w:t>%</w:t>
            </w:r>
          </w:p>
          <w:p w14:paraId="1FEC7D73" w14:textId="4564EE9D" w:rsidR="002200D7" w:rsidRDefault="002200D7" w:rsidP="007E3E69">
            <w:pPr>
              <w:spacing w:after="0" w:line="264" w:lineRule="exact"/>
              <w:ind w:left="59" w:right="-20"/>
              <w:rPr>
                <w:rFonts w:ascii="Calibri" w:eastAsia="Calibri" w:hAnsi="Calibri" w:cs="Calibri"/>
                <w:lang w:val="es-CO"/>
              </w:rPr>
            </w:pPr>
            <w:r>
              <w:rPr>
                <w:rFonts w:ascii="Calibri" w:eastAsia="Calibri" w:hAnsi="Calibri" w:cs="Calibri"/>
                <w:lang w:val="es-CO"/>
              </w:rPr>
              <w:t>Concurrencia de culpas: 50%</w:t>
            </w:r>
          </w:p>
          <w:p w14:paraId="2B9135C6" w14:textId="371DDE9E"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E02461">
              <w:rPr>
                <w:rFonts w:ascii="Calibri" w:eastAsia="Calibri" w:hAnsi="Calibri" w:cs="Calibri"/>
                <w:lang w:val="es-CO"/>
              </w:rPr>
              <w:t>1</w:t>
            </w:r>
            <w:r w:rsidR="00981902">
              <w:rPr>
                <w:rFonts w:ascii="Calibri" w:eastAsia="Calibri" w:hAnsi="Calibri" w:cs="Calibri"/>
                <w:lang w:val="es-CO"/>
              </w:rPr>
              <w:t>04.681.371</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9124532"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E02461">
              <w:rPr>
                <w:rFonts w:ascii="Calibri" w:eastAsia="Calibri" w:hAnsi="Calibri" w:cs="Calibri"/>
                <w:position w:val="1"/>
                <w:lang w:val="pt-BR"/>
              </w:rPr>
              <w:t>5617</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7A30FDDF"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6FC77D6C"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02461">
              <w:t xml:space="preserve"> </w:t>
            </w:r>
            <w:r w:rsidR="00E02461" w:rsidRPr="00E02461">
              <w:rPr>
                <w:rFonts w:ascii="Calibri" w:eastAsia="Calibri" w:hAnsi="Calibri" w:cs="Calibri"/>
                <w:lang w:val="es-CO"/>
              </w:rPr>
              <w:t>10% DE LA PERDIDA MINIMO $15.000.000 TODA Y CADA PERDIDA</w:t>
            </w:r>
            <w:r w:rsidR="00BC6D63">
              <w:rPr>
                <w:rFonts w:ascii="Calibri" w:eastAsia="Calibri" w:hAnsi="Calibri" w:cs="Calibri"/>
                <w:lang w:val="es-CO"/>
              </w:rPr>
              <w:t xml:space="preserve"> </w:t>
            </w:r>
          </w:p>
          <w:p w14:paraId="385160F1" w14:textId="02FBF2FD"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E02461" w:rsidRPr="00E02461">
              <w:rPr>
                <w:rFonts w:ascii="Calibri" w:eastAsia="Calibri" w:hAnsi="Calibri" w:cs="Calibri"/>
                <w:lang w:val="es-CO"/>
              </w:rPr>
              <w:t>$60.523.459.604 POR EVENTO Y POR VIGENCIA</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0C16C1A6"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61DBDE7" w14:textId="77777777" w:rsidR="00E02461" w:rsidRPr="00E02461" w:rsidRDefault="00E02461" w:rsidP="00E02461">
            <w:pPr>
              <w:spacing w:after="0" w:line="266" w:lineRule="exact"/>
              <w:ind w:right="-20"/>
              <w:jc w:val="both"/>
              <w:rPr>
                <w:rFonts w:ascii="Calibri" w:eastAsia="Calibri" w:hAnsi="Calibri" w:cs="Calibri"/>
                <w:lang w:val="es-419"/>
              </w:rPr>
            </w:pPr>
            <w:r w:rsidRPr="00E02461">
              <w:rPr>
                <w:rFonts w:ascii="Calibri" w:eastAsia="Calibri" w:hAnsi="Calibri" w:cs="Calibri"/>
                <w:lang w:val="es-419"/>
              </w:rPr>
              <w:t>Excepciones previas:</w:t>
            </w:r>
          </w:p>
          <w:p w14:paraId="1E0B2CD3" w14:textId="77777777" w:rsidR="00E02461" w:rsidRPr="00E02461" w:rsidRDefault="00E02461" w:rsidP="00E02461">
            <w:pPr>
              <w:pStyle w:val="Prrafodelista"/>
              <w:numPr>
                <w:ilvl w:val="0"/>
                <w:numId w:val="45"/>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Falta de jurisdicción o competencia.</w:t>
            </w:r>
          </w:p>
          <w:p w14:paraId="2DC34F54" w14:textId="77777777" w:rsidR="00E02461" w:rsidRPr="00E02461" w:rsidRDefault="00E02461" w:rsidP="00E02461">
            <w:pPr>
              <w:pStyle w:val="Prrafodelista"/>
              <w:numPr>
                <w:ilvl w:val="0"/>
                <w:numId w:val="45"/>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Falta de litisconsorcio necesario.</w:t>
            </w:r>
          </w:p>
          <w:p w14:paraId="38C71797" w14:textId="77777777" w:rsidR="00E02461" w:rsidRPr="00E02461" w:rsidRDefault="00E02461" w:rsidP="00E02461">
            <w:pPr>
              <w:pStyle w:val="Prrafodelista"/>
              <w:numPr>
                <w:ilvl w:val="0"/>
                <w:numId w:val="45"/>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Inepta demanda.</w:t>
            </w:r>
          </w:p>
          <w:p w14:paraId="48E0E009" w14:textId="77777777" w:rsidR="00E02461" w:rsidRPr="00E02461" w:rsidRDefault="00E02461" w:rsidP="00E02461">
            <w:pPr>
              <w:pStyle w:val="Prrafodelista"/>
              <w:numPr>
                <w:ilvl w:val="0"/>
                <w:numId w:val="45"/>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 xml:space="preserve">Inepta demanda – falta de agotamiento de requisito de procedibilidad. </w:t>
            </w:r>
          </w:p>
          <w:p w14:paraId="75FF8D7C" w14:textId="77777777" w:rsidR="00E02461" w:rsidRPr="00E02461" w:rsidRDefault="00E02461" w:rsidP="00E02461">
            <w:pPr>
              <w:spacing w:after="0" w:line="266" w:lineRule="exact"/>
              <w:ind w:right="-20"/>
              <w:jc w:val="both"/>
              <w:rPr>
                <w:rFonts w:ascii="Calibri" w:eastAsia="Calibri" w:hAnsi="Calibri" w:cs="Calibri"/>
                <w:lang w:val="es-419"/>
              </w:rPr>
            </w:pPr>
          </w:p>
          <w:p w14:paraId="67E3D48B" w14:textId="77777777" w:rsidR="00E02461" w:rsidRPr="00E02461" w:rsidRDefault="00E02461" w:rsidP="00E02461">
            <w:pPr>
              <w:spacing w:after="0" w:line="266" w:lineRule="exact"/>
              <w:ind w:right="-20"/>
              <w:jc w:val="both"/>
              <w:rPr>
                <w:rFonts w:ascii="Calibri" w:eastAsia="Calibri" w:hAnsi="Calibri" w:cs="Calibri"/>
                <w:lang w:val="es-419"/>
              </w:rPr>
            </w:pPr>
            <w:r w:rsidRPr="00E02461">
              <w:rPr>
                <w:rFonts w:ascii="Calibri" w:eastAsia="Calibri" w:hAnsi="Calibri" w:cs="Calibri"/>
                <w:lang w:val="es-419"/>
              </w:rPr>
              <w:t>Excepciones de mérito:</w:t>
            </w:r>
          </w:p>
          <w:p w14:paraId="2A5DB423" w14:textId="77777777" w:rsidR="00E02461"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Falta de legitimación en la causa por pasiva.</w:t>
            </w:r>
          </w:p>
          <w:p w14:paraId="67D45BCF" w14:textId="77777777" w:rsidR="00E02461"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Inexistencia de responsabilidad.</w:t>
            </w:r>
          </w:p>
          <w:p w14:paraId="58D2FDC6" w14:textId="77777777" w:rsidR="00E02461"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Ruptura del nexo de causalidad por presencia de una causa extraña – hecho exclusivo de la víctima.</w:t>
            </w:r>
          </w:p>
          <w:p w14:paraId="315E6C26" w14:textId="77777777" w:rsidR="00E02461"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Debida diligencia del CONSORCIO SAN JOSE DE MIRANDA.</w:t>
            </w:r>
          </w:p>
          <w:p w14:paraId="0E67B1C5" w14:textId="77777777" w:rsidR="00E02461"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Indebida tasación de perjuicios.</w:t>
            </w:r>
          </w:p>
          <w:p w14:paraId="3B1B7C61" w14:textId="77777777" w:rsidR="00E02461"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Concurrencia de culpas.</w:t>
            </w:r>
          </w:p>
          <w:p w14:paraId="0ED5C04B" w14:textId="287F565A" w:rsidR="00C25552" w:rsidRPr="00E02461" w:rsidRDefault="00E02461" w:rsidP="00E02461">
            <w:pPr>
              <w:pStyle w:val="Prrafodelista"/>
              <w:numPr>
                <w:ilvl w:val="0"/>
                <w:numId w:val="46"/>
              </w:numPr>
              <w:spacing w:after="0" w:line="266" w:lineRule="exact"/>
              <w:ind w:right="-20"/>
              <w:jc w:val="both"/>
              <w:rPr>
                <w:rFonts w:ascii="Calibri" w:eastAsia="Calibri" w:hAnsi="Calibri" w:cs="Calibri"/>
                <w:lang w:val="es-419"/>
              </w:rPr>
            </w:pPr>
            <w:r w:rsidRPr="00E02461">
              <w:rPr>
                <w:rFonts w:ascii="Calibri" w:eastAsia="Calibri" w:hAnsi="Calibri" w:cs="Calibri"/>
                <w:lang w:val="es-419"/>
              </w:rPr>
              <w:t>Genérica.</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FEC8DC0"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Excepciones planteadas por quien efectúa el llamamiento en garantía a mi procurada.</w:t>
            </w:r>
          </w:p>
          <w:p w14:paraId="4106D092"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 xml:space="preserve">Hecho de la víctima como causal </w:t>
            </w:r>
            <w:proofErr w:type="spellStart"/>
            <w:r w:rsidRPr="00E02461">
              <w:rPr>
                <w:rFonts w:ascii="Calibri" w:eastAsia="Calibri" w:hAnsi="Calibri" w:cs="Calibri"/>
                <w:lang w:val="es-CO"/>
              </w:rPr>
              <w:t>exonerativa</w:t>
            </w:r>
            <w:proofErr w:type="spellEnd"/>
            <w:r w:rsidRPr="00E02461">
              <w:rPr>
                <w:rFonts w:ascii="Calibri" w:eastAsia="Calibri" w:hAnsi="Calibri" w:cs="Calibri"/>
                <w:lang w:val="es-CO"/>
              </w:rPr>
              <w:t xml:space="preserve"> de responsabilidad.</w:t>
            </w:r>
          </w:p>
          <w:p w14:paraId="3D7C585E"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Inexistencia de nexo causal entre la conducta de los demandados y el daño antijurídico que se les pretende endilgar.</w:t>
            </w:r>
          </w:p>
          <w:p w14:paraId="6656D421"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 xml:space="preserve">Ausencia de responsabilidad en cabeza de los demandados. </w:t>
            </w:r>
          </w:p>
          <w:p w14:paraId="2C14E8DB"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Improcedencia de la solicitud de reconocimiento de lucro cesante.</w:t>
            </w:r>
          </w:p>
          <w:p w14:paraId="3935DE7E"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Concurrencia de culpas.</w:t>
            </w:r>
          </w:p>
          <w:p w14:paraId="62A565CF" w14:textId="77777777" w:rsidR="00E02461" w:rsidRPr="00E02461" w:rsidRDefault="00E02461" w:rsidP="00E02461">
            <w:pPr>
              <w:pStyle w:val="Prrafodelista"/>
              <w:numPr>
                <w:ilvl w:val="0"/>
                <w:numId w:val="47"/>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Genérica o innominada y otras.</w:t>
            </w:r>
          </w:p>
          <w:p w14:paraId="7E3F8E76" w14:textId="77777777" w:rsidR="00E02461" w:rsidRPr="00E02461" w:rsidRDefault="00E02461" w:rsidP="00E02461">
            <w:pPr>
              <w:spacing w:after="0" w:line="240" w:lineRule="auto"/>
              <w:ind w:right="-20"/>
              <w:jc w:val="both"/>
              <w:rPr>
                <w:rFonts w:ascii="Calibri" w:eastAsia="Calibri" w:hAnsi="Calibri" w:cs="Calibri"/>
                <w:lang w:val="es-CO"/>
              </w:rPr>
            </w:pPr>
          </w:p>
          <w:p w14:paraId="67494405" w14:textId="77777777" w:rsidR="00E02461" w:rsidRPr="00E02461" w:rsidRDefault="00E02461" w:rsidP="00E02461">
            <w:pPr>
              <w:spacing w:after="0" w:line="240" w:lineRule="auto"/>
              <w:ind w:right="-20"/>
              <w:jc w:val="both"/>
              <w:rPr>
                <w:rFonts w:ascii="Calibri" w:eastAsia="Calibri" w:hAnsi="Calibri" w:cs="Calibri"/>
                <w:lang w:val="es-CO"/>
              </w:rPr>
            </w:pPr>
            <w:r w:rsidRPr="00E02461">
              <w:rPr>
                <w:rFonts w:ascii="Calibri" w:eastAsia="Calibri" w:hAnsi="Calibri" w:cs="Calibri"/>
                <w:lang w:val="es-CO"/>
              </w:rPr>
              <w:t>Excepciones frente al llamamiento en garantía:</w:t>
            </w:r>
          </w:p>
          <w:p w14:paraId="00C3571A" w14:textId="77777777" w:rsidR="00E02461" w:rsidRPr="00E02461" w:rsidRDefault="00E02461" w:rsidP="00E02461">
            <w:pPr>
              <w:pStyle w:val="Prrafodelista"/>
              <w:numPr>
                <w:ilvl w:val="0"/>
                <w:numId w:val="48"/>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 xml:space="preserve">Inexistencia de responsabilidad y de obligación indemnizatoria a cargo de CHUBB SEGUROS DE COLOMBIA S.A. por la no realización del riesgo asegurado. </w:t>
            </w:r>
          </w:p>
          <w:p w14:paraId="60F12768" w14:textId="77777777" w:rsidR="00E02461" w:rsidRPr="00E02461" w:rsidRDefault="00E02461" w:rsidP="00E02461">
            <w:pPr>
              <w:pStyle w:val="Prrafodelista"/>
              <w:numPr>
                <w:ilvl w:val="0"/>
                <w:numId w:val="48"/>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Carácter meramente indemnizatorio de los contratos de seguro.</w:t>
            </w:r>
          </w:p>
          <w:p w14:paraId="1E81AC02" w14:textId="77777777" w:rsidR="00E02461" w:rsidRPr="00E02461" w:rsidRDefault="00E02461" w:rsidP="00E02461">
            <w:pPr>
              <w:pStyle w:val="Prrafodelista"/>
              <w:numPr>
                <w:ilvl w:val="0"/>
                <w:numId w:val="48"/>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Coexistencia de seguros.</w:t>
            </w:r>
          </w:p>
          <w:p w14:paraId="6FB084E4" w14:textId="77777777" w:rsidR="00E02461" w:rsidRPr="00E02461" w:rsidRDefault="00E02461" w:rsidP="00E02461">
            <w:pPr>
              <w:pStyle w:val="Prrafodelista"/>
              <w:numPr>
                <w:ilvl w:val="0"/>
                <w:numId w:val="48"/>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Límites máximos de responsabilidad, condiciones del seguro y disponibilidad del valor asegurado.</w:t>
            </w:r>
          </w:p>
          <w:p w14:paraId="61E7198F" w14:textId="77777777" w:rsidR="00E02461" w:rsidRPr="00E02461" w:rsidRDefault="00E02461" w:rsidP="00E02461">
            <w:pPr>
              <w:pStyle w:val="Prrafodelista"/>
              <w:numPr>
                <w:ilvl w:val="0"/>
                <w:numId w:val="48"/>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 xml:space="preserve">En cualquier </w:t>
            </w:r>
            <w:proofErr w:type="gramStart"/>
            <w:r w:rsidRPr="00E02461">
              <w:rPr>
                <w:rFonts w:ascii="Calibri" w:eastAsia="Calibri" w:hAnsi="Calibri" w:cs="Calibri"/>
                <w:lang w:val="es-CO"/>
              </w:rPr>
              <w:t>caso</w:t>
            </w:r>
            <w:proofErr w:type="gramEnd"/>
            <w:r w:rsidRPr="00E02461">
              <w:rPr>
                <w:rFonts w:ascii="Calibri" w:eastAsia="Calibri" w:hAnsi="Calibri" w:cs="Calibri"/>
                <w:lang w:val="es-CO"/>
              </w:rPr>
              <w:t xml:space="preserve"> se deberá tener en cuenta el deducible pactado. </w:t>
            </w:r>
          </w:p>
          <w:p w14:paraId="66997189" w14:textId="79CC712A" w:rsidR="009A793D" w:rsidRPr="00E02461" w:rsidRDefault="00E02461" w:rsidP="00E02461">
            <w:pPr>
              <w:pStyle w:val="Prrafodelista"/>
              <w:numPr>
                <w:ilvl w:val="0"/>
                <w:numId w:val="48"/>
              </w:numPr>
              <w:spacing w:after="0" w:line="240" w:lineRule="auto"/>
              <w:ind w:right="-20"/>
              <w:jc w:val="both"/>
              <w:rPr>
                <w:rFonts w:ascii="Calibri" w:eastAsia="Calibri" w:hAnsi="Calibri" w:cs="Calibri"/>
                <w:lang w:val="es-CO"/>
              </w:rPr>
            </w:pPr>
            <w:r w:rsidRPr="00E02461">
              <w:rPr>
                <w:rFonts w:ascii="Calibri" w:eastAsia="Calibri" w:hAnsi="Calibri" w:cs="Calibri"/>
                <w:lang w:val="es-CO"/>
              </w:rPr>
              <w:t>Genérica, innominada y otras.</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1B2DFD9"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w:t>
            </w:r>
            <w:r w:rsidR="00CF566B">
              <w:rPr>
                <w:rFonts w:ascii="Calibri" w:eastAsia="Calibri" w:hAnsi="Calibri" w:cs="Calibri"/>
                <w:spacing w:val="-1"/>
                <w:position w:val="1"/>
                <w:lang w:val="es-419"/>
              </w:rPr>
              <w:t>x</w:t>
            </w:r>
            <w:r>
              <w:rPr>
                <w:rFonts w:ascii="Calibri" w:eastAsia="Calibri" w:hAnsi="Calibri" w:cs="Calibri"/>
                <w:spacing w:val="-1"/>
                <w:position w:val="1"/>
                <w:lang w:val="es-419"/>
              </w:rPr>
              <w:t>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66424113"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w:t>
            </w:r>
            <w:r w:rsidR="00CF566B">
              <w:rPr>
                <w:rFonts w:ascii="Calibri" w:eastAsia="Calibri" w:hAnsi="Calibri" w:cs="Calibri"/>
                <w:position w:val="1"/>
                <w:lang w:val="es-419"/>
              </w:rPr>
              <w:t>x</w:t>
            </w:r>
            <w:r w:rsidRPr="005531BF">
              <w:rPr>
                <w:rFonts w:ascii="Calibri" w:eastAsia="Calibri" w:hAnsi="Calibri" w:cs="Calibri"/>
                <w:position w:val="1"/>
                <w:lang w:val="es-419"/>
              </w:rPr>
              <w:t>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3FE4224" w14:textId="77777777" w:rsidR="00CD724F" w:rsidRPr="00CD724F" w:rsidRDefault="00CD724F" w:rsidP="00CD724F">
            <w:pPr>
              <w:tabs>
                <w:tab w:val="left" w:pos="3520"/>
              </w:tabs>
              <w:spacing w:after="0" w:line="264" w:lineRule="exact"/>
              <w:ind w:left="59" w:right="-20"/>
              <w:jc w:val="both"/>
              <w:rPr>
                <w:rFonts w:ascii="Calibri" w:eastAsia="Calibri" w:hAnsi="Calibri" w:cs="Calibri"/>
                <w:lang w:val="es-CO"/>
              </w:rPr>
            </w:pPr>
            <w:r w:rsidRPr="00CD724F">
              <w:rPr>
                <w:rFonts w:ascii="Calibri" w:eastAsia="Calibri" w:hAnsi="Calibri" w:cs="Calibri"/>
                <w:lang w:val="es-CO"/>
              </w:rPr>
              <w:t>La contingencia se califica como PROBABLE, considerando que la póliza 12/5617 presta cobertura temporal y material para el evento de responsabilidad civil extracontractual, y aunado a ello, se encuentra acreditada la concurrencia de culpas.</w:t>
            </w:r>
          </w:p>
          <w:p w14:paraId="7C3C5D2E" w14:textId="77777777" w:rsidR="00CD724F" w:rsidRPr="00CD724F" w:rsidRDefault="00CD724F" w:rsidP="00CD724F">
            <w:pPr>
              <w:tabs>
                <w:tab w:val="left" w:pos="3520"/>
              </w:tabs>
              <w:spacing w:after="0" w:line="264" w:lineRule="exact"/>
              <w:ind w:left="59" w:right="-20"/>
              <w:jc w:val="both"/>
              <w:rPr>
                <w:rFonts w:ascii="Calibri" w:eastAsia="Calibri" w:hAnsi="Calibri" w:cs="Calibri"/>
                <w:lang w:val="es-CO"/>
              </w:rPr>
            </w:pPr>
            <w:r w:rsidRPr="00CD724F">
              <w:rPr>
                <w:rFonts w:ascii="Calibri" w:eastAsia="Calibri" w:hAnsi="Calibri" w:cs="Calibri"/>
                <w:lang w:val="es-CO"/>
              </w:rPr>
              <w:t>Lo primero que debe tomarse en consideración es que la Póliza No. 12/5617, cuyo asegurado es el CONSORCIO SAN JOSÉ DE MIRANDA presta cobertura material y temporal, de conformidad con los hechos y pretensiones expuestas en el líbelo de la demanda. Frente a la cobertura temporal, debe señalarse que la ocurrencia del accidente (30 de septiembre de 2014) se encuentra dentro de la limitación temporal de la Póliza en mención, comprendida desde el 3 de julio de 2009 hasta el 4 de diciembre de 2014 bajo la modalidad de ocurrencia. Aunado a ello, presta cobertura material en tanto ampara la responsabilidad civil extracontractual, pretensión que se le endilga al extremo pasivo.</w:t>
            </w:r>
          </w:p>
          <w:p w14:paraId="32CFA286" w14:textId="77777777" w:rsidR="00CD724F" w:rsidRPr="00CD724F" w:rsidRDefault="00CD724F" w:rsidP="00CD724F">
            <w:pPr>
              <w:tabs>
                <w:tab w:val="left" w:pos="3520"/>
              </w:tabs>
              <w:spacing w:after="0" w:line="264" w:lineRule="exact"/>
              <w:ind w:left="59" w:right="-20"/>
              <w:jc w:val="both"/>
              <w:rPr>
                <w:rFonts w:ascii="Calibri" w:eastAsia="Calibri" w:hAnsi="Calibri" w:cs="Calibri"/>
                <w:lang w:val="es-CO"/>
              </w:rPr>
            </w:pPr>
          </w:p>
          <w:p w14:paraId="629ACF69" w14:textId="77777777" w:rsidR="00CD724F" w:rsidRPr="00CD724F" w:rsidRDefault="00CD724F" w:rsidP="00CD724F">
            <w:pPr>
              <w:tabs>
                <w:tab w:val="left" w:pos="3520"/>
              </w:tabs>
              <w:spacing w:after="0" w:line="264" w:lineRule="exact"/>
              <w:ind w:left="59" w:right="-20"/>
              <w:jc w:val="both"/>
              <w:rPr>
                <w:rFonts w:ascii="Calibri" w:eastAsia="Calibri" w:hAnsi="Calibri" w:cs="Calibri"/>
                <w:lang w:val="es-CO"/>
              </w:rPr>
            </w:pPr>
            <w:r w:rsidRPr="00CD724F">
              <w:rPr>
                <w:rFonts w:ascii="Calibri" w:eastAsia="Calibri" w:hAnsi="Calibri" w:cs="Calibri"/>
                <w:lang w:val="es-CO"/>
              </w:rPr>
              <w:t xml:space="preserve">Por otro lado, frente a la responsabilidad del asegurado, debe mencionarse que aquella se encuentra demostrada considerando </w:t>
            </w:r>
            <w:proofErr w:type="gramStart"/>
            <w:r w:rsidRPr="00CD724F">
              <w:rPr>
                <w:rFonts w:ascii="Calibri" w:eastAsia="Calibri" w:hAnsi="Calibri" w:cs="Calibri"/>
                <w:lang w:val="es-CO"/>
              </w:rPr>
              <w:t>que  se</w:t>
            </w:r>
            <w:proofErr w:type="gramEnd"/>
            <w:r w:rsidRPr="00CD724F">
              <w:rPr>
                <w:rFonts w:ascii="Calibri" w:eastAsia="Calibri" w:hAnsi="Calibri" w:cs="Calibri"/>
                <w:lang w:val="es-CO"/>
              </w:rPr>
              <w:t xml:space="preserve"> aporta informe policial de accidente de tránsito número A167417, el cual describe en las observaciones lo siguiente “(…) la señalización en la obra donde ocurrió el accidente es defectuosa y no contiene una distancia prudente que permita una maniobra de reacción oportuna”. Sin embargo, hay que tener en cuenta que, según el IPAT, el señor José Agustín Jiménez llevaba dos pasajeros en una motocicleta, la cual está destinada solamente para el traslado de un pasajero; adicionalmente no portaba casco de seguridad, no tenía licencia de conducción, ni SOAT al momento de ocurrencia de los hechos, situación que configura también un hecho de la víctima, lo que se traduce en que en este caso existe una concurrencia de culpas, razón por la cual la contingencia se califica como PROBABLE.</w:t>
            </w:r>
          </w:p>
          <w:p w14:paraId="6813DC17" w14:textId="77777777" w:rsidR="00CD724F" w:rsidRPr="00CD724F" w:rsidRDefault="00CD724F" w:rsidP="00CD724F">
            <w:pPr>
              <w:tabs>
                <w:tab w:val="left" w:pos="3520"/>
              </w:tabs>
              <w:spacing w:after="0" w:line="264" w:lineRule="exact"/>
              <w:ind w:left="59" w:right="-20"/>
              <w:jc w:val="both"/>
              <w:rPr>
                <w:rFonts w:ascii="Calibri" w:eastAsia="Calibri" w:hAnsi="Calibri" w:cs="Calibri"/>
                <w:lang w:val="es-CO"/>
              </w:rPr>
            </w:pPr>
          </w:p>
          <w:p w14:paraId="425119B2" w14:textId="5CEF3C3D" w:rsidR="007E3E69" w:rsidRPr="00675B7A" w:rsidRDefault="00CD724F" w:rsidP="00CD724F">
            <w:pPr>
              <w:tabs>
                <w:tab w:val="left" w:pos="3520"/>
              </w:tabs>
              <w:spacing w:after="0" w:line="264" w:lineRule="exact"/>
              <w:ind w:left="59" w:right="-20"/>
              <w:jc w:val="both"/>
              <w:rPr>
                <w:rFonts w:ascii="Calibri" w:eastAsia="Calibri" w:hAnsi="Calibri" w:cs="Calibri"/>
                <w:lang w:val="es-CO"/>
              </w:rPr>
            </w:pPr>
            <w:r w:rsidRPr="00CD724F">
              <w:rPr>
                <w:rFonts w:ascii="Calibri" w:eastAsia="Calibri" w:hAnsi="Calibri" w:cs="Calibri"/>
                <w:lang w:val="es-CO"/>
              </w:rPr>
              <w:lastRenderedPageBreak/>
              <w:t>Lo anterior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01FC2A21"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r w:rsidR="009E0EC2">
              <w:rPr>
                <w:rFonts w:ascii="Calibri" w:eastAsia="Calibri" w:hAnsi="Calibri" w:cs="Calibri"/>
                <w:lang w:val="es-CO"/>
              </w:rPr>
              <w:t xml:space="preserve">$104.681.372 correspondiente al 50%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43EB3B33" w:rsidR="007E3E69" w:rsidRPr="00990765" w:rsidRDefault="00D6635A" w:rsidP="00990765">
            <w:pPr>
              <w:rPr>
                <w:rFonts w:ascii="Calibri" w:eastAsia="Calibri" w:hAnsi="Calibri" w:cs="Calibri"/>
                <w:lang w:val="es-CO"/>
              </w:rPr>
            </w:pPr>
            <w:r w:rsidRPr="00D6635A">
              <w:rPr>
                <w:rFonts w:ascii="Calibri" w:eastAsia="Calibri" w:hAnsi="Calibri" w:cs="Calibri"/>
                <w:lang w:val="es-CO"/>
              </w:rPr>
              <w:t xml:space="preserve">12-03-2024 </w:t>
            </w:r>
            <w:r>
              <w:rPr>
                <w:rFonts w:ascii="Calibri" w:eastAsia="Calibri" w:hAnsi="Calibri" w:cs="Calibri"/>
                <w:lang w:val="es-CO"/>
              </w:rPr>
              <w:t xml:space="preserve">- </w:t>
            </w:r>
            <w:r w:rsidRPr="00D6635A">
              <w:rPr>
                <w:rFonts w:ascii="Calibri" w:eastAsia="Calibri" w:hAnsi="Calibri" w:cs="Calibri"/>
                <w:lang w:val="es-CO"/>
              </w:rPr>
              <w:t>El juzgado  1 Promiscuo del Circuito de Málaga – Santander  resolvió avocar conocimiento  del reingreso del proceso y programó el  14 de mayo de 2024 a las 9am para llevarse a cabo a la audiencia de que trata el art. 372 y 373 del CGP.</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4275EB58"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procesal se recomienda tener animo conciliatorio, conforme a lo expuesto en el concepto jurídico. </w:t>
            </w:r>
            <w:r w:rsidR="003C1E29">
              <w:rPr>
                <w:rFonts w:ascii="Calibri" w:eastAsia="Calibri" w:hAnsi="Calibri" w:cs="Calibri"/>
                <w:lang w:val="es-CO"/>
              </w:rPr>
              <w:t>Hasta por el 80% del valor de la contingencia es decir $83.745.097. No obstante, se est</w:t>
            </w:r>
            <w:r w:rsidR="004E3E59">
              <w:rPr>
                <w:rFonts w:ascii="Calibri" w:eastAsia="Calibri" w:hAnsi="Calibri" w:cs="Calibri"/>
                <w:lang w:val="es-CO"/>
              </w:rPr>
              <w:t>á</w:t>
            </w:r>
            <w:r w:rsidR="003C1E29">
              <w:rPr>
                <w:rFonts w:ascii="Calibri" w:eastAsia="Calibri" w:hAnsi="Calibri" w:cs="Calibri"/>
                <w:lang w:val="es-CO"/>
              </w:rPr>
              <w:t xml:space="preserve"> validando con el asegurado </w:t>
            </w:r>
            <w:r w:rsidR="004E3E59">
              <w:rPr>
                <w:rFonts w:ascii="Calibri" w:eastAsia="Calibri" w:hAnsi="Calibri" w:cs="Calibri"/>
                <w:lang w:val="es-CO"/>
              </w:rPr>
              <w:t xml:space="preserve">su postura. </w:t>
            </w:r>
            <w:r w:rsidR="00A40040">
              <w:rPr>
                <w:rFonts w:ascii="Calibri" w:eastAsia="Calibri" w:hAnsi="Calibri" w:cs="Calibri"/>
                <w:lang w:val="es-CO"/>
              </w:rPr>
              <w:t xml:space="preserve"> </w:t>
            </w:r>
            <w:r w:rsidR="00AB0031">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F2EA" w14:textId="77777777" w:rsidR="00EF0F08" w:rsidRDefault="00EF0F08" w:rsidP="00464E10">
      <w:pPr>
        <w:spacing w:after="0" w:line="240" w:lineRule="auto"/>
      </w:pPr>
      <w:r>
        <w:separator/>
      </w:r>
    </w:p>
  </w:endnote>
  <w:endnote w:type="continuationSeparator" w:id="0">
    <w:p w14:paraId="4443B09E" w14:textId="77777777" w:rsidR="00EF0F08" w:rsidRDefault="00EF0F08"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5EFA" w14:textId="77777777" w:rsidR="00EF0F08" w:rsidRDefault="00EF0F08" w:rsidP="00464E10">
      <w:pPr>
        <w:spacing w:after="0" w:line="240" w:lineRule="auto"/>
      </w:pPr>
      <w:r>
        <w:separator/>
      </w:r>
    </w:p>
  </w:footnote>
  <w:footnote w:type="continuationSeparator" w:id="0">
    <w:p w14:paraId="4C876FED" w14:textId="77777777" w:rsidR="00EF0F08" w:rsidRDefault="00EF0F08"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040B29"/>
    <w:multiLevelType w:val="hybridMultilevel"/>
    <w:tmpl w:val="C1625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EB5292"/>
    <w:multiLevelType w:val="hybridMultilevel"/>
    <w:tmpl w:val="7FDE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621947"/>
    <w:multiLevelType w:val="hybridMultilevel"/>
    <w:tmpl w:val="31C2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2464CC"/>
    <w:multiLevelType w:val="hybridMultilevel"/>
    <w:tmpl w:val="860C1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7F38DB"/>
    <w:multiLevelType w:val="hybridMultilevel"/>
    <w:tmpl w:val="E8A25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7F3A0B"/>
    <w:multiLevelType w:val="hybridMultilevel"/>
    <w:tmpl w:val="15442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A429AB"/>
    <w:multiLevelType w:val="hybridMultilevel"/>
    <w:tmpl w:val="67F6E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9242157"/>
    <w:multiLevelType w:val="hybridMultilevel"/>
    <w:tmpl w:val="7FAA4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0062BC4"/>
    <w:multiLevelType w:val="hybridMultilevel"/>
    <w:tmpl w:val="601A2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9"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42"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9967B4F"/>
    <w:multiLevelType w:val="hybridMultilevel"/>
    <w:tmpl w:val="963E5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B6D7069"/>
    <w:multiLevelType w:val="hybridMultilevel"/>
    <w:tmpl w:val="621E8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B8112BB"/>
    <w:multiLevelType w:val="hybridMultilevel"/>
    <w:tmpl w:val="67022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3"/>
  </w:num>
  <w:num w:numId="2" w16cid:durableId="42338022">
    <w:abstractNumId w:val="41"/>
  </w:num>
  <w:num w:numId="3" w16cid:durableId="1952973066">
    <w:abstractNumId w:val="3"/>
  </w:num>
  <w:num w:numId="4" w16cid:durableId="391923332">
    <w:abstractNumId w:val="44"/>
  </w:num>
  <w:num w:numId="5" w16cid:durableId="1485508420">
    <w:abstractNumId w:val="30"/>
  </w:num>
  <w:num w:numId="6" w16cid:durableId="1229027101">
    <w:abstractNumId w:val="38"/>
  </w:num>
  <w:num w:numId="7" w16cid:durableId="1831141430">
    <w:abstractNumId w:val="20"/>
  </w:num>
  <w:num w:numId="8" w16cid:durableId="861169331">
    <w:abstractNumId w:val="23"/>
  </w:num>
  <w:num w:numId="9" w16cid:durableId="1243679302">
    <w:abstractNumId w:val="25"/>
  </w:num>
  <w:num w:numId="10" w16cid:durableId="289168077">
    <w:abstractNumId w:val="17"/>
  </w:num>
  <w:num w:numId="11" w16cid:durableId="1263798435">
    <w:abstractNumId w:val="4"/>
  </w:num>
  <w:num w:numId="12" w16cid:durableId="1956205555">
    <w:abstractNumId w:val="42"/>
  </w:num>
  <w:num w:numId="13" w16cid:durableId="1164202511">
    <w:abstractNumId w:val="34"/>
  </w:num>
  <w:num w:numId="14" w16cid:durableId="1412507570">
    <w:abstractNumId w:val="10"/>
  </w:num>
  <w:num w:numId="15" w16cid:durableId="730425482">
    <w:abstractNumId w:val="39"/>
  </w:num>
  <w:num w:numId="16" w16cid:durableId="846746930">
    <w:abstractNumId w:val="16"/>
  </w:num>
  <w:num w:numId="17" w16cid:durableId="1673409162">
    <w:abstractNumId w:val="2"/>
  </w:num>
  <w:num w:numId="18" w16cid:durableId="524446047">
    <w:abstractNumId w:val="21"/>
  </w:num>
  <w:num w:numId="19" w16cid:durableId="1772358953">
    <w:abstractNumId w:val="5"/>
  </w:num>
  <w:num w:numId="20" w16cid:durableId="1079061137">
    <w:abstractNumId w:val="32"/>
  </w:num>
  <w:num w:numId="21" w16cid:durableId="254285786">
    <w:abstractNumId w:val="27"/>
  </w:num>
  <w:num w:numId="22" w16cid:durableId="903758410">
    <w:abstractNumId w:val="40"/>
  </w:num>
  <w:num w:numId="23" w16cid:durableId="1133912039">
    <w:abstractNumId w:val="12"/>
  </w:num>
  <w:num w:numId="24" w16cid:durableId="826048483">
    <w:abstractNumId w:val="0"/>
  </w:num>
  <w:num w:numId="25" w16cid:durableId="1716350039">
    <w:abstractNumId w:val="11"/>
  </w:num>
  <w:num w:numId="26" w16cid:durableId="780414419">
    <w:abstractNumId w:val="14"/>
  </w:num>
  <w:num w:numId="27" w16cid:durableId="2125926578">
    <w:abstractNumId w:val="15"/>
  </w:num>
  <w:num w:numId="28" w16cid:durableId="1008749095">
    <w:abstractNumId w:val="1"/>
  </w:num>
  <w:num w:numId="29" w16cid:durableId="708142430">
    <w:abstractNumId w:val="9"/>
  </w:num>
  <w:num w:numId="30" w16cid:durableId="1433361525">
    <w:abstractNumId w:val="19"/>
  </w:num>
  <w:num w:numId="31" w16cid:durableId="428818017">
    <w:abstractNumId w:val="28"/>
  </w:num>
  <w:num w:numId="32" w16cid:durableId="1071460613">
    <w:abstractNumId w:val="36"/>
  </w:num>
  <w:num w:numId="33" w16cid:durableId="1465543123">
    <w:abstractNumId w:val="6"/>
  </w:num>
  <w:num w:numId="34" w16cid:durableId="1374694097">
    <w:abstractNumId w:val="43"/>
  </w:num>
  <w:num w:numId="35" w16cid:durableId="112209532">
    <w:abstractNumId w:val="29"/>
  </w:num>
  <w:num w:numId="36" w16cid:durableId="364411239">
    <w:abstractNumId w:val="8"/>
  </w:num>
  <w:num w:numId="37" w16cid:durableId="1380862366">
    <w:abstractNumId w:val="45"/>
  </w:num>
  <w:num w:numId="38" w16cid:durableId="1532690456">
    <w:abstractNumId w:val="33"/>
  </w:num>
  <w:num w:numId="39" w16cid:durableId="1297371438">
    <w:abstractNumId w:val="22"/>
  </w:num>
  <w:num w:numId="40" w16cid:durableId="806973852">
    <w:abstractNumId w:val="18"/>
  </w:num>
  <w:num w:numId="41" w16cid:durableId="1925265370">
    <w:abstractNumId w:val="46"/>
  </w:num>
  <w:num w:numId="42" w16cid:durableId="1171263562">
    <w:abstractNumId w:val="7"/>
  </w:num>
  <w:num w:numId="43" w16cid:durableId="1981878208">
    <w:abstractNumId w:val="47"/>
  </w:num>
  <w:num w:numId="44" w16cid:durableId="2074427580">
    <w:abstractNumId w:val="24"/>
  </w:num>
  <w:num w:numId="45" w16cid:durableId="1484807612">
    <w:abstractNumId w:val="37"/>
  </w:num>
  <w:num w:numId="46" w16cid:durableId="1336614584">
    <w:abstractNumId w:val="26"/>
  </w:num>
  <w:num w:numId="47" w16cid:durableId="1227497251">
    <w:abstractNumId w:val="35"/>
  </w:num>
  <w:num w:numId="48" w16cid:durableId="8802411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31AA9"/>
    <w:rsid w:val="00034406"/>
    <w:rsid w:val="00041E72"/>
    <w:rsid w:val="000423C5"/>
    <w:rsid w:val="00054EE9"/>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1863"/>
    <w:rsid w:val="000C3E8B"/>
    <w:rsid w:val="000C5295"/>
    <w:rsid w:val="000D60F7"/>
    <w:rsid w:val="000E4BC1"/>
    <w:rsid w:val="000E6208"/>
    <w:rsid w:val="000E732A"/>
    <w:rsid w:val="000E7A4B"/>
    <w:rsid w:val="000E7C4C"/>
    <w:rsid w:val="000F0705"/>
    <w:rsid w:val="000F1997"/>
    <w:rsid w:val="000F4A41"/>
    <w:rsid w:val="000F5FDC"/>
    <w:rsid w:val="000F6216"/>
    <w:rsid w:val="000F62F0"/>
    <w:rsid w:val="000F74D0"/>
    <w:rsid w:val="00102029"/>
    <w:rsid w:val="0010229B"/>
    <w:rsid w:val="00111B3F"/>
    <w:rsid w:val="0011352A"/>
    <w:rsid w:val="00117292"/>
    <w:rsid w:val="00130210"/>
    <w:rsid w:val="00134A1C"/>
    <w:rsid w:val="001353B6"/>
    <w:rsid w:val="00135896"/>
    <w:rsid w:val="00135C13"/>
    <w:rsid w:val="00136FFE"/>
    <w:rsid w:val="00147A63"/>
    <w:rsid w:val="00155474"/>
    <w:rsid w:val="00155526"/>
    <w:rsid w:val="00157CD6"/>
    <w:rsid w:val="001630F6"/>
    <w:rsid w:val="001672E4"/>
    <w:rsid w:val="00167A63"/>
    <w:rsid w:val="00172711"/>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C38A7"/>
    <w:rsid w:val="001C3DB0"/>
    <w:rsid w:val="001C4D71"/>
    <w:rsid w:val="001D180D"/>
    <w:rsid w:val="001D49B0"/>
    <w:rsid w:val="001D6460"/>
    <w:rsid w:val="001D7838"/>
    <w:rsid w:val="001D7917"/>
    <w:rsid w:val="001E5E44"/>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474D"/>
    <w:rsid w:val="00244FE1"/>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937D9"/>
    <w:rsid w:val="00293A1B"/>
    <w:rsid w:val="00296097"/>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F57"/>
    <w:rsid w:val="002F346E"/>
    <w:rsid w:val="002F6689"/>
    <w:rsid w:val="00302860"/>
    <w:rsid w:val="00311BE1"/>
    <w:rsid w:val="003154C4"/>
    <w:rsid w:val="00320295"/>
    <w:rsid w:val="00321781"/>
    <w:rsid w:val="00322150"/>
    <w:rsid w:val="00324DC7"/>
    <w:rsid w:val="00326857"/>
    <w:rsid w:val="00326BC1"/>
    <w:rsid w:val="003303EE"/>
    <w:rsid w:val="00333617"/>
    <w:rsid w:val="00336EAF"/>
    <w:rsid w:val="00346115"/>
    <w:rsid w:val="00351E67"/>
    <w:rsid w:val="00354F43"/>
    <w:rsid w:val="00355003"/>
    <w:rsid w:val="00355C73"/>
    <w:rsid w:val="00362DD9"/>
    <w:rsid w:val="003637A1"/>
    <w:rsid w:val="00365C96"/>
    <w:rsid w:val="00366964"/>
    <w:rsid w:val="003707FC"/>
    <w:rsid w:val="00371BE2"/>
    <w:rsid w:val="00374006"/>
    <w:rsid w:val="00384A80"/>
    <w:rsid w:val="00385A5D"/>
    <w:rsid w:val="003873D2"/>
    <w:rsid w:val="00391B69"/>
    <w:rsid w:val="00392DA8"/>
    <w:rsid w:val="00394BB6"/>
    <w:rsid w:val="003A1EBB"/>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3067"/>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271DE"/>
    <w:rsid w:val="00432E83"/>
    <w:rsid w:val="00435BA5"/>
    <w:rsid w:val="00437C7B"/>
    <w:rsid w:val="004415E7"/>
    <w:rsid w:val="00441FF0"/>
    <w:rsid w:val="0044390F"/>
    <w:rsid w:val="004539D7"/>
    <w:rsid w:val="004553C1"/>
    <w:rsid w:val="00461ECD"/>
    <w:rsid w:val="00463970"/>
    <w:rsid w:val="00463BAC"/>
    <w:rsid w:val="00464E10"/>
    <w:rsid w:val="00464FDD"/>
    <w:rsid w:val="0047206A"/>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6763"/>
    <w:rsid w:val="004E282C"/>
    <w:rsid w:val="004E391B"/>
    <w:rsid w:val="004E3C5D"/>
    <w:rsid w:val="004E3E59"/>
    <w:rsid w:val="004E43A4"/>
    <w:rsid w:val="004F4046"/>
    <w:rsid w:val="004F57FC"/>
    <w:rsid w:val="004F5B65"/>
    <w:rsid w:val="00502220"/>
    <w:rsid w:val="005053D5"/>
    <w:rsid w:val="005147D8"/>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5DDE"/>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6D79"/>
    <w:rsid w:val="00601B7A"/>
    <w:rsid w:val="00603380"/>
    <w:rsid w:val="00611AB5"/>
    <w:rsid w:val="00614827"/>
    <w:rsid w:val="00616BA5"/>
    <w:rsid w:val="00617AB9"/>
    <w:rsid w:val="00621622"/>
    <w:rsid w:val="00625A67"/>
    <w:rsid w:val="00627082"/>
    <w:rsid w:val="00632679"/>
    <w:rsid w:val="00633BED"/>
    <w:rsid w:val="00633DBB"/>
    <w:rsid w:val="00636AB0"/>
    <w:rsid w:val="00640FC9"/>
    <w:rsid w:val="0064413B"/>
    <w:rsid w:val="00646758"/>
    <w:rsid w:val="0064777D"/>
    <w:rsid w:val="0064778F"/>
    <w:rsid w:val="0065027B"/>
    <w:rsid w:val="006518FE"/>
    <w:rsid w:val="00652FCA"/>
    <w:rsid w:val="0065760C"/>
    <w:rsid w:val="00670B3B"/>
    <w:rsid w:val="00675B7A"/>
    <w:rsid w:val="00683EDE"/>
    <w:rsid w:val="00686632"/>
    <w:rsid w:val="00687DD4"/>
    <w:rsid w:val="00696A44"/>
    <w:rsid w:val="006A2477"/>
    <w:rsid w:val="006A4DCE"/>
    <w:rsid w:val="006B0F36"/>
    <w:rsid w:val="006B3E30"/>
    <w:rsid w:val="006C307D"/>
    <w:rsid w:val="006C46E8"/>
    <w:rsid w:val="006C485B"/>
    <w:rsid w:val="006C5DDC"/>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64DE7"/>
    <w:rsid w:val="007710FD"/>
    <w:rsid w:val="0077256F"/>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14D5"/>
    <w:rsid w:val="007D55E9"/>
    <w:rsid w:val="007E2CB7"/>
    <w:rsid w:val="007E2E45"/>
    <w:rsid w:val="007E3E69"/>
    <w:rsid w:val="007E71FA"/>
    <w:rsid w:val="007F1D16"/>
    <w:rsid w:val="007F5C9F"/>
    <w:rsid w:val="007F5DCD"/>
    <w:rsid w:val="008026C0"/>
    <w:rsid w:val="00802868"/>
    <w:rsid w:val="00803CE4"/>
    <w:rsid w:val="00804F5C"/>
    <w:rsid w:val="008076F1"/>
    <w:rsid w:val="008109AD"/>
    <w:rsid w:val="00811EC5"/>
    <w:rsid w:val="008124D1"/>
    <w:rsid w:val="00821C80"/>
    <w:rsid w:val="0082639E"/>
    <w:rsid w:val="00827266"/>
    <w:rsid w:val="008344C7"/>
    <w:rsid w:val="0083734C"/>
    <w:rsid w:val="008403B3"/>
    <w:rsid w:val="008426FB"/>
    <w:rsid w:val="00850347"/>
    <w:rsid w:val="00851A8F"/>
    <w:rsid w:val="00852EA4"/>
    <w:rsid w:val="0085442D"/>
    <w:rsid w:val="00854EC2"/>
    <w:rsid w:val="0085526A"/>
    <w:rsid w:val="00856A08"/>
    <w:rsid w:val="00865C31"/>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1B8A"/>
    <w:rsid w:val="008B21E3"/>
    <w:rsid w:val="008B2D76"/>
    <w:rsid w:val="008B6960"/>
    <w:rsid w:val="008B6DC3"/>
    <w:rsid w:val="008C5740"/>
    <w:rsid w:val="008C58F4"/>
    <w:rsid w:val="008D3933"/>
    <w:rsid w:val="008E1A5C"/>
    <w:rsid w:val="008E3EA0"/>
    <w:rsid w:val="008F479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0DA1"/>
    <w:rsid w:val="009510CB"/>
    <w:rsid w:val="0095173E"/>
    <w:rsid w:val="0095193B"/>
    <w:rsid w:val="00952357"/>
    <w:rsid w:val="0095542E"/>
    <w:rsid w:val="009608C8"/>
    <w:rsid w:val="00961A7E"/>
    <w:rsid w:val="00961EF3"/>
    <w:rsid w:val="00971290"/>
    <w:rsid w:val="00972C94"/>
    <w:rsid w:val="0097396F"/>
    <w:rsid w:val="00976316"/>
    <w:rsid w:val="00976E25"/>
    <w:rsid w:val="00981863"/>
    <w:rsid w:val="00981902"/>
    <w:rsid w:val="00984A87"/>
    <w:rsid w:val="00984F86"/>
    <w:rsid w:val="00990765"/>
    <w:rsid w:val="009934C4"/>
    <w:rsid w:val="00994FA1"/>
    <w:rsid w:val="0099591E"/>
    <w:rsid w:val="00995FC2"/>
    <w:rsid w:val="0099732F"/>
    <w:rsid w:val="009A01DE"/>
    <w:rsid w:val="009A3D5A"/>
    <w:rsid w:val="009A6ED3"/>
    <w:rsid w:val="009A76F3"/>
    <w:rsid w:val="009A793D"/>
    <w:rsid w:val="009C29F3"/>
    <w:rsid w:val="009C4CAA"/>
    <w:rsid w:val="009D1FD7"/>
    <w:rsid w:val="009D392A"/>
    <w:rsid w:val="009D505E"/>
    <w:rsid w:val="009D6790"/>
    <w:rsid w:val="009D7152"/>
    <w:rsid w:val="009E0EC2"/>
    <w:rsid w:val="009E123C"/>
    <w:rsid w:val="009E332D"/>
    <w:rsid w:val="009E41AC"/>
    <w:rsid w:val="009E69D0"/>
    <w:rsid w:val="009F1C24"/>
    <w:rsid w:val="009F4C3A"/>
    <w:rsid w:val="009F5BCE"/>
    <w:rsid w:val="00A0000B"/>
    <w:rsid w:val="00A01F7B"/>
    <w:rsid w:val="00A0611F"/>
    <w:rsid w:val="00A06916"/>
    <w:rsid w:val="00A06D0B"/>
    <w:rsid w:val="00A11903"/>
    <w:rsid w:val="00A1229F"/>
    <w:rsid w:val="00A12E26"/>
    <w:rsid w:val="00A140D6"/>
    <w:rsid w:val="00A14760"/>
    <w:rsid w:val="00A15682"/>
    <w:rsid w:val="00A15D53"/>
    <w:rsid w:val="00A2181E"/>
    <w:rsid w:val="00A22F3B"/>
    <w:rsid w:val="00A342B0"/>
    <w:rsid w:val="00A367C9"/>
    <w:rsid w:val="00A37B9C"/>
    <w:rsid w:val="00A40040"/>
    <w:rsid w:val="00A41C1B"/>
    <w:rsid w:val="00A41E0B"/>
    <w:rsid w:val="00A4446F"/>
    <w:rsid w:val="00A5073F"/>
    <w:rsid w:val="00A53F9B"/>
    <w:rsid w:val="00A559F0"/>
    <w:rsid w:val="00A60E21"/>
    <w:rsid w:val="00A66142"/>
    <w:rsid w:val="00A66DEB"/>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3149"/>
    <w:rsid w:val="00AE488E"/>
    <w:rsid w:val="00AE627F"/>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71827"/>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C4ECC"/>
    <w:rsid w:val="00BC5AE0"/>
    <w:rsid w:val="00BC5F8F"/>
    <w:rsid w:val="00BC6D63"/>
    <w:rsid w:val="00BC7A1B"/>
    <w:rsid w:val="00BD32E0"/>
    <w:rsid w:val="00BD40E1"/>
    <w:rsid w:val="00BE2545"/>
    <w:rsid w:val="00BE6389"/>
    <w:rsid w:val="00BE660E"/>
    <w:rsid w:val="00BF2E26"/>
    <w:rsid w:val="00BF3035"/>
    <w:rsid w:val="00BF3336"/>
    <w:rsid w:val="00BF3A80"/>
    <w:rsid w:val="00BF3FDB"/>
    <w:rsid w:val="00BF50C1"/>
    <w:rsid w:val="00BF6D0C"/>
    <w:rsid w:val="00BF7970"/>
    <w:rsid w:val="00C0163E"/>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609C"/>
    <w:rsid w:val="00C56B6F"/>
    <w:rsid w:val="00C6240F"/>
    <w:rsid w:val="00C64079"/>
    <w:rsid w:val="00C643F3"/>
    <w:rsid w:val="00C67B59"/>
    <w:rsid w:val="00C715FA"/>
    <w:rsid w:val="00C82228"/>
    <w:rsid w:val="00C82465"/>
    <w:rsid w:val="00C83221"/>
    <w:rsid w:val="00C8401D"/>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F4150"/>
    <w:rsid w:val="00CF566B"/>
    <w:rsid w:val="00D0035A"/>
    <w:rsid w:val="00D024FE"/>
    <w:rsid w:val="00D0271C"/>
    <w:rsid w:val="00D0745D"/>
    <w:rsid w:val="00D12F97"/>
    <w:rsid w:val="00D14B03"/>
    <w:rsid w:val="00D14B62"/>
    <w:rsid w:val="00D153F0"/>
    <w:rsid w:val="00D22A6F"/>
    <w:rsid w:val="00D27BEA"/>
    <w:rsid w:val="00D317B4"/>
    <w:rsid w:val="00D33EB2"/>
    <w:rsid w:val="00D42C38"/>
    <w:rsid w:val="00D52832"/>
    <w:rsid w:val="00D5455D"/>
    <w:rsid w:val="00D57893"/>
    <w:rsid w:val="00D60C53"/>
    <w:rsid w:val="00D62866"/>
    <w:rsid w:val="00D6635A"/>
    <w:rsid w:val="00D7270A"/>
    <w:rsid w:val="00D81F37"/>
    <w:rsid w:val="00D83FCE"/>
    <w:rsid w:val="00DA5B1F"/>
    <w:rsid w:val="00DB3BDB"/>
    <w:rsid w:val="00DC2195"/>
    <w:rsid w:val="00DC3D49"/>
    <w:rsid w:val="00DC4D0A"/>
    <w:rsid w:val="00DC6663"/>
    <w:rsid w:val="00DD2D67"/>
    <w:rsid w:val="00DD5A01"/>
    <w:rsid w:val="00DE57FC"/>
    <w:rsid w:val="00DF342B"/>
    <w:rsid w:val="00E02461"/>
    <w:rsid w:val="00E05524"/>
    <w:rsid w:val="00E11423"/>
    <w:rsid w:val="00E124F5"/>
    <w:rsid w:val="00E16B3C"/>
    <w:rsid w:val="00E17959"/>
    <w:rsid w:val="00E23CE2"/>
    <w:rsid w:val="00E253F5"/>
    <w:rsid w:val="00E27653"/>
    <w:rsid w:val="00E3105D"/>
    <w:rsid w:val="00E33B85"/>
    <w:rsid w:val="00E379DC"/>
    <w:rsid w:val="00E40874"/>
    <w:rsid w:val="00E56027"/>
    <w:rsid w:val="00E60A7A"/>
    <w:rsid w:val="00E62368"/>
    <w:rsid w:val="00E639DA"/>
    <w:rsid w:val="00E677CC"/>
    <w:rsid w:val="00E72391"/>
    <w:rsid w:val="00E75AFE"/>
    <w:rsid w:val="00E859B1"/>
    <w:rsid w:val="00E865CC"/>
    <w:rsid w:val="00E86622"/>
    <w:rsid w:val="00E933C6"/>
    <w:rsid w:val="00E93AC4"/>
    <w:rsid w:val="00EB3AE1"/>
    <w:rsid w:val="00EB4672"/>
    <w:rsid w:val="00EB6772"/>
    <w:rsid w:val="00ED46B9"/>
    <w:rsid w:val="00EE47EB"/>
    <w:rsid w:val="00EE6DAE"/>
    <w:rsid w:val="00EF0CE6"/>
    <w:rsid w:val="00EF0F08"/>
    <w:rsid w:val="00EF2F4D"/>
    <w:rsid w:val="00EF43FC"/>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7270C"/>
    <w:rsid w:val="00F7655B"/>
    <w:rsid w:val="00F77105"/>
    <w:rsid w:val="00F82B45"/>
    <w:rsid w:val="00F8312B"/>
    <w:rsid w:val="00F8432A"/>
    <w:rsid w:val="00FA2802"/>
    <w:rsid w:val="00FA425C"/>
    <w:rsid w:val="00FA4C79"/>
    <w:rsid w:val="00FB123E"/>
    <w:rsid w:val="00FB23AB"/>
    <w:rsid w:val="00FB618B"/>
    <w:rsid w:val="00FC2030"/>
    <w:rsid w:val="00FC4095"/>
    <w:rsid w:val="00FC4C1A"/>
    <w:rsid w:val="00FC6E94"/>
    <w:rsid w:val="00FD0915"/>
    <w:rsid w:val="00FD2B3D"/>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1140</Words>
  <Characters>6272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11</cp:revision>
  <dcterms:created xsi:type="dcterms:W3CDTF">2024-04-08T23:27:00Z</dcterms:created>
  <dcterms:modified xsi:type="dcterms:W3CDTF">2024-04-23T16:16:00Z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