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6307" w14:textId="600304EB" w:rsidR="00B33ADB" w:rsidRDefault="00B33ADB" w:rsidP="00E82EA7">
      <w:pPr>
        <w:pStyle w:val="Default"/>
        <w:jc w:val="center"/>
        <w:rPr>
          <w:sz w:val="26"/>
          <w:szCs w:val="26"/>
        </w:rPr>
      </w:pPr>
      <w:r>
        <w:rPr>
          <w:b/>
          <w:bCs/>
          <w:sz w:val="26"/>
          <w:szCs w:val="26"/>
        </w:rPr>
        <w:t>REPÚBLICA DE COLOMBIA</w:t>
      </w:r>
    </w:p>
    <w:p w14:paraId="49ADD67D" w14:textId="6EE094A5" w:rsidR="00B33ADB" w:rsidRDefault="00B33ADB" w:rsidP="00E82EA7">
      <w:pPr>
        <w:pStyle w:val="Default"/>
        <w:jc w:val="center"/>
        <w:rPr>
          <w:sz w:val="26"/>
          <w:szCs w:val="26"/>
        </w:rPr>
      </w:pPr>
      <w:r>
        <w:rPr>
          <w:b/>
          <w:bCs/>
          <w:sz w:val="26"/>
          <w:szCs w:val="26"/>
        </w:rPr>
        <w:t>RAMA JUDICIAL</w:t>
      </w:r>
    </w:p>
    <w:p w14:paraId="2D0A562C" w14:textId="38B35FA6" w:rsidR="00B33ADB" w:rsidRDefault="00B33ADB" w:rsidP="00E82EA7">
      <w:pPr>
        <w:pStyle w:val="Default"/>
        <w:jc w:val="center"/>
        <w:rPr>
          <w:sz w:val="26"/>
          <w:szCs w:val="26"/>
        </w:rPr>
      </w:pPr>
      <w:r>
        <w:rPr>
          <w:b/>
          <w:bCs/>
          <w:sz w:val="26"/>
          <w:szCs w:val="26"/>
        </w:rPr>
        <w:t>TRIBUNAL SUPERIOR DEL DISTRITO JUDICIAL DE BOGOTÁ</w:t>
      </w:r>
    </w:p>
    <w:p w14:paraId="0098AAE2" w14:textId="546937BF" w:rsidR="00B33ADB" w:rsidRDefault="00B33ADB" w:rsidP="00E82EA7">
      <w:pPr>
        <w:pStyle w:val="Default"/>
        <w:jc w:val="center"/>
        <w:rPr>
          <w:sz w:val="26"/>
          <w:szCs w:val="26"/>
        </w:rPr>
      </w:pPr>
      <w:r>
        <w:rPr>
          <w:b/>
          <w:bCs/>
          <w:sz w:val="26"/>
          <w:szCs w:val="26"/>
        </w:rPr>
        <w:t>SALA CIVIL</w:t>
      </w:r>
    </w:p>
    <w:p w14:paraId="33BC8A57" w14:textId="77777777" w:rsidR="00E82EA7" w:rsidRDefault="00E82EA7" w:rsidP="00E82EA7">
      <w:pPr>
        <w:pStyle w:val="Default"/>
        <w:jc w:val="center"/>
        <w:rPr>
          <w:sz w:val="26"/>
          <w:szCs w:val="26"/>
        </w:rPr>
      </w:pPr>
    </w:p>
    <w:p w14:paraId="7BE04BDB" w14:textId="6808C6B9" w:rsidR="00B33ADB" w:rsidRDefault="00B33ADB" w:rsidP="00E82EA7">
      <w:pPr>
        <w:pStyle w:val="Default"/>
        <w:jc w:val="center"/>
        <w:rPr>
          <w:sz w:val="26"/>
          <w:szCs w:val="26"/>
        </w:rPr>
      </w:pPr>
      <w:r>
        <w:rPr>
          <w:sz w:val="26"/>
          <w:szCs w:val="26"/>
        </w:rPr>
        <w:t>Bogotá D.C., catorce (14) de mayo de dos mil veinticuatro (2024)</w:t>
      </w:r>
    </w:p>
    <w:p w14:paraId="0E2B05BE" w14:textId="77777777" w:rsidR="00E82EA7" w:rsidRDefault="00E82EA7" w:rsidP="00E82EA7">
      <w:pPr>
        <w:pStyle w:val="Default"/>
        <w:jc w:val="center"/>
        <w:rPr>
          <w:b/>
          <w:bCs/>
          <w:sz w:val="26"/>
          <w:szCs w:val="26"/>
        </w:rPr>
      </w:pPr>
    </w:p>
    <w:p w14:paraId="66CB13C2" w14:textId="6313EAFE" w:rsidR="00B33ADB" w:rsidRDefault="00B33ADB" w:rsidP="00E82EA7">
      <w:pPr>
        <w:pStyle w:val="Default"/>
        <w:jc w:val="center"/>
        <w:rPr>
          <w:sz w:val="26"/>
          <w:szCs w:val="26"/>
        </w:rPr>
      </w:pPr>
      <w:r>
        <w:rPr>
          <w:b/>
          <w:bCs/>
          <w:sz w:val="26"/>
          <w:szCs w:val="26"/>
        </w:rPr>
        <w:t>Rad. 11001-31-03-047-2021-00006-01</w:t>
      </w:r>
    </w:p>
    <w:p w14:paraId="7539E55F" w14:textId="77777777" w:rsidR="00E82EA7" w:rsidRDefault="00E82EA7" w:rsidP="00B33ADB">
      <w:pPr>
        <w:pStyle w:val="Default"/>
        <w:rPr>
          <w:sz w:val="26"/>
          <w:szCs w:val="26"/>
        </w:rPr>
      </w:pPr>
    </w:p>
    <w:p w14:paraId="1FF6F433" w14:textId="77777777" w:rsidR="00E82EA7" w:rsidRDefault="00E82EA7" w:rsidP="00B33ADB">
      <w:pPr>
        <w:pStyle w:val="Default"/>
        <w:rPr>
          <w:sz w:val="26"/>
          <w:szCs w:val="26"/>
        </w:rPr>
      </w:pPr>
    </w:p>
    <w:p w14:paraId="17C1E0F5" w14:textId="49215CEE" w:rsidR="00B33ADB" w:rsidRDefault="00B33ADB" w:rsidP="00E82EA7">
      <w:pPr>
        <w:pStyle w:val="Default"/>
        <w:jc w:val="both"/>
        <w:rPr>
          <w:sz w:val="26"/>
          <w:szCs w:val="26"/>
        </w:rPr>
      </w:pPr>
      <w:r>
        <w:rPr>
          <w:sz w:val="26"/>
          <w:szCs w:val="26"/>
        </w:rPr>
        <w:t xml:space="preserve">Como quiera que la parte apelante no sustentó el recurso de apelación dentro del término ordenado en auto de 26 de abril de 2024, la suscrita Magistrada Sustanciadora </w:t>
      </w:r>
      <w:r>
        <w:rPr>
          <w:b/>
          <w:bCs/>
          <w:sz w:val="26"/>
          <w:szCs w:val="26"/>
        </w:rPr>
        <w:t xml:space="preserve">DECLARA DESIERTA </w:t>
      </w:r>
      <w:r>
        <w:rPr>
          <w:sz w:val="26"/>
          <w:szCs w:val="26"/>
        </w:rPr>
        <w:t xml:space="preserve">la alzada que se presentó contra la sentencia de primera instancia, de conformidad con el numeral 3º del artículo 322 del Código General del Proceso, concordante con el párrafo 2º del artículo 12 de la Ley 2213 de 2022. </w:t>
      </w:r>
    </w:p>
    <w:p w14:paraId="328DCF40" w14:textId="77777777" w:rsidR="00E82EA7" w:rsidRDefault="00E82EA7" w:rsidP="00E82EA7">
      <w:pPr>
        <w:pStyle w:val="Default"/>
        <w:jc w:val="both"/>
        <w:rPr>
          <w:sz w:val="26"/>
          <w:szCs w:val="26"/>
        </w:rPr>
      </w:pPr>
    </w:p>
    <w:p w14:paraId="03DFC490" w14:textId="2387F9FB" w:rsidR="00B33ADB" w:rsidRDefault="00B33ADB" w:rsidP="00E82EA7">
      <w:pPr>
        <w:pStyle w:val="Default"/>
        <w:jc w:val="both"/>
        <w:rPr>
          <w:sz w:val="26"/>
          <w:szCs w:val="26"/>
        </w:rPr>
      </w:pPr>
      <w:r>
        <w:rPr>
          <w:sz w:val="26"/>
          <w:szCs w:val="26"/>
        </w:rPr>
        <w:t xml:space="preserve">Por secretaría devuélvase el expediente al Juzgado de origen. </w:t>
      </w:r>
    </w:p>
    <w:p w14:paraId="1B5E7593" w14:textId="77777777" w:rsidR="00E82EA7" w:rsidRDefault="00E82EA7" w:rsidP="00E82EA7">
      <w:pPr>
        <w:pStyle w:val="Default"/>
        <w:jc w:val="both"/>
        <w:rPr>
          <w:sz w:val="26"/>
          <w:szCs w:val="26"/>
        </w:rPr>
      </w:pPr>
    </w:p>
    <w:p w14:paraId="3A848C93" w14:textId="0554A584" w:rsidR="00B33ADB" w:rsidRDefault="00B33ADB" w:rsidP="00E82EA7">
      <w:pPr>
        <w:pStyle w:val="Default"/>
        <w:jc w:val="both"/>
        <w:rPr>
          <w:sz w:val="26"/>
          <w:szCs w:val="26"/>
        </w:rPr>
      </w:pPr>
      <w:r>
        <w:rPr>
          <w:sz w:val="26"/>
          <w:szCs w:val="26"/>
        </w:rPr>
        <w:t xml:space="preserve">Notifíquese y Cúmplase, </w:t>
      </w:r>
    </w:p>
    <w:p w14:paraId="3371B985" w14:textId="77777777" w:rsidR="00E82EA7" w:rsidRDefault="00E82EA7" w:rsidP="00E82EA7">
      <w:pPr>
        <w:pStyle w:val="Default"/>
        <w:jc w:val="both"/>
        <w:rPr>
          <w:i/>
          <w:iCs/>
          <w:sz w:val="26"/>
          <w:szCs w:val="26"/>
        </w:rPr>
      </w:pPr>
    </w:p>
    <w:p w14:paraId="0A11A917" w14:textId="3CC3827D" w:rsidR="00B33ADB" w:rsidRDefault="00B33ADB" w:rsidP="00E82EA7">
      <w:pPr>
        <w:pStyle w:val="Default"/>
        <w:jc w:val="both"/>
        <w:rPr>
          <w:sz w:val="26"/>
          <w:szCs w:val="26"/>
        </w:rPr>
      </w:pPr>
      <w:r>
        <w:rPr>
          <w:i/>
          <w:iCs/>
          <w:sz w:val="26"/>
          <w:szCs w:val="26"/>
        </w:rPr>
        <w:t xml:space="preserve">(firma electrónica) </w:t>
      </w:r>
    </w:p>
    <w:p w14:paraId="629087FB" w14:textId="77777777" w:rsidR="00B33ADB" w:rsidRDefault="00B33ADB" w:rsidP="00E82EA7">
      <w:pPr>
        <w:pStyle w:val="Default"/>
        <w:jc w:val="both"/>
        <w:rPr>
          <w:sz w:val="26"/>
          <w:szCs w:val="26"/>
        </w:rPr>
      </w:pPr>
      <w:r>
        <w:rPr>
          <w:b/>
          <w:bCs/>
          <w:sz w:val="26"/>
          <w:szCs w:val="26"/>
        </w:rPr>
        <w:t xml:space="preserve">STELLA MARÍA AYAZO PERNETH </w:t>
      </w:r>
    </w:p>
    <w:p w14:paraId="5DBDA3F7" w14:textId="77777777" w:rsidR="00B33ADB" w:rsidRDefault="00B33ADB" w:rsidP="00E82EA7">
      <w:pPr>
        <w:pStyle w:val="Default"/>
        <w:jc w:val="both"/>
        <w:rPr>
          <w:sz w:val="26"/>
          <w:szCs w:val="26"/>
        </w:rPr>
      </w:pPr>
      <w:r>
        <w:rPr>
          <w:b/>
          <w:bCs/>
          <w:sz w:val="26"/>
          <w:szCs w:val="26"/>
        </w:rPr>
        <w:t xml:space="preserve">Magistrada </w:t>
      </w:r>
    </w:p>
    <w:p w14:paraId="22A55BE7" w14:textId="77777777" w:rsidR="00E82EA7" w:rsidRDefault="00E82EA7" w:rsidP="00E82EA7">
      <w:pPr>
        <w:pStyle w:val="Default"/>
        <w:jc w:val="both"/>
        <w:rPr>
          <w:rFonts w:ascii="Arial" w:hAnsi="Arial" w:cs="Arial"/>
          <w:color w:val="auto"/>
          <w:sz w:val="16"/>
          <w:szCs w:val="16"/>
        </w:rPr>
      </w:pPr>
    </w:p>
    <w:p w14:paraId="4F481744" w14:textId="11D139DC"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1BB1720F"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Stella Maria </w:t>
      </w:r>
      <w:proofErr w:type="spellStart"/>
      <w:r>
        <w:rPr>
          <w:rFonts w:ascii="Arial" w:hAnsi="Arial" w:cs="Arial"/>
          <w:color w:val="auto"/>
          <w:sz w:val="16"/>
          <w:szCs w:val="16"/>
        </w:rPr>
        <w:t>Ayazo</w:t>
      </w:r>
      <w:proofErr w:type="spellEnd"/>
      <w:r>
        <w:rPr>
          <w:rFonts w:ascii="Arial" w:hAnsi="Arial" w:cs="Arial"/>
          <w:color w:val="auto"/>
          <w:sz w:val="16"/>
          <w:szCs w:val="16"/>
        </w:rPr>
        <w:t xml:space="preserve"> </w:t>
      </w:r>
      <w:proofErr w:type="spellStart"/>
      <w:r>
        <w:rPr>
          <w:rFonts w:ascii="Arial" w:hAnsi="Arial" w:cs="Arial"/>
          <w:color w:val="auto"/>
          <w:sz w:val="16"/>
          <w:szCs w:val="16"/>
        </w:rPr>
        <w:t>Perneth</w:t>
      </w:r>
      <w:proofErr w:type="spellEnd"/>
      <w:r>
        <w:rPr>
          <w:rFonts w:ascii="Arial" w:hAnsi="Arial" w:cs="Arial"/>
          <w:color w:val="auto"/>
          <w:sz w:val="16"/>
          <w:szCs w:val="16"/>
        </w:rPr>
        <w:t xml:space="preserve"> </w:t>
      </w:r>
    </w:p>
    <w:p w14:paraId="01716193"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75B8F9C0"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Sala 04 Civil Tribunal Superior De Bogotá, D.C. - Bogotá D.C., </w:t>
      </w:r>
    </w:p>
    <w:p w14:paraId="5452212D"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6DCFAC69"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53163C04"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170959AB"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5ba782b5914ac17a9447b3d0f599b24a1854e34d737d05dea2f3c11676a0b7f7 </w:t>
      </w:r>
    </w:p>
    <w:p w14:paraId="5CC1C465" w14:textId="77777777" w:rsidR="00B33ADB" w:rsidRDefault="00B33ADB" w:rsidP="00E82EA7">
      <w:pPr>
        <w:pStyle w:val="Default"/>
        <w:jc w:val="both"/>
        <w:rPr>
          <w:rFonts w:ascii="Arial" w:hAnsi="Arial" w:cs="Arial"/>
          <w:color w:val="auto"/>
          <w:sz w:val="16"/>
          <w:szCs w:val="16"/>
        </w:rPr>
      </w:pPr>
      <w:r>
        <w:rPr>
          <w:rFonts w:ascii="Arial" w:hAnsi="Arial" w:cs="Arial"/>
          <w:color w:val="auto"/>
          <w:sz w:val="16"/>
          <w:szCs w:val="16"/>
        </w:rPr>
        <w:t xml:space="preserve">Documento generado en 14/05/2024 10:26:08 a. m. </w:t>
      </w:r>
    </w:p>
    <w:p w14:paraId="10983747" w14:textId="77777777" w:rsidR="00B33ADB" w:rsidRDefault="00B33ADB" w:rsidP="00E82EA7">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0E719960" w14:textId="3A8D5770" w:rsidR="00B9243D" w:rsidRDefault="00B33ADB" w:rsidP="00E82EA7">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DB"/>
    <w:rsid w:val="00737460"/>
    <w:rsid w:val="00AF4E5B"/>
    <w:rsid w:val="00B33ADB"/>
    <w:rsid w:val="00B9243D"/>
    <w:rsid w:val="00DA03DC"/>
    <w:rsid w:val="00E8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0BF8"/>
  <w15:chartTrackingRefBased/>
  <w15:docId w15:val="{A33A3F28-6A33-405D-B185-1B9BF2FE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3ADB"/>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1119</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2024-05-15T21:07:00Z</dcterms:created>
  <dcterms:modified xsi:type="dcterms:W3CDTF">2024-05-15T21:08:00Z</dcterms:modified>
</cp:coreProperties>
</file>