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AB91E" w14:textId="107AAF37" w:rsidR="00F969EE" w:rsidRPr="00F969EE" w:rsidRDefault="00F969EE" w:rsidP="00F969EE">
      <w:pPr>
        <w:spacing w:after="0" w:line="240" w:lineRule="auto"/>
        <w:textAlignment w:val="baseline"/>
        <w:rPr>
          <w:rFonts w:ascii="Times New Roman" w:eastAsia="Times New Roman" w:hAnsi="Times New Roman" w:cs="Times New Roman"/>
          <w:kern w:val="0"/>
          <w:sz w:val="24"/>
          <w:szCs w:val="24"/>
          <w:lang w:eastAsia="es-CO"/>
          <w14:ligatures w14:val="none"/>
        </w:rPr>
      </w:pPr>
    </w:p>
    <w:p w14:paraId="4F0C77B5" w14:textId="2B2789DC" w:rsidR="00F969EE" w:rsidRPr="00F969EE" w:rsidRDefault="00F969EE" w:rsidP="00F969EE">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r w:rsidRPr="00F969EE">
        <w:rPr>
          <w:rFonts w:ascii="Arial" w:eastAsia="Times New Roman" w:hAnsi="Arial" w:cs="Arial"/>
          <w:color w:val="000000"/>
          <w:kern w:val="0"/>
          <w:bdr w:val="none" w:sz="0" w:space="0" w:color="auto" w:frame="1"/>
          <w:shd w:val="clear" w:color="auto" w:fill="FFFFFF"/>
          <w:lang w:eastAsia="es-CO"/>
          <w14:ligatures w14:val="none"/>
        </w:rPr>
        <w:t>Para todos los fines pertinentes informo que la contingencia del proceso descrito anteriormente se califica como </w:t>
      </w:r>
      <w:r w:rsidR="00C40EBB">
        <w:rPr>
          <w:rFonts w:ascii="Arial" w:eastAsia="Times New Roman" w:hAnsi="Arial" w:cs="Arial"/>
          <w:b/>
          <w:bCs/>
          <w:color w:val="000000"/>
          <w:kern w:val="0"/>
          <w:u w:val="single"/>
          <w:bdr w:val="none" w:sz="0" w:space="0" w:color="auto" w:frame="1"/>
          <w:shd w:val="clear" w:color="auto" w:fill="FFFFFF"/>
          <w:lang w:eastAsia="es-CO"/>
          <w14:ligatures w14:val="none"/>
        </w:rPr>
        <w:t>REMOTA</w:t>
      </w:r>
      <w:r w:rsidRPr="00F969EE">
        <w:rPr>
          <w:rFonts w:ascii="Arial" w:eastAsia="Times New Roman" w:hAnsi="Arial" w:cs="Arial"/>
          <w:color w:val="000000"/>
          <w:kern w:val="0"/>
          <w:bdr w:val="none" w:sz="0" w:space="0" w:color="auto" w:frame="1"/>
          <w:shd w:val="clear" w:color="auto" w:fill="FFFFFF"/>
          <w:lang w:eastAsia="es-CO"/>
          <w14:ligatures w14:val="none"/>
        </w:rPr>
        <w:t xml:space="preserve"> por las siguientes razones:</w:t>
      </w:r>
      <w:r w:rsidRPr="00F969EE">
        <w:rPr>
          <w:rFonts w:ascii="Arial" w:eastAsia="Times New Roman" w:hAnsi="Arial" w:cs="Arial"/>
          <w:color w:val="201F1E"/>
          <w:kern w:val="0"/>
          <w:bdr w:val="none" w:sz="0" w:space="0" w:color="auto" w:frame="1"/>
          <w:shd w:val="clear" w:color="auto" w:fill="FFFFFF"/>
          <w:lang w:eastAsia="es-CO"/>
          <w14:ligatures w14:val="none"/>
        </w:rPr>
        <w:t>    </w:t>
      </w:r>
    </w:p>
    <w:p w14:paraId="2C59435B" w14:textId="77777777" w:rsidR="00F969EE" w:rsidRPr="00F969EE" w:rsidRDefault="00F969EE" w:rsidP="00F969EE">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bdr w:val="none" w:sz="0" w:space="0" w:color="auto" w:frame="1"/>
          <w:shd w:val="clear" w:color="auto" w:fill="FFFFFF"/>
          <w:lang w:eastAsia="es-CO"/>
          <w14:ligatures w14:val="none"/>
        </w:rPr>
      </w:pPr>
      <w:r w:rsidRPr="00F969EE">
        <w:rPr>
          <w:rFonts w:ascii="Arial" w:eastAsia="Times New Roman" w:hAnsi="Arial" w:cs="Arial"/>
          <w:color w:val="201F1E"/>
          <w:kern w:val="0"/>
          <w:bdr w:val="none" w:sz="0" w:space="0" w:color="auto" w:frame="1"/>
          <w:shd w:val="clear" w:color="auto" w:fill="FFFFFF"/>
          <w:lang w:eastAsia="es-CO"/>
          <w14:ligatures w14:val="none"/>
        </w:rPr>
        <w:t> </w:t>
      </w:r>
    </w:p>
    <w:p w14:paraId="1AFA0810" w14:textId="7EAF3091" w:rsidR="005C37FF" w:rsidRDefault="00720863"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 xml:space="preserve">Es importante resaltar que ninguna de las pruebas documentales aportadas al expediente fue tachada </w:t>
      </w:r>
      <w:r w:rsidR="00E64784">
        <w:rPr>
          <w:rFonts w:ascii="Arial" w:eastAsia="Times New Roman" w:hAnsi="Arial" w:cs="Arial"/>
          <w:color w:val="000000"/>
          <w:kern w:val="0"/>
          <w:bdr w:val="none" w:sz="0" w:space="0" w:color="auto" w:frame="1"/>
          <w:shd w:val="clear" w:color="auto" w:fill="FFFFFF"/>
          <w:lang w:eastAsia="es-CO"/>
          <w14:ligatures w14:val="none"/>
        </w:rPr>
        <w:t xml:space="preserve">de falsa </w:t>
      </w:r>
      <w:r>
        <w:rPr>
          <w:rFonts w:ascii="Arial" w:eastAsia="Times New Roman" w:hAnsi="Arial" w:cs="Arial"/>
          <w:color w:val="000000"/>
          <w:kern w:val="0"/>
          <w:bdr w:val="none" w:sz="0" w:space="0" w:color="auto" w:frame="1"/>
          <w:shd w:val="clear" w:color="auto" w:fill="FFFFFF"/>
          <w:lang w:eastAsia="es-CO"/>
          <w14:ligatures w14:val="none"/>
        </w:rPr>
        <w:t>por las partes, por lo cual, tienen pleno valor probatorio. Sumado a lo anterior, las pruebas testimoniales y las declaraciones de parte que se practicaron el 19 de octubre de 2023</w:t>
      </w:r>
      <w:r w:rsidR="005C37FF">
        <w:rPr>
          <w:rFonts w:ascii="Arial" w:eastAsia="Times New Roman" w:hAnsi="Arial" w:cs="Arial"/>
          <w:color w:val="000000"/>
          <w:kern w:val="0"/>
          <w:bdr w:val="none" w:sz="0" w:space="0" w:color="auto" w:frame="1"/>
          <w:shd w:val="clear" w:color="auto" w:fill="FFFFFF"/>
          <w:lang w:eastAsia="es-CO"/>
          <w14:ligatures w14:val="none"/>
        </w:rPr>
        <w:t xml:space="preserve"> a los señores: </w:t>
      </w:r>
      <w:r w:rsidR="005C37FF" w:rsidRPr="005C37FF">
        <w:rPr>
          <w:rFonts w:ascii="Arial" w:eastAsia="Times New Roman" w:hAnsi="Arial" w:cs="Arial"/>
          <w:color w:val="000000"/>
          <w:kern w:val="0"/>
          <w:bdr w:val="none" w:sz="0" w:space="0" w:color="auto" w:frame="1"/>
          <w:shd w:val="clear" w:color="auto" w:fill="FFFFFF"/>
          <w:lang w:eastAsia="es-CO"/>
          <w14:ligatures w14:val="none"/>
        </w:rPr>
        <w:t>GUSTAVO ADOLFO AGUIRRE GORDILLO</w:t>
      </w:r>
      <w:r w:rsidR="005C37FF">
        <w:rPr>
          <w:rFonts w:ascii="Arial" w:eastAsia="Times New Roman" w:hAnsi="Arial" w:cs="Arial"/>
          <w:color w:val="000000"/>
          <w:kern w:val="0"/>
          <w:bdr w:val="none" w:sz="0" w:space="0" w:color="auto" w:frame="1"/>
          <w:shd w:val="clear" w:color="auto" w:fill="FFFFFF"/>
          <w:lang w:eastAsia="es-CO"/>
          <w14:ligatures w14:val="none"/>
        </w:rPr>
        <w:t xml:space="preserve">, </w:t>
      </w:r>
      <w:r w:rsidR="005C37FF" w:rsidRPr="005C37FF">
        <w:rPr>
          <w:rFonts w:ascii="Arial" w:eastAsia="Times New Roman" w:hAnsi="Arial" w:cs="Arial"/>
          <w:color w:val="000000"/>
          <w:kern w:val="0"/>
          <w:bdr w:val="none" w:sz="0" w:space="0" w:color="auto" w:frame="1"/>
          <w:shd w:val="clear" w:color="auto" w:fill="FFFFFF"/>
          <w:lang w:eastAsia="es-CO"/>
          <w14:ligatures w14:val="none"/>
        </w:rPr>
        <w:t>SANDRA MILENA CORTÉS</w:t>
      </w:r>
      <w:r w:rsidR="005C37FF">
        <w:rPr>
          <w:rFonts w:ascii="Arial" w:eastAsia="Times New Roman" w:hAnsi="Arial" w:cs="Arial"/>
          <w:color w:val="000000"/>
          <w:kern w:val="0"/>
          <w:bdr w:val="none" w:sz="0" w:space="0" w:color="auto" w:frame="1"/>
          <w:shd w:val="clear" w:color="auto" w:fill="FFFFFF"/>
          <w:lang w:eastAsia="es-CO"/>
          <w14:ligatures w14:val="none"/>
        </w:rPr>
        <w:t>,</w:t>
      </w:r>
      <w:r w:rsidR="005C37FF" w:rsidRPr="005C37FF">
        <w:t xml:space="preserve"> </w:t>
      </w:r>
      <w:r w:rsidR="005C37FF" w:rsidRPr="005C37FF">
        <w:rPr>
          <w:rFonts w:ascii="Arial" w:eastAsia="Times New Roman" w:hAnsi="Arial" w:cs="Arial"/>
          <w:color w:val="000000"/>
          <w:kern w:val="0"/>
          <w:bdr w:val="none" w:sz="0" w:space="0" w:color="auto" w:frame="1"/>
          <w:shd w:val="clear" w:color="auto" w:fill="FFFFFF"/>
          <w:lang w:eastAsia="es-CO"/>
          <w14:ligatures w14:val="none"/>
        </w:rPr>
        <w:t>RAMON DARÍO FRANCO BUSTAMANTE</w:t>
      </w:r>
      <w:r>
        <w:rPr>
          <w:rFonts w:ascii="Arial" w:eastAsia="Times New Roman" w:hAnsi="Arial" w:cs="Arial"/>
          <w:color w:val="000000"/>
          <w:kern w:val="0"/>
          <w:bdr w:val="none" w:sz="0" w:space="0" w:color="auto" w:frame="1"/>
          <w:shd w:val="clear" w:color="auto" w:fill="FFFFFF"/>
          <w:lang w:eastAsia="es-CO"/>
          <w14:ligatures w14:val="none"/>
        </w:rPr>
        <w:t>,</w:t>
      </w:r>
      <w:r w:rsidR="005C37FF" w:rsidRPr="005C37FF">
        <w:t xml:space="preserve"> </w:t>
      </w:r>
      <w:r w:rsidR="005C37FF" w:rsidRPr="005C37FF">
        <w:rPr>
          <w:rFonts w:ascii="Arial" w:eastAsia="Times New Roman" w:hAnsi="Arial" w:cs="Arial"/>
          <w:color w:val="000000"/>
          <w:kern w:val="0"/>
          <w:bdr w:val="none" w:sz="0" w:space="0" w:color="auto" w:frame="1"/>
          <w:shd w:val="clear" w:color="auto" w:fill="FFFFFF"/>
          <w:lang w:eastAsia="es-CO"/>
          <w14:ligatures w14:val="none"/>
        </w:rPr>
        <w:t>HUGO DE JESUS ARENAS</w:t>
      </w:r>
      <w:r w:rsidR="005C37FF">
        <w:rPr>
          <w:rFonts w:ascii="Arial" w:eastAsia="Times New Roman" w:hAnsi="Arial" w:cs="Arial"/>
          <w:color w:val="000000"/>
          <w:kern w:val="0"/>
          <w:bdr w:val="none" w:sz="0" w:space="0" w:color="auto" w:frame="1"/>
          <w:shd w:val="clear" w:color="auto" w:fill="FFFFFF"/>
          <w:lang w:eastAsia="es-CO"/>
          <w14:ligatures w14:val="none"/>
        </w:rPr>
        <w:t xml:space="preserve">, </w:t>
      </w:r>
      <w:r w:rsidR="005C37FF" w:rsidRPr="005C37FF">
        <w:rPr>
          <w:rFonts w:ascii="Arial" w:eastAsia="Times New Roman" w:hAnsi="Arial" w:cs="Arial"/>
          <w:color w:val="000000"/>
          <w:kern w:val="0"/>
          <w:bdr w:val="none" w:sz="0" w:space="0" w:color="auto" w:frame="1"/>
          <w:shd w:val="clear" w:color="auto" w:fill="FFFFFF"/>
          <w:lang w:eastAsia="es-CO"/>
          <w14:ligatures w14:val="none"/>
        </w:rPr>
        <w:t>FABIAN ARENAS</w:t>
      </w:r>
      <w:r w:rsidR="005C37FF">
        <w:rPr>
          <w:rFonts w:ascii="Arial" w:eastAsia="Times New Roman" w:hAnsi="Arial" w:cs="Arial"/>
          <w:color w:val="000000"/>
          <w:kern w:val="0"/>
          <w:bdr w:val="none" w:sz="0" w:space="0" w:color="auto" w:frame="1"/>
          <w:shd w:val="clear" w:color="auto" w:fill="FFFFFF"/>
          <w:lang w:eastAsia="es-CO"/>
          <w14:ligatures w14:val="none"/>
        </w:rPr>
        <w:t xml:space="preserve">, </w:t>
      </w:r>
      <w:r w:rsidR="005C37FF" w:rsidRPr="005C37FF">
        <w:rPr>
          <w:rFonts w:ascii="Arial" w:eastAsia="Times New Roman" w:hAnsi="Arial" w:cs="Arial"/>
          <w:color w:val="000000"/>
          <w:kern w:val="0"/>
          <w:bdr w:val="none" w:sz="0" w:space="0" w:color="auto" w:frame="1"/>
          <w:shd w:val="clear" w:color="auto" w:fill="FFFFFF"/>
          <w:lang w:eastAsia="es-CO"/>
          <w14:ligatures w14:val="none"/>
        </w:rPr>
        <w:t>MARIA ALEIDA</w:t>
      </w:r>
      <w:r w:rsidR="005C37FF">
        <w:rPr>
          <w:rFonts w:ascii="Arial" w:eastAsia="Times New Roman" w:hAnsi="Arial" w:cs="Arial"/>
          <w:color w:val="000000"/>
          <w:kern w:val="0"/>
          <w:bdr w:val="none" w:sz="0" w:space="0" w:color="auto" w:frame="1"/>
          <w:shd w:val="clear" w:color="auto" w:fill="FFFFFF"/>
          <w:lang w:eastAsia="es-CO"/>
          <w14:ligatures w14:val="none"/>
        </w:rPr>
        <w:t xml:space="preserve">, </w:t>
      </w:r>
      <w:r w:rsidR="005C37FF" w:rsidRPr="005C37FF">
        <w:rPr>
          <w:rFonts w:ascii="Arial" w:eastAsia="Times New Roman" w:hAnsi="Arial" w:cs="Arial"/>
          <w:color w:val="000000"/>
          <w:kern w:val="0"/>
          <w:bdr w:val="none" w:sz="0" w:space="0" w:color="auto" w:frame="1"/>
          <w:shd w:val="clear" w:color="auto" w:fill="FFFFFF"/>
          <w:lang w:eastAsia="es-CO"/>
          <w14:ligatures w14:val="none"/>
        </w:rPr>
        <w:t>CAROLINA ARENAS CAICEDO</w:t>
      </w:r>
      <w:r w:rsidR="005C37FF">
        <w:rPr>
          <w:rFonts w:ascii="Arial" w:eastAsia="Times New Roman" w:hAnsi="Arial" w:cs="Arial"/>
          <w:color w:val="000000"/>
          <w:kern w:val="0"/>
          <w:bdr w:val="none" w:sz="0" w:space="0" w:color="auto" w:frame="1"/>
          <w:shd w:val="clear" w:color="auto" w:fill="FFFFFF"/>
          <w:lang w:eastAsia="es-CO"/>
          <w14:ligatures w14:val="none"/>
        </w:rPr>
        <w:t xml:space="preserve"> y </w:t>
      </w:r>
      <w:r w:rsidR="005C37FF" w:rsidRPr="005C37FF">
        <w:rPr>
          <w:rFonts w:ascii="Arial" w:eastAsia="Times New Roman" w:hAnsi="Arial" w:cs="Arial"/>
          <w:color w:val="000000"/>
          <w:kern w:val="0"/>
          <w:bdr w:val="none" w:sz="0" w:space="0" w:color="auto" w:frame="1"/>
          <w:shd w:val="clear" w:color="auto" w:fill="FFFFFF"/>
          <w:lang w:eastAsia="es-CO"/>
          <w14:ligatures w14:val="none"/>
        </w:rPr>
        <w:t xml:space="preserve">   JOHANA LICETH HERNÁNDEZ</w:t>
      </w:r>
      <w:r>
        <w:rPr>
          <w:rFonts w:ascii="Arial" w:eastAsia="Times New Roman" w:hAnsi="Arial" w:cs="Arial"/>
          <w:color w:val="000000"/>
          <w:kern w:val="0"/>
          <w:bdr w:val="none" w:sz="0" w:space="0" w:color="auto" w:frame="1"/>
          <w:shd w:val="clear" w:color="auto" w:fill="FFFFFF"/>
          <w:lang w:eastAsia="es-CO"/>
          <w14:ligatures w14:val="none"/>
        </w:rPr>
        <w:t xml:space="preserve"> solo demostraban la ocurrencia del accidente y </w:t>
      </w:r>
      <w:r w:rsidR="005C37FF">
        <w:rPr>
          <w:rFonts w:ascii="Arial" w:eastAsia="Times New Roman" w:hAnsi="Arial" w:cs="Arial"/>
          <w:color w:val="000000"/>
          <w:kern w:val="0"/>
          <w:bdr w:val="none" w:sz="0" w:space="0" w:color="auto" w:frame="1"/>
          <w:shd w:val="clear" w:color="auto" w:fill="FFFFFF"/>
          <w:lang w:eastAsia="es-CO"/>
          <w14:ligatures w14:val="none"/>
        </w:rPr>
        <w:t xml:space="preserve">aparente unión marital de hecho que tenía la víctima. </w:t>
      </w:r>
    </w:p>
    <w:p w14:paraId="1DCB2CF8" w14:textId="77777777" w:rsidR="005C37FF" w:rsidRDefault="005C37FF"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53BC2158" w14:textId="2D5765D0" w:rsidR="006D327B" w:rsidRDefault="005C37FF"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En razón a lo anterior, dependemos del análisis probatorio que realice el despacho frente a</w:t>
      </w:r>
      <w:r w:rsidRPr="00793691">
        <w:rPr>
          <w:rFonts w:ascii="Arial" w:eastAsia="Times New Roman" w:hAnsi="Arial" w:cs="Arial"/>
          <w:color w:val="000000"/>
          <w:kern w:val="0"/>
          <w:bdr w:val="none" w:sz="0" w:space="0" w:color="auto" w:frame="1"/>
          <w:shd w:val="clear" w:color="auto" w:fill="FFFFFF"/>
          <w:lang w:eastAsia="es-CO"/>
          <w14:ligatures w14:val="none"/>
        </w:rPr>
        <w:t xml:space="preserve"> la Póliza de Seguro de Responsabilidad Civil No. 8001481570, cuyo tomador y asegurado es la Empresa de Acueducto y Alcantarillado de Bogotá - EAAB, </w:t>
      </w:r>
      <w:r>
        <w:rPr>
          <w:rFonts w:ascii="Arial" w:eastAsia="Times New Roman" w:hAnsi="Arial" w:cs="Arial"/>
          <w:color w:val="000000"/>
          <w:kern w:val="0"/>
          <w:bdr w:val="none" w:sz="0" w:space="0" w:color="auto" w:frame="1"/>
          <w:shd w:val="clear" w:color="auto" w:fill="FFFFFF"/>
          <w:lang w:eastAsia="es-CO"/>
          <w14:ligatures w14:val="none"/>
        </w:rPr>
        <w:t xml:space="preserve">dado que se demostró con las fotografías aportadas, el </w:t>
      </w:r>
      <w:r w:rsidRPr="005C37FF">
        <w:rPr>
          <w:rFonts w:ascii="Arial" w:eastAsia="Times New Roman" w:hAnsi="Arial" w:cs="Arial"/>
          <w:color w:val="000000"/>
          <w:kern w:val="0"/>
          <w:bdr w:val="none" w:sz="0" w:space="0" w:color="auto" w:frame="1"/>
          <w:shd w:val="clear" w:color="auto" w:fill="FFFFFF"/>
          <w:lang w:eastAsia="es-CO"/>
          <w14:ligatures w14:val="none"/>
        </w:rPr>
        <w:t>informe policial del 09 de marzo de 2018 elaborado por el Investigador Judicial de la Policía Metropolitana de Bogotá, y el informe de visita realizado por la Dirección de Servicio de Acueducto y Alcantarillado de Bogotá No. 3333002-2019-1710 del 06 de noviembre de 2019</w:t>
      </w:r>
      <w:r>
        <w:rPr>
          <w:rFonts w:ascii="Arial" w:eastAsia="Times New Roman" w:hAnsi="Arial" w:cs="Arial"/>
          <w:color w:val="000000"/>
          <w:kern w:val="0"/>
          <w:bdr w:val="none" w:sz="0" w:space="0" w:color="auto" w:frame="1"/>
          <w:shd w:val="clear" w:color="auto" w:fill="FFFFFF"/>
          <w:lang w:eastAsia="es-CO"/>
          <w14:ligatures w14:val="none"/>
        </w:rPr>
        <w:t xml:space="preserve"> que </w:t>
      </w:r>
      <w:r w:rsidR="00E64784">
        <w:rPr>
          <w:rFonts w:ascii="Arial" w:eastAsia="Times New Roman" w:hAnsi="Arial" w:cs="Arial"/>
          <w:color w:val="000000"/>
          <w:kern w:val="0"/>
          <w:bdr w:val="none" w:sz="0" w:space="0" w:color="auto" w:frame="1"/>
          <w:shd w:val="clear" w:color="auto" w:fill="FFFFFF"/>
          <w:lang w:eastAsia="es-CO"/>
          <w14:ligatures w14:val="none"/>
        </w:rPr>
        <w:t xml:space="preserve">la tapa no es de propiedad del asegurado sino de EPM TELECOMUNICACIONES, y por esa razón </w:t>
      </w:r>
      <w:r w:rsidRPr="00793691">
        <w:rPr>
          <w:rFonts w:ascii="Arial" w:eastAsia="Times New Roman" w:hAnsi="Arial" w:cs="Arial"/>
          <w:color w:val="000000"/>
          <w:kern w:val="0"/>
          <w:bdr w:val="none" w:sz="0" w:space="0" w:color="auto" w:frame="1"/>
          <w:shd w:val="clear" w:color="auto" w:fill="FFFFFF"/>
          <w:lang w:eastAsia="es-CO"/>
          <w14:ligatures w14:val="none"/>
        </w:rPr>
        <w:t xml:space="preserve">no presta cobertura material, ya que dentro de sus amparos de predios, labores y operaciones, se ampara únicamente la responsabilidad en que incurra el asegurado Empresa de Acueducto y Alcantarillado de Bogotá. Ahora bien, es menester señalar </w:t>
      </w:r>
      <w:r w:rsidR="00E64784" w:rsidRPr="00793691">
        <w:rPr>
          <w:rFonts w:ascii="Arial" w:eastAsia="Times New Roman" w:hAnsi="Arial" w:cs="Arial"/>
          <w:color w:val="000000"/>
          <w:kern w:val="0"/>
          <w:bdr w:val="none" w:sz="0" w:space="0" w:color="auto" w:frame="1"/>
          <w:shd w:val="clear" w:color="auto" w:fill="FFFFFF"/>
          <w:lang w:eastAsia="es-CO"/>
          <w14:ligatures w14:val="none"/>
        </w:rPr>
        <w:t>que,</w:t>
      </w:r>
      <w:r w:rsidRPr="00793691">
        <w:rPr>
          <w:rFonts w:ascii="Arial" w:eastAsia="Times New Roman" w:hAnsi="Arial" w:cs="Arial"/>
          <w:color w:val="000000"/>
          <w:kern w:val="0"/>
          <w:bdr w:val="none" w:sz="0" w:space="0" w:color="auto" w:frame="1"/>
          <w:shd w:val="clear" w:color="auto" w:fill="FFFFFF"/>
          <w:lang w:eastAsia="es-CO"/>
          <w14:ligatures w14:val="none"/>
        </w:rPr>
        <w:t xml:space="preserve"> si presta cobertura temporal, en tanto su modalidad es SUNSET, la cual ampara la responsabilidad civil extracontractual por los hechos acaecidos durante la vigencia de este seguro, siempre que la reclamación del damnificado al asegurado o a Axa Colpatria Seguros S.A se efectúe dentro de los dos (2) años siguientes a dicha ocurrencia. </w:t>
      </w:r>
    </w:p>
    <w:p w14:paraId="12F305E9" w14:textId="77777777" w:rsidR="006D327B" w:rsidRDefault="006D327B" w:rsidP="00F969EE">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1EAD1E12" w14:textId="46C40EFC" w:rsidR="005C37FF" w:rsidRDefault="006D327B" w:rsidP="006D327B">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Finalmente, en cuanto a la responsabilidad del asegurado</w:t>
      </w:r>
      <w:r w:rsidR="005C37FF" w:rsidRPr="00793691">
        <w:rPr>
          <w:rFonts w:ascii="Arial" w:eastAsia="Times New Roman" w:hAnsi="Arial" w:cs="Arial"/>
          <w:color w:val="000000"/>
          <w:kern w:val="0"/>
          <w:bdr w:val="none" w:sz="0" w:space="0" w:color="auto" w:frame="1"/>
          <w:shd w:val="clear" w:color="auto" w:fill="FFFFFF"/>
          <w:lang w:eastAsia="es-CO"/>
          <w14:ligatures w14:val="none"/>
        </w:rPr>
        <w:t xml:space="preserve">, la parte </w:t>
      </w:r>
      <w:r>
        <w:rPr>
          <w:rFonts w:ascii="Arial" w:eastAsia="Times New Roman" w:hAnsi="Arial" w:cs="Arial"/>
          <w:color w:val="000000"/>
          <w:kern w:val="0"/>
          <w:bdr w:val="none" w:sz="0" w:space="0" w:color="auto" w:frame="1"/>
          <w:shd w:val="clear" w:color="auto" w:fill="FFFFFF"/>
          <w:lang w:eastAsia="es-CO"/>
          <w14:ligatures w14:val="none"/>
        </w:rPr>
        <w:t>d</w:t>
      </w:r>
      <w:r w:rsidR="005C37FF" w:rsidRPr="00793691">
        <w:rPr>
          <w:rFonts w:ascii="Arial" w:eastAsia="Times New Roman" w:hAnsi="Arial" w:cs="Arial"/>
          <w:color w:val="000000"/>
          <w:kern w:val="0"/>
          <w:bdr w:val="none" w:sz="0" w:space="0" w:color="auto" w:frame="1"/>
          <w:shd w:val="clear" w:color="auto" w:fill="FFFFFF"/>
          <w:lang w:eastAsia="es-CO"/>
          <w14:ligatures w14:val="none"/>
        </w:rPr>
        <w:t xml:space="preserve">emandante no logró demostrar la falla en el servicio por parte de la Empresa de Acueducto y Alcantarillado de Bogotá EAAB. Lo anterior, teniendo en cuenta que </w:t>
      </w:r>
      <w:r>
        <w:rPr>
          <w:rFonts w:ascii="Arial" w:eastAsia="Times New Roman" w:hAnsi="Arial" w:cs="Arial"/>
          <w:color w:val="000000"/>
          <w:kern w:val="0"/>
          <w:bdr w:val="none" w:sz="0" w:space="0" w:color="auto" w:frame="1"/>
          <w:shd w:val="clear" w:color="auto" w:fill="FFFFFF"/>
          <w:lang w:eastAsia="es-CO"/>
          <w14:ligatures w14:val="none"/>
        </w:rPr>
        <w:t>ninguna documental demostró algún tipo de responsabilidad de aquella entidad con relación a la alcantarilla en la que ocurrieron los hechos, sumado a que, se probó mediante el</w:t>
      </w:r>
      <w:r w:rsidRPr="006D327B">
        <w:rPr>
          <w:rFonts w:ascii="Arial" w:eastAsia="Times New Roman" w:hAnsi="Arial" w:cs="Arial"/>
          <w:color w:val="000000"/>
          <w:kern w:val="0"/>
          <w:bdr w:val="none" w:sz="0" w:space="0" w:color="auto" w:frame="1"/>
          <w:shd w:val="clear" w:color="auto" w:fill="FFFFFF"/>
          <w:lang w:eastAsia="es-CO"/>
          <w14:ligatures w14:val="none"/>
        </w:rPr>
        <w:t xml:space="preserve"> informe policial del 09 de marzo de 2018</w:t>
      </w:r>
      <w:r>
        <w:rPr>
          <w:rFonts w:ascii="Arial" w:eastAsia="Times New Roman" w:hAnsi="Arial" w:cs="Arial"/>
          <w:color w:val="000000"/>
          <w:kern w:val="0"/>
          <w:bdr w:val="none" w:sz="0" w:space="0" w:color="auto" w:frame="1"/>
          <w:shd w:val="clear" w:color="auto" w:fill="FFFFFF"/>
          <w:lang w:eastAsia="es-CO"/>
          <w14:ligatures w14:val="none"/>
        </w:rPr>
        <w:t xml:space="preserve">, que el señor </w:t>
      </w:r>
      <w:r w:rsidRPr="006D327B">
        <w:rPr>
          <w:rFonts w:ascii="Arial" w:eastAsia="Times New Roman" w:hAnsi="Arial" w:cs="Arial"/>
          <w:color w:val="000000"/>
          <w:kern w:val="0"/>
          <w:bdr w:val="none" w:sz="0" w:space="0" w:color="auto" w:frame="1"/>
          <w:shd w:val="clear" w:color="auto" w:fill="FFFFFF"/>
          <w:lang w:eastAsia="es-CO"/>
          <w14:ligatures w14:val="none"/>
        </w:rPr>
        <w:t>Sergio Andrés Arenas Caicedo</w:t>
      </w:r>
      <w:r>
        <w:rPr>
          <w:rFonts w:ascii="Arial" w:eastAsia="Times New Roman" w:hAnsi="Arial" w:cs="Arial"/>
          <w:color w:val="000000"/>
          <w:kern w:val="0"/>
          <w:bdr w:val="none" w:sz="0" w:space="0" w:color="auto" w:frame="1"/>
          <w:shd w:val="clear" w:color="auto" w:fill="FFFFFF"/>
          <w:lang w:eastAsia="es-CO"/>
          <w14:ligatures w14:val="none"/>
        </w:rPr>
        <w:t xml:space="preserve"> </w:t>
      </w:r>
      <w:r w:rsidRPr="006D327B">
        <w:rPr>
          <w:rFonts w:ascii="Arial" w:eastAsia="Times New Roman" w:hAnsi="Arial" w:cs="Arial"/>
          <w:color w:val="000000"/>
          <w:kern w:val="0"/>
          <w:bdr w:val="none" w:sz="0" w:space="0" w:color="auto" w:frame="1"/>
          <w:shd w:val="clear" w:color="auto" w:fill="FFFFFF"/>
          <w:lang w:eastAsia="es-CO"/>
          <w14:ligatures w14:val="none"/>
        </w:rPr>
        <w:t xml:space="preserve">(Q.E.P.D) infringió las normas de tránsito </w:t>
      </w:r>
      <w:r>
        <w:rPr>
          <w:rFonts w:ascii="Arial" w:eastAsia="Times New Roman" w:hAnsi="Arial" w:cs="Arial"/>
          <w:color w:val="000000"/>
          <w:kern w:val="0"/>
          <w:bdr w:val="none" w:sz="0" w:space="0" w:color="auto" w:frame="1"/>
          <w:shd w:val="clear" w:color="auto" w:fill="FFFFFF"/>
          <w:lang w:eastAsia="es-CO"/>
          <w14:ligatures w14:val="none"/>
        </w:rPr>
        <w:t>en el sentido que se mencionó como hipótesis para el conductor las</w:t>
      </w:r>
      <w:r w:rsidRPr="006D327B">
        <w:rPr>
          <w:rFonts w:ascii="Arial" w:eastAsia="Times New Roman" w:hAnsi="Arial" w:cs="Arial"/>
          <w:color w:val="000000"/>
          <w:kern w:val="0"/>
          <w:bdr w:val="none" w:sz="0" w:space="0" w:color="auto" w:frame="1"/>
          <w:shd w:val="clear" w:color="auto" w:fill="FFFFFF"/>
          <w:lang w:eastAsia="es-CO"/>
          <w14:ligatures w14:val="none"/>
        </w:rPr>
        <w:t xml:space="preserve"> 116 y 157, relacionadas con el exceso de velocidad y la pérdida de control del vehículo</w:t>
      </w:r>
      <w:r>
        <w:rPr>
          <w:rFonts w:ascii="Arial" w:eastAsia="Times New Roman" w:hAnsi="Arial" w:cs="Arial"/>
          <w:color w:val="000000"/>
          <w:kern w:val="0"/>
          <w:bdr w:val="none" w:sz="0" w:space="0" w:color="auto" w:frame="1"/>
          <w:shd w:val="clear" w:color="auto" w:fill="FFFFFF"/>
          <w:lang w:eastAsia="es-CO"/>
          <w14:ligatures w14:val="none"/>
        </w:rPr>
        <w:t>.</w:t>
      </w:r>
    </w:p>
    <w:p w14:paraId="5F6B3FBA" w14:textId="77777777" w:rsidR="00B25CD4" w:rsidRDefault="00B25CD4" w:rsidP="006D327B">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20B8BB6D" w14:textId="4DA649C5" w:rsidR="00B25CD4" w:rsidRDefault="00B25CD4" w:rsidP="006D327B">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Lo anterior, sin perjuicio del carácter contingente del proceso.</w:t>
      </w:r>
    </w:p>
    <w:p w14:paraId="786240AE" w14:textId="77777777" w:rsidR="00B25CD4" w:rsidRDefault="00B25CD4" w:rsidP="006D327B">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p>
    <w:p w14:paraId="586CAFF2" w14:textId="7AE96ED2" w:rsidR="00B25CD4" w:rsidRDefault="00B25CD4" w:rsidP="00B25CD4">
      <w:pPr>
        <w:spacing w:after="0" w:line="360" w:lineRule="auto"/>
        <w:jc w:val="both"/>
        <w:rPr>
          <w:rFonts w:ascii="Arial" w:eastAsia="Times New Roman" w:hAnsi="Arial" w:cs="Arial"/>
          <w:color w:val="000000"/>
          <w:kern w:val="0"/>
          <w:bdr w:val="none" w:sz="0" w:space="0" w:color="auto" w:frame="1"/>
          <w:shd w:val="clear" w:color="auto" w:fill="FFFFFF"/>
          <w:lang w:eastAsia="es-CO"/>
          <w14:ligatures w14:val="none"/>
        </w:rPr>
      </w:pPr>
      <w:r>
        <w:rPr>
          <w:rFonts w:ascii="Arial" w:eastAsia="Times New Roman" w:hAnsi="Arial" w:cs="Arial"/>
          <w:color w:val="000000"/>
          <w:kern w:val="0"/>
          <w:bdr w:val="none" w:sz="0" w:space="0" w:color="auto" w:frame="1"/>
          <w:shd w:val="clear" w:color="auto" w:fill="FFFFFF"/>
          <w:lang w:eastAsia="es-CO"/>
          <w14:ligatures w14:val="none"/>
        </w:rPr>
        <w:t>Liquidación objetiva de las pretensiones:</w:t>
      </w:r>
    </w:p>
    <w:p w14:paraId="7D32EDEA" w14:textId="77777777" w:rsidR="00B25CD4" w:rsidRDefault="00B25CD4" w:rsidP="00B25CD4">
      <w:pPr>
        <w:spacing w:after="0" w:line="360" w:lineRule="auto"/>
        <w:jc w:val="both"/>
        <w:rPr>
          <w:rFonts w:ascii="Arial" w:eastAsia="Times New Roman" w:hAnsi="Arial" w:cs="Arial"/>
          <w:color w:val="000000"/>
          <w:kern w:val="0"/>
          <w:bdr w:val="none" w:sz="0" w:space="0" w:color="auto" w:frame="1"/>
          <w:shd w:val="clear" w:color="auto" w:fill="FFFFFF"/>
          <w:lang w:eastAsia="es-CO"/>
          <w14:ligatures w14:val="none"/>
        </w:rPr>
      </w:pPr>
    </w:p>
    <w:p w14:paraId="24340ED3" w14:textId="19366BE9" w:rsidR="00B25CD4" w:rsidRPr="00B25CD4" w:rsidRDefault="00B25CD4" w:rsidP="00AB1C63">
      <w:pPr>
        <w:spacing w:after="0" w:line="240" w:lineRule="auto"/>
        <w:jc w:val="both"/>
        <w:rPr>
          <w:rFonts w:ascii="Arial" w:eastAsia="Times New Roman" w:hAnsi="Arial" w:cs="Arial"/>
          <w:color w:val="000000"/>
          <w:kern w:val="0"/>
          <w:bdr w:val="none" w:sz="0" w:space="0" w:color="auto" w:frame="1"/>
          <w:shd w:val="clear" w:color="auto" w:fill="FFFFFF"/>
          <w:lang w:eastAsia="es-CO"/>
          <w14:ligatures w14:val="none"/>
        </w:rPr>
      </w:pPr>
      <w:r w:rsidRPr="00B25CD4">
        <w:rPr>
          <w:rFonts w:ascii="Arial" w:eastAsia="Times New Roman" w:hAnsi="Arial" w:cs="Arial"/>
          <w:b/>
          <w:bCs/>
          <w:color w:val="000000"/>
          <w:kern w:val="0"/>
          <w:bdr w:val="none" w:sz="0" w:space="0" w:color="auto" w:frame="1"/>
          <w:shd w:val="clear" w:color="auto" w:fill="FFFFFF"/>
          <w:lang w:eastAsia="es-CO"/>
          <w14:ligatures w14:val="none"/>
        </w:rPr>
        <w:t>Perjuicios morales:</w:t>
      </w:r>
      <w:r w:rsidRPr="00B25CD4">
        <w:rPr>
          <w:rFonts w:ascii="Arial" w:eastAsia="Times New Roman" w:hAnsi="Arial" w:cs="Arial"/>
          <w:color w:val="000000"/>
          <w:kern w:val="0"/>
          <w:bdr w:val="none" w:sz="0" w:space="0" w:color="auto" w:frame="1"/>
          <w:shd w:val="clear" w:color="auto" w:fill="FFFFFF"/>
          <w:lang w:eastAsia="es-CO"/>
          <w14:ligatures w14:val="none"/>
        </w:rPr>
        <w:t xml:space="preserve"> </w:t>
      </w:r>
      <w:r>
        <w:rPr>
          <w:rFonts w:ascii="Arial" w:eastAsia="Times New Roman" w:hAnsi="Arial" w:cs="Arial"/>
          <w:color w:val="000000"/>
          <w:kern w:val="0"/>
          <w:bdr w:val="none" w:sz="0" w:space="0" w:color="auto" w:frame="1"/>
          <w:shd w:val="clear" w:color="auto" w:fill="FFFFFF"/>
          <w:lang w:eastAsia="es-CO"/>
          <w14:ligatures w14:val="none"/>
        </w:rPr>
        <w:t xml:space="preserve">por el fallecimiento del señor </w:t>
      </w:r>
      <w:r w:rsidRPr="006D327B">
        <w:rPr>
          <w:rFonts w:ascii="Arial" w:eastAsia="Times New Roman" w:hAnsi="Arial" w:cs="Arial"/>
          <w:color w:val="000000"/>
          <w:kern w:val="0"/>
          <w:bdr w:val="none" w:sz="0" w:space="0" w:color="auto" w:frame="1"/>
          <w:shd w:val="clear" w:color="auto" w:fill="FFFFFF"/>
          <w:lang w:eastAsia="es-CO"/>
          <w14:ligatures w14:val="none"/>
        </w:rPr>
        <w:t>Sergio Andrés Arenas Caicedo</w:t>
      </w:r>
      <w:r>
        <w:rPr>
          <w:rFonts w:ascii="Arial" w:eastAsia="Times New Roman" w:hAnsi="Arial" w:cs="Arial"/>
          <w:color w:val="000000"/>
          <w:kern w:val="0"/>
          <w:bdr w:val="none" w:sz="0" w:space="0" w:color="auto" w:frame="1"/>
          <w:shd w:val="clear" w:color="auto" w:fill="FFFFFF"/>
          <w:lang w:eastAsia="es-CO"/>
          <w14:ligatures w14:val="none"/>
        </w:rPr>
        <w:t xml:space="preserve"> </w:t>
      </w:r>
      <w:r w:rsidRPr="006D327B">
        <w:rPr>
          <w:rFonts w:ascii="Arial" w:eastAsia="Times New Roman" w:hAnsi="Arial" w:cs="Arial"/>
          <w:color w:val="000000"/>
          <w:kern w:val="0"/>
          <w:bdr w:val="none" w:sz="0" w:space="0" w:color="auto" w:frame="1"/>
          <w:shd w:val="clear" w:color="auto" w:fill="FFFFFF"/>
          <w:lang w:eastAsia="es-CO"/>
          <w14:ligatures w14:val="none"/>
        </w:rPr>
        <w:t>(Q.E.P.D)</w:t>
      </w:r>
      <w:r w:rsidRPr="00B25CD4">
        <w:rPr>
          <w:rFonts w:ascii="Arial" w:eastAsia="Times New Roman" w:hAnsi="Arial" w:cs="Arial"/>
          <w:color w:val="000000"/>
          <w:kern w:val="0"/>
          <w:bdr w:val="none" w:sz="0" w:space="0" w:color="auto" w:frame="1"/>
          <w:shd w:val="clear" w:color="auto" w:fill="FFFFFF"/>
          <w:lang w:eastAsia="es-CO"/>
          <w14:ligatures w14:val="none"/>
        </w:rPr>
        <w:t>, se tendrá en cuenta la suma total de $</w:t>
      </w:r>
      <w:r w:rsidR="00BB29C6" w:rsidRPr="00BB29C6">
        <w:rPr>
          <w:rFonts w:ascii="Arial" w:eastAsia="Times New Roman" w:hAnsi="Arial" w:cs="Arial"/>
          <w:color w:val="000000"/>
          <w:kern w:val="0"/>
          <w:bdr w:val="none" w:sz="0" w:space="0" w:color="auto" w:frame="1"/>
          <w:shd w:val="clear" w:color="auto" w:fill="FFFFFF"/>
          <w:lang w:eastAsia="es-CO"/>
          <w14:ligatures w14:val="none"/>
        </w:rPr>
        <w:t>378.304.140</w:t>
      </w:r>
      <w:r>
        <w:rPr>
          <w:rFonts w:ascii="Arial" w:eastAsia="Times New Roman" w:hAnsi="Arial" w:cs="Arial"/>
          <w:color w:val="000000"/>
          <w:kern w:val="0"/>
          <w:bdr w:val="none" w:sz="0" w:space="0" w:color="auto" w:frame="1"/>
          <w:shd w:val="clear" w:color="auto" w:fill="FFFFFF"/>
          <w:lang w:eastAsia="es-CO"/>
          <w14:ligatures w14:val="none"/>
        </w:rPr>
        <w:t xml:space="preserve"> </w:t>
      </w:r>
      <w:r w:rsidRPr="00B25CD4">
        <w:rPr>
          <w:rFonts w:ascii="Arial" w:eastAsia="Times New Roman" w:hAnsi="Arial" w:cs="Arial"/>
          <w:color w:val="000000"/>
          <w:kern w:val="0"/>
          <w:bdr w:val="none" w:sz="0" w:space="0" w:color="auto" w:frame="1"/>
          <w:shd w:val="clear" w:color="auto" w:fill="FFFFFF"/>
          <w:lang w:eastAsia="es-CO"/>
          <w14:ligatures w14:val="none"/>
        </w:rPr>
        <w:t xml:space="preserve">discriminada así: se tomó en cuenta como indemnización por perjuicio moral la suma equivalente a </w:t>
      </w:r>
      <w:r>
        <w:rPr>
          <w:rFonts w:ascii="Arial" w:eastAsia="Times New Roman" w:hAnsi="Arial" w:cs="Arial"/>
          <w:color w:val="000000"/>
          <w:kern w:val="0"/>
          <w:bdr w:val="none" w:sz="0" w:space="0" w:color="auto" w:frame="1"/>
          <w:shd w:val="clear" w:color="auto" w:fill="FFFFFF"/>
          <w:lang w:eastAsia="es-CO"/>
          <w14:ligatures w14:val="none"/>
        </w:rPr>
        <w:t>100</w:t>
      </w:r>
      <w:r w:rsidRPr="00B25CD4">
        <w:rPr>
          <w:rFonts w:ascii="Arial" w:eastAsia="Times New Roman" w:hAnsi="Arial" w:cs="Arial"/>
          <w:color w:val="000000"/>
          <w:kern w:val="0"/>
          <w:bdr w:val="none" w:sz="0" w:space="0" w:color="auto" w:frame="1"/>
          <w:shd w:val="clear" w:color="auto" w:fill="FFFFFF"/>
          <w:lang w:eastAsia="es-CO"/>
          <w14:ligatures w14:val="none"/>
        </w:rPr>
        <w:t xml:space="preserve"> SMM</w:t>
      </w:r>
      <w:r w:rsidR="00AB1C63">
        <w:rPr>
          <w:rFonts w:ascii="Arial" w:eastAsia="Times New Roman" w:hAnsi="Arial" w:cs="Arial"/>
          <w:color w:val="000000"/>
          <w:kern w:val="0"/>
          <w:bdr w:val="none" w:sz="0" w:space="0" w:color="auto" w:frame="1"/>
          <w:shd w:val="clear" w:color="auto" w:fill="FFFFFF"/>
          <w:lang w:eastAsia="es-CO"/>
          <w14:ligatures w14:val="none"/>
        </w:rPr>
        <w:t>L</w:t>
      </w:r>
      <w:r w:rsidRPr="00B25CD4">
        <w:rPr>
          <w:rFonts w:ascii="Arial" w:eastAsia="Times New Roman" w:hAnsi="Arial" w:cs="Arial"/>
          <w:color w:val="000000"/>
          <w:kern w:val="0"/>
          <w:bdr w:val="none" w:sz="0" w:space="0" w:color="auto" w:frame="1"/>
          <w:shd w:val="clear" w:color="auto" w:fill="FFFFFF"/>
          <w:lang w:eastAsia="es-CO"/>
          <w14:ligatures w14:val="none"/>
        </w:rPr>
        <w:t>V ($</w:t>
      </w:r>
      <w:r>
        <w:rPr>
          <w:rFonts w:ascii="Arial" w:eastAsia="Times New Roman" w:hAnsi="Arial" w:cs="Arial"/>
          <w:color w:val="000000"/>
          <w:kern w:val="0"/>
          <w:bdr w:val="none" w:sz="0" w:space="0" w:color="auto" w:frame="1"/>
          <w:shd w:val="clear" w:color="auto" w:fill="FFFFFF"/>
          <w:lang w:eastAsia="es-CO"/>
          <w14:ligatures w14:val="none"/>
        </w:rPr>
        <w:t>130.</w:t>
      </w:r>
      <w:r w:rsidRPr="00B25CD4">
        <w:rPr>
          <w:rFonts w:ascii="Arial" w:eastAsia="Times New Roman" w:hAnsi="Arial" w:cs="Arial"/>
          <w:color w:val="000000"/>
          <w:kern w:val="0"/>
          <w:bdr w:val="none" w:sz="0" w:space="0" w:color="auto" w:frame="1"/>
          <w:shd w:val="clear" w:color="auto" w:fill="FFFFFF"/>
          <w:lang w:eastAsia="es-CO"/>
          <w14:ligatures w14:val="none"/>
        </w:rPr>
        <w:t xml:space="preserve">000.000) </w:t>
      </w:r>
      <w:r>
        <w:rPr>
          <w:rFonts w:ascii="Arial" w:eastAsia="Times New Roman" w:hAnsi="Arial" w:cs="Arial"/>
          <w:color w:val="000000"/>
          <w:kern w:val="0"/>
          <w:bdr w:val="none" w:sz="0" w:space="0" w:color="auto" w:frame="1"/>
          <w:shd w:val="clear" w:color="auto" w:fill="FFFFFF"/>
          <w:lang w:eastAsia="es-CO"/>
          <w14:ligatures w14:val="none"/>
        </w:rPr>
        <w:t>para la señora María Aleyda Caicedo Díaz en calidad de madre de la víctima por haberse probado su legitimación en la causa por activa</w:t>
      </w:r>
      <w:r w:rsidRPr="00B25CD4">
        <w:rPr>
          <w:rFonts w:ascii="Arial" w:eastAsia="Times New Roman" w:hAnsi="Arial" w:cs="Arial"/>
          <w:color w:val="000000"/>
          <w:kern w:val="0"/>
          <w:bdr w:val="none" w:sz="0" w:space="0" w:color="auto" w:frame="1"/>
          <w:shd w:val="clear" w:color="auto" w:fill="FFFFFF"/>
          <w:lang w:eastAsia="es-CO"/>
          <w14:ligatures w14:val="none"/>
        </w:rPr>
        <w:t>, la suma de 100 SMLMV ($130.000.000)</w:t>
      </w:r>
      <w:r>
        <w:rPr>
          <w:rFonts w:ascii="Arial" w:eastAsia="Times New Roman" w:hAnsi="Arial" w:cs="Arial"/>
          <w:color w:val="000000"/>
          <w:kern w:val="0"/>
          <w:bdr w:val="none" w:sz="0" w:space="0" w:color="auto" w:frame="1"/>
          <w:shd w:val="clear" w:color="auto" w:fill="FFFFFF"/>
          <w:lang w:eastAsia="es-CO"/>
          <w14:ligatures w14:val="none"/>
        </w:rPr>
        <w:t xml:space="preserve"> </w:t>
      </w:r>
      <w:r w:rsidRPr="00B25CD4">
        <w:rPr>
          <w:rFonts w:ascii="Arial" w:eastAsia="Times New Roman" w:hAnsi="Arial" w:cs="Arial"/>
          <w:color w:val="000000"/>
          <w:kern w:val="0"/>
          <w:bdr w:val="none" w:sz="0" w:space="0" w:color="auto" w:frame="1"/>
          <w:shd w:val="clear" w:color="auto" w:fill="FFFFFF"/>
          <w:lang w:eastAsia="es-CO"/>
          <w14:ligatures w14:val="none"/>
        </w:rPr>
        <w:t xml:space="preserve">a favor del señor </w:t>
      </w:r>
      <w:r>
        <w:rPr>
          <w:rFonts w:ascii="Arial" w:eastAsia="Times New Roman" w:hAnsi="Arial" w:cs="Arial"/>
          <w:color w:val="000000"/>
          <w:kern w:val="0"/>
          <w:bdr w:val="none" w:sz="0" w:space="0" w:color="auto" w:frame="1"/>
          <w:shd w:val="clear" w:color="auto" w:fill="FFFFFF"/>
          <w:lang w:eastAsia="es-CO"/>
          <w14:ligatures w14:val="none"/>
        </w:rPr>
        <w:t xml:space="preserve">Fabian Mauricio Arenas Caicedo </w:t>
      </w:r>
      <w:r w:rsidRPr="00B25CD4">
        <w:rPr>
          <w:rFonts w:ascii="Arial" w:eastAsia="Times New Roman" w:hAnsi="Arial" w:cs="Arial"/>
          <w:color w:val="000000"/>
          <w:kern w:val="0"/>
          <w:bdr w:val="none" w:sz="0" w:space="0" w:color="auto" w:frame="1"/>
          <w:shd w:val="clear" w:color="auto" w:fill="FFFFFF"/>
          <w:lang w:eastAsia="es-CO"/>
          <w14:ligatures w14:val="none"/>
        </w:rPr>
        <w:t xml:space="preserve">en calidad de </w:t>
      </w:r>
      <w:r>
        <w:rPr>
          <w:rFonts w:ascii="Arial" w:eastAsia="Times New Roman" w:hAnsi="Arial" w:cs="Arial"/>
          <w:color w:val="000000"/>
          <w:kern w:val="0"/>
          <w:bdr w:val="none" w:sz="0" w:space="0" w:color="auto" w:frame="1"/>
          <w:shd w:val="clear" w:color="auto" w:fill="FFFFFF"/>
          <w:lang w:eastAsia="es-CO"/>
          <w14:ligatures w14:val="none"/>
        </w:rPr>
        <w:t xml:space="preserve">padre </w:t>
      </w:r>
      <w:r w:rsidRPr="00B25CD4">
        <w:rPr>
          <w:rFonts w:ascii="Arial" w:eastAsia="Times New Roman" w:hAnsi="Arial" w:cs="Arial"/>
          <w:color w:val="000000"/>
          <w:kern w:val="0"/>
          <w:bdr w:val="none" w:sz="0" w:space="0" w:color="auto" w:frame="1"/>
          <w:shd w:val="clear" w:color="auto" w:fill="FFFFFF"/>
          <w:lang w:eastAsia="es-CO"/>
          <w14:ligatures w14:val="none"/>
        </w:rPr>
        <w:t xml:space="preserve">de la víctima por haberse probado su legitimación en la causa por activa, </w:t>
      </w:r>
      <w:r w:rsidR="00AB1C63">
        <w:rPr>
          <w:rFonts w:ascii="Arial" w:eastAsia="Times New Roman" w:hAnsi="Arial" w:cs="Arial"/>
          <w:color w:val="000000"/>
          <w:kern w:val="0"/>
          <w:bdr w:val="none" w:sz="0" w:space="0" w:color="auto" w:frame="1"/>
          <w:shd w:val="clear" w:color="auto" w:fill="FFFFFF"/>
          <w:lang w:eastAsia="es-CO"/>
          <w14:ligatures w14:val="none"/>
        </w:rPr>
        <w:t xml:space="preserve">y la suma de 50 SMMLV ($65.000.000) para cada uno de los siguientes demandantes: Carolina Marcela </w:t>
      </w:r>
      <w:r w:rsidR="00AB1C63">
        <w:rPr>
          <w:rFonts w:ascii="Arial" w:eastAsia="Times New Roman" w:hAnsi="Arial" w:cs="Arial"/>
          <w:color w:val="000000"/>
          <w:kern w:val="0"/>
          <w:bdr w:val="none" w:sz="0" w:space="0" w:color="auto" w:frame="1"/>
          <w:shd w:val="clear" w:color="auto" w:fill="FFFFFF"/>
          <w:lang w:eastAsia="es-CO"/>
          <w14:ligatures w14:val="none"/>
        </w:rPr>
        <w:lastRenderedPageBreak/>
        <w:t>Arenas Caicedo y Fabian Maruricio Arenas Caicedo en calidad de hermanos de la víctima por haberse probado su legitimación en la causa por activa</w:t>
      </w:r>
      <w:r w:rsidR="00E64784">
        <w:rPr>
          <w:rFonts w:ascii="Arial" w:eastAsia="Times New Roman" w:hAnsi="Arial" w:cs="Arial"/>
          <w:color w:val="000000"/>
          <w:kern w:val="0"/>
          <w:bdr w:val="none" w:sz="0" w:space="0" w:color="auto" w:frame="1"/>
          <w:shd w:val="clear" w:color="auto" w:fill="FFFFFF"/>
          <w:lang w:eastAsia="es-CO"/>
          <w14:ligatures w14:val="none"/>
        </w:rPr>
        <w:t xml:space="preserve">. </w:t>
      </w:r>
      <w:r w:rsidR="00AB1C63">
        <w:rPr>
          <w:rFonts w:ascii="Arial" w:eastAsia="Times New Roman" w:hAnsi="Arial" w:cs="Arial"/>
          <w:color w:val="000000"/>
          <w:kern w:val="0"/>
          <w:bdr w:val="none" w:sz="0" w:space="0" w:color="auto" w:frame="1"/>
          <w:shd w:val="clear" w:color="auto" w:fill="FFFFFF"/>
          <w:lang w:eastAsia="es-CO"/>
          <w14:ligatures w14:val="none"/>
        </w:rPr>
        <w:t xml:space="preserve">No se reconoce ninguna suma a favor de Johana Liceth Hernández Saavedra, en tanto no se acreditó que fuera la compañera permanente del señor Arenas Caicedo, ninguna testimonial acreditó </w:t>
      </w:r>
      <w:r w:rsidR="00E64784">
        <w:rPr>
          <w:rFonts w:ascii="Arial" w:eastAsia="Times New Roman" w:hAnsi="Arial" w:cs="Arial"/>
          <w:color w:val="000000"/>
          <w:kern w:val="0"/>
          <w:bdr w:val="none" w:sz="0" w:space="0" w:color="auto" w:frame="1"/>
          <w:shd w:val="clear" w:color="auto" w:fill="FFFFFF"/>
          <w:lang w:eastAsia="es-CO"/>
          <w14:ligatures w14:val="none"/>
        </w:rPr>
        <w:t>tal situación, puesto que si bien si hubo momentos de convivencia la misma se interrumpía reiteradamente en lapsos prolongados de tiempo.</w:t>
      </w:r>
    </w:p>
    <w:p w14:paraId="7C297CE1" w14:textId="77777777" w:rsidR="00B25CD4" w:rsidRPr="00B25CD4" w:rsidRDefault="00B25CD4" w:rsidP="00B25CD4">
      <w:pPr>
        <w:pStyle w:val="Prrafodelista"/>
        <w:spacing w:after="0" w:line="360" w:lineRule="auto"/>
        <w:jc w:val="both"/>
        <w:rPr>
          <w:rFonts w:ascii="Arial" w:eastAsia="Times New Roman" w:hAnsi="Arial" w:cs="Arial"/>
          <w:color w:val="000000"/>
          <w:kern w:val="0"/>
          <w:bdr w:val="none" w:sz="0" w:space="0" w:color="auto" w:frame="1"/>
          <w:shd w:val="clear" w:color="auto" w:fill="FFFFFF"/>
          <w:lang w:eastAsia="es-CO"/>
          <w14:ligatures w14:val="none"/>
        </w:rPr>
      </w:pPr>
    </w:p>
    <w:p w14:paraId="121AAB8E" w14:textId="5EA8C7D6" w:rsidR="00B25CD4" w:rsidRDefault="00B25CD4" w:rsidP="00B25CD4">
      <w:pPr>
        <w:shd w:val="clear" w:color="auto" w:fill="FFFFFF"/>
        <w:spacing w:after="0" w:line="240" w:lineRule="auto"/>
        <w:ind w:right="49"/>
        <w:jc w:val="both"/>
        <w:textAlignment w:val="baseline"/>
        <w:rPr>
          <w:rFonts w:ascii="Century Gothic" w:hAnsi="Century Gothic"/>
          <w:bCs/>
        </w:rPr>
      </w:pPr>
      <w:r w:rsidRPr="00B25CD4">
        <w:rPr>
          <w:rFonts w:ascii="Arial" w:eastAsia="Times New Roman" w:hAnsi="Arial" w:cs="Arial"/>
          <w:color w:val="000000"/>
          <w:kern w:val="0"/>
          <w:bdr w:val="none" w:sz="0" w:space="0" w:color="auto" w:frame="1"/>
          <w:shd w:val="clear" w:color="auto" w:fill="FFFFFF"/>
          <w:lang w:eastAsia="es-CO"/>
          <w14:ligatures w14:val="none"/>
        </w:rPr>
        <w:t>A este valor se llegó, teniendo en cuenta los baremos indemnizatorios establecidos por el Consejo de Estado mediante Sentencia de Unificación</w:t>
      </w:r>
      <w:r w:rsidRPr="00B81414">
        <w:rPr>
          <w:rFonts w:ascii="Century Gothic" w:hAnsi="Century Gothic"/>
          <w:bCs/>
        </w:rPr>
        <w:t xml:space="preserve"> del 28 de agosto de 2014. Consejero Ponente: Jaime Orlando Santofimio.</w:t>
      </w:r>
    </w:p>
    <w:p w14:paraId="1A67CD96" w14:textId="77777777" w:rsidR="00AB1C63" w:rsidRDefault="00AB1C63" w:rsidP="00B25CD4">
      <w:pPr>
        <w:shd w:val="clear" w:color="auto" w:fill="FFFFFF"/>
        <w:spacing w:after="0" w:line="240" w:lineRule="auto"/>
        <w:ind w:right="49"/>
        <w:jc w:val="both"/>
        <w:textAlignment w:val="baseline"/>
        <w:rPr>
          <w:rFonts w:ascii="Century Gothic" w:hAnsi="Century Gothic"/>
          <w:bCs/>
        </w:rPr>
      </w:pPr>
    </w:p>
    <w:p w14:paraId="0071EA6B" w14:textId="235CBA03" w:rsidR="00AB1C63" w:rsidRDefault="00AB1C63" w:rsidP="00B25CD4">
      <w:pPr>
        <w:shd w:val="clear" w:color="auto" w:fill="FFFFFF"/>
        <w:spacing w:after="0" w:line="240" w:lineRule="auto"/>
        <w:ind w:right="49"/>
        <w:jc w:val="both"/>
        <w:textAlignment w:val="baseline"/>
        <w:rPr>
          <w:rFonts w:ascii="Century Gothic" w:hAnsi="Century Gothic"/>
          <w:bCs/>
        </w:rPr>
      </w:pPr>
      <w:r w:rsidRPr="00AB1C63">
        <w:rPr>
          <w:rFonts w:ascii="Century Gothic" w:hAnsi="Century Gothic"/>
          <w:b/>
        </w:rPr>
        <w:t>Lucro cesante:</w:t>
      </w:r>
      <w:r>
        <w:rPr>
          <w:rFonts w:ascii="Century Gothic" w:hAnsi="Century Gothic"/>
          <w:bCs/>
        </w:rPr>
        <w:t xml:space="preserve"> </w:t>
      </w:r>
      <w:r w:rsidRPr="00BB29C6">
        <w:rPr>
          <w:rFonts w:ascii="Arial" w:eastAsia="Times New Roman" w:hAnsi="Arial" w:cs="Arial"/>
          <w:color w:val="000000"/>
          <w:kern w:val="0"/>
          <w:bdr w:val="none" w:sz="0" w:space="0" w:color="auto" w:frame="1"/>
          <w:shd w:val="clear" w:color="auto" w:fill="FFFFFF"/>
          <w:lang w:eastAsia="es-CO"/>
          <w14:ligatures w14:val="none"/>
        </w:rPr>
        <w:t>No se reconoce la suma de $184.370.885 por este concepto, en atención a que no se allegó ninguna documental que proba</w:t>
      </w:r>
      <w:r w:rsidR="00BB29C6" w:rsidRPr="00BB29C6">
        <w:rPr>
          <w:rFonts w:ascii="Arial" w:eastAsia="Times New Roman" w:hAnsi="Arial" w:cs="Arial"/>
          <w:color w:val="000000"/>
          <w:kern w:val="0"/>
          <w:bdr w:val="none" w:sz="0" w:space="0" w:color="auto" w:frame="1"/>
          <w:shd w:val="clear" w:color="auto" w:fill="FFFFFF"/>
          <w:lang w:eastAsia="es-CO"/>
          <w14:ligatures w14:val="none"/>
        </w:rPr>
        <w:t>r</w:t>
      </w:r>
      <w:r w:rsidRPr="00BB29C6">
        <w:rPr>
          <w:rFonts w:ascii="Arial" w:eastAsia="Times New Roman" w:hAnsi="Arial" w:cs="Arial"/>
          <w:color w:val="000000"/>
          <w:kern w:val="0"/>
          <w:bdr w:val="none" w:sz="0" w:space="0" w:color="auto" w:frame="1"/>
          <w:shd w:val="clear" w:color="auto" w:fill="FFFFFF"/>
          <w:lang w:eastAsia="es-CO"/>
          <w14:ligatures w14:val="none"/>
        </w:rPr>
        <w:t>a</w:t>
      </w:r>
      <w:r w:rsidR="00BB29C6" w:rsidRPr="00BB29C6">
        <w:rPr>
          <w:rFonts w:ascii="Arial" w:eastAsia="Times New Roman" w:hAnsi="Arial" w:cs="Arial"/>
          <w:color w:val="000000"/>
          <w:kern w:val="0"/>
          <w:bdr w:val="none" w:sz="0" w:space="0" w:color="auto" w:frame="1"/>
          <w:shd w:val="clear" w:color="auto" w:fill="FFFFFF"/>
          <w:lang w:eastAsia="es-CO"/>
          <w14:ligatures w14:val="none"/>
        </w:rPr>
        <w:t xml:space="preserve"> la actividad económica o los ingresos del causante</w:t>
      </w:r>
      <w:r w:rsidR="00E64784">
        <w:rPr>
          <w:rFonts w:ascii="Arial" w:eastAsia="Times New Roman" w:hAnsi="Arial" w:cs="Arial"/>
          <w:color w:val="000000"/>
          <w:kern w:val="0"/>
          <w:bdr w:val="none" w:sz="0" w:space="0" w:color="auto" w:frame="1"/>
          <w:shd w:val="clear" w:color="auto" w:fill="FFFFFF"/>
          <w:lang w:eastAsia="es-CO"/>
          <w14:ligatures w14:val="none"/>
        </w:rPr>
        <w:t xml:space="preserve"> </w:t>
      </w:r>
      <w:r w:rsidRPr="00BB29C6">
        <w:rPr>
          <w:rFonts w:ascii="Arial" w:eastAsia="Times New Roman" w:hAnsi="Arial" w:cs="Arial"/>
          <w:color w:val="000000"/>
          <w:kern w:val="0"/>
          <w:bdr w:val="none" w:sz="0" w:space="0" w:color="auto" w:frame="1"/>
          <w:shd w:val="clear" w:color="auto" w:fill="FFFFFF"/>
          <w:lang w:eastAsia="es-CO"/>
          <w14:ligatures w14:val="none"/>
        </w:rPr>
        <w:t>de la cual se derivara en un dinero dejado de percibir por los hoy demandantes.</w:t>
      </w:r>
      <w:r w:rsidRPr="00E64784">
        <w:rPr>
          <w:rFonts w:ascii="Arial" w:eastAsia="Times New Roman" w:hAnsi="Arial" w:cs="Arial"/>
          <w:color w:val="000000"/>
          <w:kern w:val="0"/>
          <w:bdr w:val="none" w:sz="0" w:space="0" w:color="auto" w:frame="1"/>
          <w:shd w:val="clear" w:color="auto" w:fill="FFFFFF"/>
          <w:lang w:eastAsia="es-CO"/>
          <w14:ligatures w14:val="none"/>
        </w:rPr>
        <w:t xml:space="preserve"> </w:t>
      </w:r>
      <w:r w:rsidR="00E64784" w:rsidRPr="00E64784">
        <w:rPr>
          <w:rFonts w:ascii="Arial" w:eastAsia="Times New Roman" w:hAnsi="Arial" w:cs="Arial"/>
          <w:color w:val="000000"/>
          <w:kern w:val="0"/>
          <w:bdr w:val="none" w:sz="0" w:space="0" w:color="auto" w:frame="1"/>
          <w:shd w:val="clear" w:color="auto" w:fill="FFFFFF"/>
          <w:lang w:eastAsia="es-CO"/>
          <w14:ligatures w14:val="none"/>
        </w:rPr>
        <w:t>Por la misma omisión probatoria sobre la realidad de la realización de la actividad no es procedente que el juez aplique la presunción del salario mínimo</w:t>
      </w:r>
      <w:r w:rsidR="00E64784">
        <w:rPr>
          <w:rFonts w:ascii="Arial" w:eastAsia="Times New Roman" w:hAnsi="Arial" w:cs="Arial"/>
          <w:color w:val="000000"/>
          <w:kern w:val="0"/>
          <w:bdr w:val="none" w:sz="0" w:space="0" w:color="auto" w:frame="1"/>
          <w:shd w:val="clear" w:color="auto" w:fill="FFFFFF"/>
          <w:lang w:eastAsia="es-CO"/>
          <w14:ligatures w14:val="none"/>
        </w:rPr>
        <w:t>.</w:t>
      </w:r>
    </w:p>
    <w:p w14:paraId="6C077C02" w14:textId="77777777" w:rsidR="00BB29C6" w:rsidRDefault="00BB29C6" w:rsidP="00B25CD4">
      <w:pPr>
        <w:shd w:val="clear" w:color="auto" w:fill="FFFFFF"/>
        <w:spacing w:after="0" w:line="240" w:lineRule="auto"/>
        <w:ind w:right="49"/>
        <w:jc w:val="both"/>
        <w:textAlignment w:val="baseline"/>
        <w:rPr>
          <w:rFonts w:ascii="Century Gothic" w:hAnsi="Century Gothic"/>
          <w:bCs/>
        </w:rPr>
      </w:pPr>
    </w:p>
    <w:p w14:paraId="4388C1EB" w14:textId="1637771F" w:rsidR="00BB29C6" w:rsidRDefault="00BB29C6" w:rsidP="00B25CD4">
      <w:pPr>
        <w:shd w:val="clear" w:color="auto" w:fill="FFFFFF"/>
        <w:spacing w:after="0" w:line="240" w:lineRule="auto"/>
        <w:ind w:right="49"/>
        <w:jc w:val="both"/>
        <w:textAlignment w:val="baseline"/>
        <w:rPr>
          <w:rFonts w:ascii="Arial" w:eastAsia="Times New Roman" w:hAnsi="Arial" w:cs="Arial"/>
          <w:color w:val="000000"/>
          <w:kern w:val="0"/>
          <w:bdr w:val="none" w:sz="0" w:space="0" w:color="auto" w:frame="1"/>
          <w:shd w:val="clear" w:color="auto" w:fill="FFFFFF"/>
          <w:lang w:eastAsia="es-CO"/>
          <w14:ligatures w14:val="none"/>
        </w:rPr>
      </w:pPr>
      <w:r w:rsidRPr="00BB29C6">
        <w:rPr>
          <w:rFonts w:ascii="Arial" w:eastAsia="Times New Roman" w:hAnsi="Arial" w:cs="Arial"/>
          <w:color w:val="000000"/>
          <w:kern w:val="0"/>
          <w:bdr w:val="none" w:sz="0" w:space="0" w:color="auto" w:frame="1"/>
          <w:shd w:val="clear" w:color="auto" w:fill="FFFFFF"/>
          <w:lang w:eastAsia="es-CO"/>
          <w14:ligatures w14:val="none"/>
        </w:rPr>
        <w:t>Lo anterior, da un total de $390.000.000 sobre el cual se aplica el deducible pactado en la póliza, correspondiente a USD 3.000, de los cuales, tomando en consideración la TMR de</w:t>
      </w:r>
      <w:r w:rsidR="00E64784">
        <w:rPr>
          <w:rFonts w:ascii="Arial" w:eastAsia="Times New Roman" w:hAnsi="Arial" w:cs="Arial"/>
          <w:color w:val="000000"/>
          <w:kern w:val="0"/>
          <w:bdr w:val="none" w:sz="0" w:space="0" w:color="auto" w:frame="1"/>
          <w:shd w:val="clear" w:color="auto" w:fill="FFFFFF"/>
          <w:lang w:eastAsia="es-CO"/>
          <w14:ligatures w14:val="none"/>
        </w:rPr>
        <w:t xml:space="preserve">l </w:t>
      </w:r>
      <w:r w:rsidRPr="00BB29C6">
        <w:rPr>
          <w:rFonts w:ascii="Arial" w:eastAsia="Times New Roman" w:hAnsi="Arial" w:cs="Arial"/>
          <w:color w:val="000000"/>
          <w:kern w:val="0"/>
          <w:bdr w:val="none" w:sz="0" w:space="0" w:color="auto" w:frame="1"/>
          <w:shd w:val="clear" w:color="auto" w:fill="FFFFFF"/>
          <w:lang w:eastAsia="es-CO"/>
          <w14:ligatures w14:val="none"/>
        </w:rPr>
        <w:t xml:space="preserve">3 de mayo de 2024, expedida por el Banco de la República que es de $3.898,62 da un total de $11.695.860. Lo que conlleva a una suma total de $378.304.140. </w:t>
      </w:r>
    </w:p>
    <w:sectPr w:rsidR="00BB29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38B4"/>
    <w:multiLevelType w:val="hybridMultilevel"/>
    <w:tmpl w:val="384C05BA"/>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 w15:restartNumberingAfterBreak="0">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60875852">
    <w:abstractNumId w:val="0"/>
  </w:num>
  <w:num w:numId="2" w16cid:durableId="549923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EE"/>
    <w:rsid w:val="000105EB"/>
    <w:rsid w:val="000A11E0"/>
    <w:rsid w:val="000D174D"/>
    <w:rsid w:val="000F3B39"/>
    <w:rsid w:val="000F4153"/>
    <w:rsid w:val="00175DCF"/>
    <w:rsid w:val="00200C4F"/>
    <w:rsid w:val="00203880"/>
    <w:rsid w:val="00254FE0"/>
    <w:rsid w:val="00291B94"/>
    <w:rsid w:val="002C2D55"/>
    <w:rsid w:val="0036273F"/>
    <w:rsid w:val="003B5B61"/>
    <w:rsid w:val="003C1FFD"/>
    <w:rsid w:val="003E2E85"/>
    <w:rsid w:val="00482CD7"/>
    <w:rsid w:val="00505DBE"/>
    <w:rsid w:val="0055027E"/>
    <w:rsid w:val="005C37FF"/>
    <w:rsid w:val="006D327B"/>
    <w:rsid w:val="00720863"/>
    <w:rsid w:val="0074647D"/>
    <w:rsid w:val="00766CA1"/>
    <w:rsid w:val="007B5EDC"/>
    <w:rsid w:val="007C6A24"/>
    <w:rsid w:val="007D2545"/>
    <w:rsid w:val="007D74C7"/>
    <w:rsid w:val="00922F76"/>
    <w:rsid w:val="0093532C"/>
    <w:rsid w:val="00975251"/>
    <w:rsid w:val="00992AC6"/>
    <w:rsid w:val="009F44EE"/>
    <w:rsid w:val="00A0062F"/>
    <w:rsid w:val="00A51033"/>
    <w:rsid w:val="00AB1C63"/>
    <w:rsid w:val="00AD2336"/>
    <w:rsid w:val="00B23AD7"/>
    <w:rsid w:val="00B25CD4"/>
    <w:rsid w:val="00BB29C6"/>
    <w:rsid w:val="00BC3E0E"/>
    <w:rsid w:val="00BE045B"/>
    <w:rsid w:val="00C40EBB"/>
    <w:rsid w:val="00D1409B"/>
    <w:rsid w:val="00D516F2"/>
    <w:rsid w:val="00E46C9E"/>
    <w:rsid w:val="00E64784"/>
    <w:rsid w:val="00E67FE4"/>
    <w:rsid w:val="00EB671E"/>
    <w:rsid w:val="00EC16D7"/>
    <w:rsid w:val="00EE2993"/>
    <w:rsid w:val="00EF781A"/>
    <w:rsid w:val="00F66C46"/>
    <w:rsid w:val="00F969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0FDC"/>
  <w15:chartTrackingRefBased/>
  <w15:docId w15:val="{DFC2616D-5C55-435A-BA75-8E0F709E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jyaiwe56e">
    <w:name w:val="markjyaiwe56e"/>
    <w:basedOn w:val="Fuentedeprrafopredeter"/>
    <w:rsid w:val="00F969EE"/>
  </w:style>
  <w:style w:type="paragraph" w:styleId="NormalWeb">
    <w:name w:val="Normal (Web)"/>
    <w:basedOn w:val="Normal"/>
    <w:uiPriority w:val="99"/>
    <w:semiHidden/>
    <w:unhideWhenUsed/>
    <w:rsid w:val="00F969E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Prrafodelista">
    <w:name w:val="List Paragraph"/>
    <w:aliases w:val="Bullets,titulo 3,List Paragraph,Ha"/>
    <w:basedOn w:val="Normal"/>
    <w:link w:val="PrrafodelistaCar"/>
    <w:uiPriority w:val="34"/>
    <w:qFormat/>
    <w:rsid w:val="00D516F2"/>
    <w:pPr>
      <w:ind w:left="720"/>
      <w:contextualSpacing/>
    </w:pPr>
  </w:style>
  <w:style w:type="character" w:styleId="Refdecomentario">
    <w:name w:val="annotation reference"/>
    <w:basedOn w:val="Fuentedeprrafopredeter"/>
    <w:uiPriority w:val="99"/>
    <w:semiHidden/>
    <w:unhideWhenUsed/>
    <w:rsid w:val="007C6A24"/>
    <w:rPr>
      <w:sz w:val="16"/>
      <w:szCs w:val="16"/>
    </w:rPr>
  </w:style>
  <w:style w:type="paragraph" w:styleId="Textocomentario">
    <w:name w:val="annotation text"/>
    <w:basedOn w:val="Normal"/>
    <w:link w:val="TextocomentarioCar"/>
    <w:uiPriority w:val="99"/>
    <w:unhideWhenUsed/>
    <w:rsid w:val="007C6A24"/>
    <w:pPr>
      <w:spacing w:line="240" w:lineRule="auto"/>
    </w:pPr>
    <w:rPr>
      <w:sz w:val="20"/>
      <w:szCs w:val="20"/>
    </w:rPr>
  </w:style>
  <w:style w:type="character" w:customStyle="1" w:styleId="TextocomentarioCar">
    <w:name w:val="Texto comentario Car"/>
    <w:basedOn w:val="Fuentedeprrafopredeter"/>
    <w:link w:val="Textocomentario"/>
    <w:uiPriority w:val="99"/>
    <w:rsid w:val="007C6A24"/>
    <w:rPr>
      <w:sz w:val="20"/>
      <w:szCs w:val="20"/>
    </w:rPr>
  </w:style>
  <w:style w:type="paragraph" w:styleId="Asuntodelcomentario">
    <w:name w:val="annotation subject"/>
    <w:basedOn w:val="Textocomentario"/>
    <w:next w:val="Textocomentario"/>
    <w:link w:val="AsuntodelcomentarioCar"/>
    <w:uiPriority w:val="99"/>
    <w:semiHidden/>
    <w:unhideWhenUsed/>
    <w:rsid w:val="007C6A24"/>
    <w:rPr>
      <w:b/>
      <w:bCs/>
    </w:rPr>
  </w:style>
  <w:style w:type="character" w:customStyle="1" w:styleId="AsuntodelcomentarioCar">
    <w:name w:val="Asunto del comentario Car"/>
    <w:basedOn w:val="TextocomentarioCar"/>
    <w:link w:val="Asuntodelcomentario"/>
    <w:uiPriority w:val="99"/>
    <w:semiHidden/>
    <w:rsid w:val="007C6A24"/>
    <w:rPr>
      <w:b/>
      <w:bCs/>
      <w:sz w:val="20"/>
      <w:szCs w:val="20"/>
    </w:rPr>
  </w:style>
  <w:style w:type="character" w:customStyle="1" w:styleId="cf01">
    <w:name w:val="cf01"/>
    <w:basedOn w:val="Fuentedeprrafopredeter"/>
    <w:rsid w:val="00505DBE"/>
    <w:rPr>
      <w:rFonts w:ascii="Segoe UI" w:hAnsi="Segoe UI" w:cs="Segoe UI" w:hint="default"/>
      <w:sz w:val="18"/>
      <w:szCs w:val="18"/>
    </w:rPr>
  </w:style>
  <w:style w:type="character" w:customStyle="1" w:styleId="PrrafodelistaCar">
    <w:name w:val="Párrafo de lista Car"/>
    <w:aliases w:val="Bullets Car,titulo 3 Car,List Paragraph Car,Ha Car"/>
    <w:link w:val="Prrafodelista"/>
    <w:uiPriority w:val="34"/>
    <w:locked/>
    <w:rsid w:val="00B2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860754">
      <w:bodyDiv w:val="1"/>
      <w:marLeft w:val="0"/>
      <w:marRight w:val="0"/>
      <w:marTop w:val="0"/>
      <w:marBottom w:val="0"/>
      <w:divBdr>
        <w:top w:val="none" w:sz="0" w:space="0" w:color="auto"/>
        <w:left w:val="none" w:sz="0" w:space="0" w:color="auto"/>
        <w:bottom w:val="none" w:sz="0" w:space="0" w:color="auto"/>
        <w:right w:val="none" w:sz="0" w:space="0" w:color="auto"/>
      </w:divBdr>
      <w:divsChild>
        <w:div w:id="2145655041">
          <w:marLeft w:val="0"/>
          <w:marRight w:val="0"/>
          <w:marTop w:val="0"/>
          <w:marBottom w:val="0"/>
          <w:divBdr>
            <w:top w:val="none" w:sz="0" w:space="0" w:color="auto"/>
            <w:left w:val="none" w:sz="0" w:space="0" w:color="auto"/>
            <w:bottom w:val="none" w:sz="0" w:space="0" w:color="auto"/>
            <w:right w:val="none" w:sz="0" w:space="0" w:color="auto"/>
          </w:divBdr>
        </w:div>
        <w:div w:id="951135163">
          <w:marLeft w:val="0"/>
          <w:marRight w:val="0"/>
          <w:marTop w:val="0"/>
          <w:marBottom w:val="0"/>
          <w:divBdr>
            <w:top w:val="none" w:sz="0" w:space="0" w:color="auto"/>
            <w:left w:val="none" w:sz="0" w:space="0" w:color="auto"/>
            <w:bottom w:val="none" w:sz="0" w:space="0" w:color="auto"/>
            <w:right w:val="none" w:sz="0" w:space="0" w:color="auto"/>
          </w:divBdr>
        </w:div>
        <w:div w:id="1037850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755</Words>
  <Characters>4156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Nicoll Andrea Vela Garcia</cp:lastModifiedBy>
  <cp:revision>2</cp:revision>
  <dcterms:created xsi:type="dcterms:W3CDTF">2024-05-06T22:08:00Z</dcterms:created>
  <dcterms:modified xsi:type="dcterms:W3CDTF">2024-05-06T22:08:00Z</dcterms:modified>
</cp:coreProperties>
</file>