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04C4" w14:textId="1567D103" w:rsidR="004745C9" w:rsidRPr="004745C9" w:rsidRDefault="004745C9" w:rsidP="00156FCA">
      <w:pPr>
        <w:spacing w:after="0" w:line="276" w:lineRule="auto"/>
        <w:rPr>
          <w:rFonts w:ascii="Century Gothic" w:hAnsi="Century Gothic"/>
        </w:rPr>
      </w:pPr>
      <w:r w:rsidRPr="004745C9">
        <w:rPr>
          <w:rFonts w:ascii="Century Gothic" w:hAnsi="Century Gothic"/>
        </w:rPr>
        <w:t>Bogotá</w:t>
      </w:r>
      <w:r w:rsidR="00A82A62">
        <w:rPr>
          <w:rFonts w:ascii="Century Gothic" w:hAnsi="Century Gothic"/>
        </w:rPr>
        <w:t xml:space="preserve"> D.C.</w:t>
      </w:r>
      <w:r w:rsidRPr="004745C9">
        <w:rPr>
          <w:rFonts w:ascii="Century Gothic" w:hAnsi="Century Gothic"/>
        </w:rPr>
        <w:t xml:space="preserve">, </w:t>
      </w:r>
      <w:r w:rsidR="00A82A62">
        <w:rPr>
          <w:rFonts w:ascii="Century Gothic" w:hAnsi="Century Gothic"/>
        </w:rPr>
        <w:t xml:space="preserve">___ de noviembre de 2023 </w:t>
      </w:r>
    </w:p>
    <w:p w14:paraId="67E2658A" w14:textId="77777777" w:rsidR="004745C9" w:rsidRPr="004745C9" w:rsidRDefault="004745C9" w:rsidP="00156FCA">
      <w:pPr>
        <w:spacing w:after="0" w:line="276" w:lineRule="auto"/>
        <w:rPr>
          <w:rFonts w:ascii="Century Gothic" w:hAnsi="Century Gothic"/>
        </w:rPr>
      </w:pPr>
    </w:p>
    <w:p w14:paraId="54443465" w14:textId="5F6B87EE" w:rsidR="004745C9" w:rsidRPr="004745C9" w:rsidRDefault="004745C9" w:rsidP="00156FCA">
      <w:pPr>
        <w:spacing w:after="0" w:line="276" w:lineRule="auto"/>
        <w:rPr>
          <w:rFonts w:ascii="Century Gothic" w:hAnsi="Century Gothic"/>
        </w:rPr>
      </w:pPr>
      <w:r w:rsidRPr="004745C9">
        <w:rPr>
          <w:rFonts w:ascii="Century Gothic" w:hAnsi="Century Gothic"/>
        </w:rPr>
        <w:t>Señores</w:t>
      </w:r>
      <w:r w:rsidR="00240469">
        <w:rPr>
          <w:rFonts w:ascii="Century Gothic" w:hAnsi="Century Gothic"/>
        </w:rPr>
        <w:t>,</w:t>
      </w:r>
      <w:r w:rsidRPr="004745C9">
        <w:rPr>
          <w:rFonts w:ascii="Century Gothic" w:hAnsi="Century Gothic"/>
        </w:rPr>
        <w:t xml:space="preserve"> </w:t>
      </w:r>
    </w:p>
    <w:p w14:paraId="4D981BB3" w14:textId="1B369F5F" w:rsidR="00240469" w:rsidRPr="00240469" w:rsidRDefault="00240469" w:rsidP="00156FCA">
      <w:pPr>
        <w:spacing w:after="0"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FONDO DE INVERSIÓN COLECTIVA INMOBILIARIO - INMOVAL</w:t>
      </w:r>
    </w:p>
    <w:p w14:paraId="7E3B6B50" w14:textId="19EC596E" w:rsidR="00240469" w:rsidRPr="00240469" w:rsidRDefault="00240469" w:rsidP="00156FCA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Administrado y representado por</w:t>
      </w:r>
    </w:p>
    <w:p w14:paraId="56FBC150" w14:textId="169F0386" w:rsidR="004745C9" w:rsidRPr="004745C9" w:rsidRDefault="004745C9" w:rsidP="00156FCA">
      <w:pPr>
        <w:spacing w:after="0" w:line="276" w:lineRule="auto"/>
        <w:rPr>
          <w:rFonts w:ascii="Century Gothic" w:hAnsi="Century Gothic"/>
          <w:b/>
          <w:bCs/>
        </w:rPr>
      </w:pPr>
      <w:r w:rsidRPr="004745C9">
        <w:rPr>
          <w:rFonts w:ascii="Century Gothic" w:hAnsi="Century Gothic"/>
          <w:b/>
          <w:bCs/>
        </w:rPr>
        <w:t>CREDICORP CAPITAL COLOMBIA S.A.</w:t>
      </w:r>
    </w:p>
    <w:p w14:paraId="487D613B" w14:textId="3E5FBAC6" w:rsidR="004745C9" w:rsidRPr="004745C9" w:rsidRDefault="00240469" w:rsidP="00156FCA">
      <w:pPr>
        <w:spacing w:after="0"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Atn. Arnoldo Casa Henao.</w:t>
      </w:r>
      <w:r w:rsidR="004745C9" w:rsidRPr="004745C9">
        <w:rPr>
          <w:rFonts w:ascii="Century Gothic" w:hAnsi="Century Gothic"/>
          <w:b/>
          <w:bCs/>
        </w:rPr>
        <w:t xml:space="preserve"> </w:t>
      </w:r>
    </w:p>
    <w:p w14:paraId="12ED46CD" w14:textId="798D216E" w:rsidR="004745C9" w:rsidRPr="004745C9" w:rsidRDefault="004745C9" w:rsidP="00156FCA">
      <w:pPr>
        <w:spacing w:after="0" w:line="276" w:lineRule="auto"/>
        <w:rPr>
          <w:rFonts w:ascii="Century Gothic" w:hAnsi="Century Gothic"/>
        </w:rPr>
      </w:pPr>
      <w:r w:rsidRPr="004745C9">
        <w:rPr>
          <w:rFonts w:ascii="Century Gothic" w:hAnsi="Century Gothic"/>
        </w:rPr>
        <w:t xml:space="preserve">Representante legal </w:t>
      </w:r>
    </w:p>
    <w:p w14:paraId="6E9ED8CA" w14:textId="3102CCE1" w:rsidR="004745C9" w:rsidRPr="004745C9" w:rsidRDefault="004745C9" w:rsidP="00156FCA">
      <w:pPr>
        <w:spacing w:after="0" w:line="276" w:lineRule="auto"/>
        <w:rPr>
          <w:rFonts w:ascii="Century Gothic" w:hAnsi="Century Gothic"/>
        </w:rPr>
      </w:pPr>
      <w:r w:rsidRPr="004745C9">
        <w:rPr>
          <w:rFonts w:ascii="Century Gothic" w:hAnsi="Century Gothic"/>
        </w:rPr>
        <w:t xml:space="preserve">Ciudad </w:t>
      </w:r>
    </w:p>
    <w:p w14:paraId="30823D8D" w14:textId="77777777" w:rsidR="004745C9" w:rsidRPr="004745C9" w:rsidRDefault="004745C9" w:rsidP="00156FCA">
      <w:pPr>
        <w:spacing w:after="0" w:line="276" w:lineRule="auto"/>
        <w:rPr>
          <w:rFonts w:ascii="Century Gothic" w:hAnsi="Century Gothic"/>
        </w:rPr>
      </w:pPr>
    </w:p>
    <w:p w14:paraId="2F277E85" w14:textId="1F78CD95" w:rsidR="0053235B" w:rsidRDefault="004745C9" w:rsidP="00156FCA">
      <w:pPr>
        <w:spacing w:after="0" w:line="276" w:lineRule="auto"/>
        <w:ind w:left="2694" w:hanging="2694"/>
        <w:jc w:val="both"/>
        <w:rPr>
          <w:rFonts w:ascii="Century Gothic" w:hAnsi="Century Gothic"/>
          <w:b/>
          <w:bCs/>
        </w:rPr>
      </w:pPr>
      <w:r w:rsidRPr="004745C9">
        <w:rPr>
          <w:rFonts w:ascii="Century Gothic" w:hAnsi="Century Gothic"/>
          <w:b/>
          <w:bCs/>
        </w:rPr>
        <w:t>Ref:</w:t>
      </w:r>
      <w:r w:rsidRPr="004745C9">
        <w:rPr>
          <w:rFonts w:ascii="Century Gothic" w:hAnsi="Century Gothic"/>
          <w:b/>
          <w:bCs/>
        </w:rPr>
        <w:tab/>
      </w:r>
      <w:r w:rsidR="0053235B">
        <w:rPr>
          <w:rFonts w:ascii="Century Gothic" w:hAnsi="Century Gothic"/>
          <w:b/>
          <w:bCs/>
        </w:rPr>
        <w:t>Respuesta a su comunicación con el asunto</w:t>
      </w:r>
      <w:r w:rsidR="001D18A4">
        <w:rPr>
          <w:rFonts w:ascii="Century Gothic" w:hAnsi="Century Gothic"/>
          <w:b/>
          <w:bCs/>
        </w:rPr>
        <w:t>:</w:t>
      </w:r>
      <w:r w:rsidR="00022730">
        <w:rPr>
          <w:rFonts w:ascii="Century Gothic" w:hAnsi="Century Gothic"/>
          <w:b/>
          <w:bCs/>
        </w:rPr>
        <w:t xml:space="preserve"> </w:t>
      </w:r>
      <w:r w:rsidR="001D18A4">
        <w:rPr>
          <w:rFonts w:ascii="Century Gothic" w:hAnsi="Century Gothic"/>
          <w:b/>
          <w:bCs/>
        </w:rPr>
        <w:t>“</w:t>
      </w:r>
      <w:r w:rsidR="00022730" w:rsidRPr="00022730">
        <w:rPr>
          <w:rFonts w:ascii="Century Gothic" w:hAnsi="Century Gothic"/>
          <w:b/>
          <w:bCs/>
        </w:rPr>
        <w:t>Autorización de ingreso para la ejecución de reparaciones necesarias</w:t>
      </w:r>
      <w:r w:rsidR="00022730">
        <w:rPr>
          <w:rFonts w:ascii="Century Gothic" w:hAnsi="Century Gothic"/>
          <w:b/>
          <w:bCs/>
        </w:rPr>
        <w:t xml:space="preserve"> </w:t>
      </w:r>
      <w:r w:rsidR="00022730" w:rsidRPr="00022730">
        <w:rPr>
          <w:rFonts w:ascii="Century Gothic" w:hAnsi="Century Gothic"/>
          <w:b/>
          <w:bCs/>
        </w:rPr>
        <w:t>asociadas a las filtraciones en cubierta, y comentarios a la obligación de pago</w:t>
      </w:r>
      <w:r w:rsidR="00022730">
        <w:rPr>
          <w:rFonts w:ascii="Century Gothic" w:hAnsi="Century Gothic"/>
          <w:b/>
          <w:bCs/>
        </w:rPr>
        <w:t xml:space="preserve"> </w:t>
      </w:r>
      <w:r w:rsidR="00022730" w:rsidRPr="00022730">
        <w:rPr>
          <w:rFonts w:ascii="Century Gothic" w:hAnsi="Century Gothic"/>
          <w:b/>
          <w:bCs/>
        </w:rPr>
        <w:t>del canon de arrendamiento y cobro de intereses moratorios</w:t>
      </w:r>
      <w:r w:rsidR="000E2F50">
        <w:rPr>
          <w:rFonts w:ascii="Century Gothic" w:hAnsi="Century Gothic"/>
          <w:b/>
          <w:bCs/>
        </w:rPr>
        <w:t xml:space="preserve"> del 31 de octubre de 2023”</w:t>
      </w:r>
      <w:r w:rsidR="00022730" w:rsidRPr="00022730">
        <w:rPr>
          <w:rFonts w:ascii="Century Gothic" w:hAnsi="Century Gothic"/>
          <w:b/>
          <w:bCs/>
        </w:rPr>
        <w:t>.</w:t>
      </w:r>
    </w:p>
    <w:p w14:paraId="5F1EC483" w14:textId="77777777" w:rsidR="00A82A62" w:rsidRDefault="00A82A62" w:rsidP="00A82A62">
      <w:pPr>
        <w:spacing w:after="0" w:line="276" w:lineRule="auto"/>
        <w:ind w:left="2694" w:hanging="2694"/>
        <w:jc w:val="both"/>
        <w:rPr>
          <w:rFonts w:ascii="Century Gothic" w:hAnsi="Century Gothic"/>
        </w:rPr>
      </w:pPr>
    </w:p>
    <w:p w14:paraId="6AFC35A3" w14:textId="77777777" w:rsidR="00A82A62" w:rsidRDefault="00A82A62" w:rsidP="00A82A62">
      <w:pPr>
        <w:spacing w:after="0" w:line="276" w:lineRule="auto"/>
        <w:ind w:left="2694" w:hanging="2694"/>
        <w:jc w:val="both"/>
        <w:rPr>
          <w:rFonts w:ascii="Century Gothic" w:hAnsi="Century Gothic"/>
        </w:rPr>
      </w:pPr>
    </w:p>
    <w:p w14:paraId="01B0DD5B" w14:textId="68A2A8F2" w:rsidR="0053235B" w:rsidRDefault="001D18A4" w:rsidP="00A82A62">
      <w:pPr>
        <w:spacing w:after="0" w:line="276" w:lineRule="auto"/>
        <w:ind w:left="2694" w:hanging="2694"/>
        <w:jc w:val="both"/>
        <w:rPr>
          <w:rFonts w:ascii="Century Gothic" w:hAnsi="Century Gothic"/>
        </w:rPr>
      </w:pPr>
      <w:r w:rsidRPr="006D7B8B">
        <w:rPr>
          <w:rFonts w:ascii="Century Gothic" w:hAnsi="Century Gothic"/>
        </w:rPr>
        <w:t xml:space="preserve">Estimados, </w:t>
      </w:r>
    </w:p>
    <w:p w14:paraId="43383A22" w14:textId="77777777" w:rsidR="00A82A62" w:rsidRPr="006D7B8B" w:rsidRDefault="00A82A62" w:rsidP="00156FCA">
      <w:pPr>
        <w:spacing w:after="0" w:line="276" w:lineRule="auto"/>
        <w:ind w:left="2694" w:hanging="2694"/>
        <w:jc w:val="both"/>
        <w:rPr>
          <w:rFonts w:ascii="Century Gothic" w:hAnsi="Century Gothic"/>
        </w:rPr>
      </w:pPr>
    </w:p>
    <w:p w14:paraId="0761157F" w14:textId="4ACA192F" w:rsidR="001D18A4" w:rsidRDefault="001D18A4" w:rsidP="00A82A62">
      <w:pPr>
        <w:spacing w:after="0" w:line="276" w:lineRule="auto"/>
        <w:jc w:val="both"/>
        <w:rPr>
          <w:rFonts w:ascii="Century Gothic" w:hAnsi="Century Gothic"/>
        </w:rPr>
      </w:pPr>
      <w:r w:rsidRPr="000E2F50">
        <w:rPr>
          <w:rFonts w:ascii="Century Gothic" w:hAnsi="Century Gothic"/>
        </w:rPr>
        <w:t xml:space="preserve">Nos referimos a su </w:t>
      </w:r>
      <w:r w:rsidR="000E2F50" w:rsidRPr="000E2F50">
        <w:rPr>
          <w:rFonts w:ascii="Century Gothic" w:hAnsi="Century Gothic"/>
        </w:rPr>
        <w:t xml:space="preserve">comunicación de la referencia, en la cual </w:t>
      </w:r>
      <w:r w:rsidR="00E40A4C">
        <w:rPr>
          <w:rFonts w:ascii="Century Gothic" w:hAnsi="Century Gothic"/>
        </w:rPr>
        <w:t>realizan</w:t>
      </w:r>
      <w:r w:rsidR="000E2F50" w:rsidRPr="000E2F50">
        <w:rPr>
          <w:rFonts w:ascii="Century Gothic" w:hAnsi="Century Gothic"/>
        </w:rPr>
        <w:t xml:space="preserve"> ciertas solicitudes y comentarios</w:t>
      </w:r>
      <w:r w:rsidR="0047106D">
        <w:rPr>
          <w:rFonts w:ascii="Century Gothic" w:hAnsi="Century Gothic"/>
        </w:rPr>
        <w:t>,</w:t>
      </w:r>
      <w:r w:rsidR="000E2F50" w:rsidRPr="000E2F50">
        <w:rPr>
          <w:rFonts w:ascii="Century Gothic" w:hAnsi="Century Gothic"/>
        </w:rPr>
        <w:t xml:space="preserve"> que consideramos improcedentes por las razones que se exponen a continuación: </w:t>
      </w:r>
    </w:p>
    <w:p w14:paraId="2B9930AC" w14:textId="77777777" w:rsidR="00A82A62" w:rsidRPr="000E2F50" w:rsidRDefault="00A82A62" w:rsidP="00156FCA">
      <w:pPr>
        <w:spacing w:after="0" w:line="276" w:lineRule="auto"/>
        <w:jc w:val="both"/>
        <w:rPr>
          <w:rFonts w:ascii="Century Gothic" w:hAnsi="Century Gothic"/>
        </w:rPr>
      </w:pPr>
    </w:p>
    <w:p w14:paraId="2ED49C8D" w14:textId="20C553BC" w:rsidR="00A10095" w:rsidRDefault="000E2F50" w:rsidP="00156F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 w:rsidRPr="000E2F50">
        <w:rPr>
          <w:rFonts w:ascii="Century Gothic" w:hAnsi="Century Gothic"/>
        </w:rPr>
        <w:t>En primer lugar, debemos insistir</w:t>
      </w:r>
      <w:r w:rsidR="00ED0F1F">
        <w:rPr>
          <w:rFonts w:ascii="Century Gothic" w:hAnsi="Century Gothic"/>
        </w:rPr>
        <w:t xml:space="preserve"> y hacer la salvedad</w:t>
      </w:r>
      <w:r w:rsidRPr="000E2F50">
        <w:rPr>
          <w:rFonts w:ascii="Century Gothic" w:hAnsi="Century Gothic"/>
        </w:rPr>
        <w:t xml:space="preserve"> que el </w:t>
      </w:r>
      <w:r w:rsidR="00B04C2A" w:rsidRPr="000E2F50">
        <w:rPr>
          <w:rFonts w:ascii="Century Gothic" w:hAnsi="Century Gothic"/>
        </w:rPr>
        <w:t>Contrato de Arrendamiento (el “</w:t>
      </w:r>
      <w:r w:rsidR="00B04C2A" w:rsidRPr="000E2F50">
        <w:rPr>
          <w:rFonts w:ascii="Century Gothic" w:hAnsi="Century Gothic"/>
          <w:u w:val="single"/>
        </w:rPr>
        <w:t>Contrato de Arrendamiento</w:t>
      </w:r>
      <w:r w:rsidR="00B04C2A" w:rsidRPr="000E2F50">
        <w:rPr>
          <w:rFonts w:ascii="Century Gothic" w:hAnsi="Century Gothic"/>
        </w:rPr>
        <w:t>”) celebrado entre CARTERA COLECTIVA INMOBILIARIA – INMOVAL (“</w:t>
      </w:r>
      <w:r w:rsidR="00B04C2A" w:rsidRPr="000E2F50">
        <w:rPr>
          <w:rFonts w:ascii="Century Gothic" w:hAnsi="Century Gothic"/>
          <w:u w:val="single"/>
        </w:rPr>
        <w:t>Inmoval</w:t>
      </w:r>
      <w:r w:rsidR="00B04C2A" w:rsidRPr="000E2F50">
        <w:rPr>
          <w:rFonts w:ascii="Century Gothic" w:hAnsi="Century Gothic"/>
        </w:rPr>
        <w:t>”) y MAPFRE SEGUROS GENERALES DE COLOMBIA S.A., MAPFRE COLOMBIA VIDA SEGUROS S.A., CREDIMAPFRE S.A.S. y MAPFRE SERVICIOS EXEQUIALES S.A.S. (“</w:t>
      </w:r>
      <w:r w:rsidR="00803544" w:rsidRPr="00CF665B">
        <w:rPr>
          <w:rFonts w:ascii="Century Gothic" w:hAnsi="Century Gothic"/>
          <w:u w:val="single"/>
        </w:rPr>
        <w:t>Mapfre</w:t>
      </w:r>
      <w:r w:rsidR="00B04C2A" w:rsidRPr="000E2F50">
        <w:rPr>
          <w:rFonts w:ascii="Century Gothic" w:hAnsi="Century Gothic"/>
        </w:rPr>
        <w:t>”) sobre el Edificio de la Carrera 14 No 96 – 34</w:t>
      </w:r>
      <w:r w:rsidR="004C724A">
        <w:rPr>
          <w:rFonts w:ascii="Century Gothic" w:hAnsi="Century Gothic"/>
        </w:rPr>
        <w:t xml:space="preserve"> y la ca</w:t>
      </w:r>
      <w:r w:rsidR="00ED0F1F">
        <w:rPr>
          <w:rFonts w:ascii="Century Gothic" w:hAnsi="Century Gothic"/>
        </w:rPr>
        <w:t>s</w:t>
      </w:r>
      <w:r w:rsidR="004C724A">
        <w:rPr>
          <w:rFonts w:ascii="Century Gothic" w:hAnsi="Century Gothic"/>
        </w:rPr>
        <w:t xml:space="preserve">a ubicada en </w:t>
      </w:r>
      <w:r w:rsidR="00ED0F1F">
        <w:rPr>
          <w:rFonts w:ascii="Century Gothic" w:hAnsi="Century Gothic"/>
        </w:rPr>
        <w:t xml:space="preserve">la Carrera </w:t>
      </w:r>
      <w:r w:rsidR="00ED0F1F" w:rsidRPr="00F706F5">
        <w:rPr>
          <w:rFonts w:ascii="Century Gothic" w:hAnsi="Century Gothic" w:cs="Tahoma"/>
          <w:color w:val="000000" w:themeColor="text1"/>
        </w:rPr>
        <w:t>14 No. 96 – 82</w:t>
      </w:r>
      <w:r w:rsidR="00ED0F1F" w:rsidRPr="000E2F50">
        <w:rPr>
          <w:rFonts w:ascii="Century Gothic" w:hAnsi="Century Gothic"/>
        </w:rPr>
        <w:t xml:space="preserve"> </w:t>
      </w:r>
      <w:r w:rsidR="00B04C2A" w:rsidRPr="000E2F50">
        <w:rPr>
          <w:rFonts w:ascii="Century Gothic" w:hAnsi="Century Gothic"/>
        </w:rPr>
        <w:t>(el “</w:t>
      </w:r>
      <w:r w:rsidR="00B04C2A" w:rsidRPr="000E2F50">
        <w:rPr>
          <w:rFonts w:ascii="Century Gothic" w:hAnsi="Century Gothic"/>
          <w:u w:val="single"/>
        </w:rPr>
        <w:t>Inmueble</w:t>
      </w:r>
      <w:r w:rsidR="00B04C2A" w:rsidRPr="000E2F50">
        <w:rPr>
          <w:rFonts w:ascii="Century Gothic" w:hAnsi="Century Gothic"/>
        </w:rPr>
        <w:t>”)</w:t>
      </w:r>
      <w:r w:rsidR="00803544">
        <w:rPr>
          <w:rFonts w:ascii="Century Gothic" w:hAnsi="Century Gothic"/>
        </w:rPr>
        <w:t xml:space="preserve"> terminó como consecuencia del incumplimiento de Inmoval, al haber provocado</w:t>
      </w:r>
      <w:r w:rsidR="00CD004E">
        <w:rPr>
          <w:rFonts w:ascii="Century Gothic" w:hAnsi="Century Gothic"/>
        </w:rPr>
        <w:t xml:space="preserve">, </w:t>
      </w:r>
      <w:r w:rsidR="00E40A4C">
        <w:rPr>
          <w:rFonts w:ascii="Century Gothic" w:hAnsi="Century Gothic"/>
        </w:rPr>
        <w:t xml:space="preserve">de manera directa y/o </w:t>
      </w:r>
      <w:r w:rsidR="00CD004E">
        <w:rPr>
          <w:rFonts w:ascii="Century Gothic" w:hAnsi="Century Gothic"/>
        </w:rPr>
        <w:t>por intermedio de sus contratistas,</w:t>
      </w:r>
      <w:r w:rsidR="00803544">
        <w:rPr>
          <w:rFonts w:ascii="Century Gothic" w:hAnsi="Century Gothic"/>
        </w:rPr>
        <w:t xml:space="preserve"> una serie de inundaciones que dejaron al Inmueble en un estado </w:t>
      </w:r>
      <w:r w:rsidR="00CD004E">
        <w:rPr>
          <w:rFonts w:ascii="Century Gothic" w:hAnsi="Century Gothic"/>
        </w:rPr>
        <w:t xml:space="preserve">en el cual no podía ser usado para la finalidad prevista en el Contrato de Arrendamiento </w:t>
      </w:r>
      <w:r w:rsidR="00E40A4C">
        <w:rPr>
          <w:rFonts w:ascii="Century Gothic" w:hAnsi="Century Gothic"/>
        </w:rPr>
        <w:t>, imposibilitando su uso y goce por un período prolongado</w:t>
      </w:r>
      <w:r w:rsidR="00CD004E">
        <w:rPr>
          <w:rFonts w:ascii="Century Gothic" w:hAnsi="Century Gothic"/>
        </w:rPr>
        <w:t>.</w:t>
      </w:r>
      <w:r w:rsidR="00A10095">
        <w:rPr>
          <w:rFonts w:ascii="Century Gothic" w:hAnsi="Century Gothic"/>
        </w:rPr>
        <w:t xml:space="preserve"> </w:t>
      </w:r>
      <w:r w:rsidR="001E10D7">
        <w:rPr>
          <w:rFonts w:ascii="Century Gothic" w:hAnsi="Century Gothic"/>
        </w:rPr>
        <w:t>La terminación del Contrato de Arrendamiento</w:t>
      </w:r>
      <w:r w:rsidR="00A10095">
        <w:rPr>
          <w:rFonts w:ascii="Century Gothic" w:hAnsi="Century Gothic"/>
        </w:rPr>
        <w:t xml:space="preserve"> se ha informado oportunamente a ustedes en varias ocasiones por medio de nuestras comunicaciones de fechas </w:t>
      </w:r>
      <w:r w:rsidR="009A480E">
        <w:rPr>
          <w:rFonts w:ascii="Century Gothic" w:hAnsi="Century Gothic"/>
        </w:rPr>
        <w:t>7 de julio de 2023</w:t>
      </w:r>
      <w:r w:rsidR="008620DE">
        <w:rPr>
          <w:rFonts w:ascii="Century Gothic" w:hAnsi="Century Gothic"/>
        </w:rPr>
        <w:t>, 28 de julio de 2023,</w:t>
      </w:r>
      <w:r w:rsidR="00153E73">
        <w:rPr>
          <w:rFonts w:ascii="Century Gothic" w:hAnsi="Century Gothic"/>
        </w:rPr>
        <w:t xml:space="preserve"> 14 de agosto de 2023,</w:t>
      </w:r>
      <w:r w:rsidR="00A10095">
        <w:rPr>
          <w:rFonts w:ascii="Century Gothic" w:hAnsi="Century Gothic"/>
        </w:rPr>
        <w:t xml:space="preserve"> en las cuales insistimos. </w:t>
      </w:r>
    </w:p>
    <w:p w14:paraId="17D5D7D9" w14:textId="77777777" w:rsidR="00A10095" w:rsidRDefault="00A10095" w:rsidP="00156FCA">
      <w:pPr>
        <w:pStyle w:val="Prrafodelista"/>
        <w:spacing w:after="0" w:line="276" w:lineRule="auto"/>
        <w:jc w:val="both"/>
        <w:rPr>
          <w:rFonts w:ascii="Century Gothic" w:hAnsi="Century Gothic"/>
        </w:rPr>
      </w:pPr>
    </w:p>
    <w:p w14:paraId="13C7AC51" w14:textId="51F3454B" w:rsidR="004715DB" w:rsidRDefault="00BA45AD" w:rsidP="00156F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relación con el punto 1 de su comunicación, y atendiendo a la terminación del Contrato de Arrendamiento, también insistimos en que Inmoval debe recibir</w:t>
      </w:r>
      <w:r w:rsidR="00015C30">
        <w:rPr>
          <w:rFonts w:ascii="Century Gothic" w:hAnsi="Century Gothic"/>
        </w:rPr>
        <w:t>, a la mayor brevedad,</w:t>
      </w:r>
      <w:r>
        <w:rPr>
          <w:rFonts w:ascii="Century Gothic" w:hAnsi="Century Gothic"/>
        </w:rPr>
        <w:t xml:space="preserve"> la restitución de la tenencia del Inmueble</w:t>
      </w:r>
      <w:r w:rsidR="00CF665B">
        <w:rPr>
          <w:rFonts w:ascii="Century Gothic" w:hAnsi="Century Gothic"/>
        </w:rPr>
        <w:t xml:space="preserve">. En las </w:t>
      </w:r>
      <w:r w:rsidR="00CF665B">
        <w:rPr>
          <w:rFonts w:ascii="Century Gothic" w:hAnsi="Century Gothic"/>
        </w:rPr>
        <w:lastRenderedPageBreak/>
        <w:t xml:space="preserve">comunicaciones de fecha </w:t>
      </w:r>
      <w:r w:rsidR="00740239" w:rsidRPr="00740239">
        <w:rPr>
          <w:rFonts w:ascii="Century Gothic" w:hAnsi="Century Gothic"/>
        </w:rPr>
        <w:t xml:space="preserve">7 </w:t>
      </w:r>
      <w:r w:rsidR="00740239">
        <w:rPr>
          <w:rFonts w:ascii="Century Gothic" w:hAnsi="Century Gothic"/>
        </w:rPr>
        <w:t xml:space="preserve">y 17 </w:t>
      </w:r>
      <w:r w:rsidR="00740239" w:rsidRPr="00740239">
        <w:rPr>
          <w:rFonts w:ascii="Century Gothic" w:hAnsi="Century Gothic"/>
        </w:rPr>
        <w:t>de julio</w:t>
      </w:r>
      <w:r w:rsidR="00740239">
        <w:rPr>
          <w:rFonts w:ascii="Century Gothic" w:hAnsi="Century Gothic"/>
        </w:rPr>
        <w:t xml:space="preserve">, </w:t>
      </w:r>
      <w:r w:rsidR="00740239" w:rsidRPr="00740239">
        <w:rPr>
          <w:rFonts w:ascii="Century Gothic" w:hAnsi="Century Gothic"/>
        </w:rPr>
        <w:t>14 y 22 de agosto de 2023</w:t>
      </w:r>
      <w:r w:rsidR="004F6DB2">
        <w:rPr>
          <w:rFonts w:ascii="Century Gothic" w:hAnsi="Century Gothic"/>
        </w:rPr>
        <w:t xml:space="preserve"> </w:t>
      </w:r>
      <w:r w:rsidR="00CF665B">
        <w:rPr>
          <w:rFonts w:ascii="Century Gothic" w:hAnsi="Century Gothic"/>
        </w:rPr>
        <w:t>Mapfre ha insistido en el cumplimiento de esta obligación</w:t>
      </w:r>
      <w:r w:rsidR="00015C30">
        <w:rPr>
          <w:rFonts w:ascii="Century Gothic" w:hAnsi="Century Gothic"/>
        </w:rPr>
        <w:t xml:space="preserve"> por parte de Inmoval</w:t>
      </w:r>
      <w:r w:rsidR="00CF665B">
        <w:rPr>
          <w:rFonts w:ascii="Century Gothic" w:hAnsi="Century Gothic"/>
        </w:rPr>
        <w:t xml:space="preserve">, de acuerdo con el procedimiento previsto </w:t>
      </w:r>
      <w:r w:rsidR="00F61626">
        <w:rPr>
          <w:rFonts w:ascii="Century Gothic" w:hAnsi="Century Gothic"/>
        </w:rPr>
        <w:t xml:space="preserve">en </w:t>
      </w:r>
      <w:r w:rsidR="00CF665B">
        <w:rPr>
          <w:rFonts w:ascii="Century Gothic" w:hAnsi="Century Gothic"/>
        </w:rPr>
        <w:t>el Contrato de Arrendamiento</w:t>
      </w:r>
      <w:r w:rsidR="00740239">
        <w:rPr>
          <w:rFonts w:ascii="Century Gothic" w:hAnsi="Century Gothic"/>
        </w:rPr>
        <w:t>, no obstante, a la fecha de hoy Inmoval sigue en mora del cumplimiento de dicha obligación</w:t>
      </w:r>
      <w:r w:rsidR="00CF665B">
        <w:rPr>
          <w:rFonts w:ascii="Century Gothic" w:hAnsi="Century Gothic"/>
        </w:rPr>
        <w:t xml:space="preserve">. </w:t>
      </w:r>
      <w:r w:rsidR="00352314">
        <w:rPr>
          <w:rFonts w:ascii="Century Gothic" w:hAnsi="Century Gothic"/>
        </w:rPr>
        <w:t>De hecho, como es de conocimiento de los abogados que los representan a ustedes en el trámite arbitral convocado por Mapfre para dirimir las controversias relativas a la terminación del Contrato de Arrendamiento,</w:t>
      </w:r>
      <w:r w:rsidR="00A515EB">
        <w:rPr>
          <w:rFonts w:ascii="Century Gothic" w:hAnsi="Century Gothic"/>
        </w:rPr>
        <w:t xml:space="preserve"> con ocasión de esta</w:t>
      </w:r>
      <w:r w:rsidR="00015C30">
        <w:rPr>
          <w:rFonts w:ascii="Century Gothic" w:hAnsi="Century Gothic"/>
        </w:rPr>
        <w:t xml:space="preserve"> circunstancia</w:t>
      </w:r>
      <w:r w:rsidR="00F61626">
        <w:rPr>
          <w:rFonts w:ascii="Century Gothic" w:hAnsi="Century Gothic"/>
        </w:rPr>
        <w:t xml:space="preserve">, el </w:t>
      </w:r>
      <w:r w:rsidR="00633113">
        <w:rPr>
          <w:rFonts w:ascii="Century Gothic" w:hAnsi="Century Gothic"/>
        </w:rPr>
        <w:t xml:space="preserve">5 de septiembre </w:t>
      </w:r>
      <w:r w:rsidR="00F61626">
        <w:rPr>
          <w:rFonts w:ascii="Century Gothic" w:hAnsi="Century Gothic"/>
        </w:rPr>
        <w:t>de 2023, Mapfre promovió</w:t>
      </w:r>
      <w:r w:rsidR="00A515EB">
        <w:rPr>
          <w:rFonts w:ascii="Century Gothic" w:hAnsi="Century Gothic"/>
        </w:rPr>
        <w:t xml:space="preserve"> un proceso de restitución de tenencia del Inmueble, sin que hasta el momento </w:t>
      </w:r>
      <w:proofErr w:type="spellStart"/>
      <w:r w:rsidR="00A515EB">
        <w:rPr>
          <w:rFonts w:ascii="Century Gothic" w:hAnsi="Century Gothic"/>
        </w:rPr>
        <w:t>Inmoval</w:t>
      </w:r>
      <w:proofErr w:type="spellEnd"/>
      <w:r w:rsidR="00A515EB">
        <w:rPr>
          <w:rFonts w:ascii="Century Gothic" w:hAnsi="Century Gothic"/>
        </w:rPr>
        <w:t xml:space="preserve"> lo haya</w:t>
      </w:r>
      <w:r w:rsidR="005630FA">
        <w:rPr>
          <w:rFonts w:ascii="Century Gothic" w:hAnsi="Century Gothic"/>
        </w:rPr>
        <w:t xml:space="preserve"> aceptado recibir los inmuebles</w:t>
      </w:r>
      <w:r w:rsidR="00A515EB">
        <w:rPr>
          <w:rFonts w:ascii="Century Gothic" w:hAnsi="Century Gothic"/>
        </w:rPr>
        <w:t xml:space="preserve">. </w:t>
      </w:r>
      <w:r w:rsidR="00CF665B">
        <w:rPr>
          <w:rFonts w:ascii="Century Gothic" w:hAnsi="Century Gothic"/>
        </w:rPr>
        <w:t>Por ende, cualquier daño que sufra</w:t>
      </w:r>
      <w:r w:rsidR="005630FA">
        <w:rPr>
          <w:rFonts w:ascii="Century Gothic" w:hAnsi="Century Gothic"/>
        </w:rPr>
        <w:t>n</w:t>
      </w:r>
      <w:r w:rsidR="00CF665B">
        <w:rPr>
          <w:rFonts w:ascii="Century Gothic" w:hAnsi="Century Gothic"/>
        </w:rPr>
        <w:t xml:space="preserve"> </w:t>
      </w:r>
      <w:r w:rsidR="005630FA">
        <w:rPr>
          <w:rFonts w:ascii="Century Gothic" w:hAnsi="Century Gothic"/>
        </w:rPr>
        <w:t>los</w:t>
      </w:r>
      <w:r w:rsidR="00CF665B">
        <w:rPr>
          <w:rFonts w:ascii="Century Gothic" w:hAnsi="Century Gothic"/>
        </w:rPr>
        <w:t xml:space="preserve"> Inmueble</w:t>
      </w:r>
      <w:r w:rsidR="005630FA">
        <w:rPr>
          <w:rFonts w:ascii="Century Gothic" w:hAnsi="Century Gothic"/>
        </w:rPr>
        <w:t>s</w:t>
      </w:r>
      <w:r w:rsidR="00CF665B">
        <w:rPr>
          <w:rFonts w:ascii="Century Gothic" w:hAnsi="Century Gothic"/>
        </w:rPr>
        <w:t xml:space="preserve"> como consecuencia de</w:t>
      </w:r>
      <w:r w:rsidR="00C004F1">
        <w:rPr>
          <w:rFonts w:ascii="Century Gothic" w:hAnsi="Century Gothic"/>
        </w:rPr>
        <w:t xml:space="preserve"> la mora de Inmoval en recibirlo es exclusivamente atrib</w:t>
      </w:r>
      <w:r w:rsidR="00E5410C">
        <w:rPr>
          <w:rFonts w:ascii="Century Gothic" w:hAnsi="Century Gothic"/>
        </w:rPr>
        <w:t>uible</w:t>
      </w:r>
      <w:r w:rsidR="00C004F1">
        <w:rPr>
          <w:rFonts w:ascii="Century Gothic" w:hAnsi="Century Gothic"/>
        </w:rPr>
        <w:t xml:space="preserve"> a Inmoval</w:t>
      </w:r>
      <w:r w:rsidR="00740239">
        <w:rPr>
          <w:rFonts w:ascii="Century Gothic" w:hAnsi="Century Gothic"/>
        </w:rPr>
        <w:t>, máxime teniendo en cuenta los diversos episodios de filtraciones que se han presentado en el Inmueble, incluso luego de que según Inmoval ya había sido reparado</w:t>
      </w:r>
      <w:r w:rsidR="00646C1C">
        <w:rPr>
          <w:rFonts w:ascii="Century Gothic" w:hAnsi="Century Gothic"/>
        </w:rPr>
        <w:t>;</w:t>
      </w:r>
      <w:r w:rsidR="00740239">
        <w:rPr>
          <w:rFonts w:ascii="Century Gothic" w:hAnsi="Century Gothic"/>
        </w:rPr>
        <w:t xml:space="preserve"> </w:t>
      </w:r>
      <w:r w:rsidR="006C25D5">
        <w:rPr>
          <w:rFonts w:ascii="Century Gothic" w:hAnsi="Century Gothic"/>
        </w:rPr>
        <w:t>de l</w:t>
      </w:r>
      <w:r w:rsidR="00740239">
        <w:rPr>
          <w:rFonts w:ascii="Century Gothic" w:hAnsi="Century Gothic"/>
        </w:rPr>
        <w:t xml:space="preserve">o cual </w:t>
      </w:r>
      <w:r w:rsidR="006C25D5">
        <w:rPr>
          <w:rFonts w:ascii="Century Gothic" w:hAnsi="Century Gothic"/>
        </w:rPr>
        <w:t>ustedes han venido siendo conocederos</w:t>
      </w:r>
      <w:r w:rsidR="00C004F1">
        <w:rPr>
          <w:rFonts w:ascii="Century Gothic" w:hAnsi="Century Gothic"/>
        </w:rPr>
        <w:t xml:space="preserve">. </w:t>
      </w:r>
    </w:p>
    <w:p w14:paraId="6E2A5EF6" w14:textId="77777777" w:rsidR="004715DB" w:rsidRPr="004715DB" w:rsidRDefault="004715DB" w:rsidP="00156FCA">
      <w:pPr>
        <w:pStyle w:val="Prrafodelista"/>
        <w:spacing w:after="0" w:line="276" w:lineRule="auto"/>
        <w:rPr>
          <w:rFonts w:ascii="Century Gothic" w:hAnsi="Century Gothic"/>
        </w:rPr>
      </w:pPr>
    </w:p>
    <w:p w14:paraId="4510083A" w14:textId="77777777" w:rsidR="00A93D44" w:rsidRDefault="00C004F1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Habiendo aclarado lo anterior, también debemos </w:t>
      </w:r>
      <w:r w:rsidR="00646C1C">
        <w:rPr>
          <w:rFonts w:ascii="Century Gothic" w:hAnsi="Century Gothic"/>
        </w:rPr>
        <w:t xml:space="preserve">reiterar lo ya </w:t>
      </w:r>
      <w:r>
        <w:rPr>
          <w:rFonts w:ascii="Century Gothic" w:hAnsi="Century Gothic"/>
        </w:rPr>
        <w:t>señala</w:t>
      </w:r>
      <w:r w:rsidR="00646C1C">
        <w:rPr>
          <w:rFonts w:ascii="Century Gothic" w:hAnsi="Century Gothic"/>
        </w:rPr>
        <w:t>do en la comunicación del pasado 22 de agosto en</w:t>
      </w:r>
      <w:r w:rsidR="006C25D5">
        <w:rPr>
          <w:rFonts w:ascii="Century Gothic" w:hAnsi="Century Gothic"/>
        </w:rPr>
        <w:t xml:space="preserve"> </w:t>
      </w:r>
      <w:r w:rsidR="00646C1C">
        <w:rPr>
          <w:rFonts w:ascii="Century Gothic" w:hAnsi="Century Gothic"/>
        </w:rPr>
        <w:t>r</w:t>
      </w:r>
      <w:r w:rsidR="00646C1C" w:rsidRPr="00646C1C">
        <w:rPr>
          <w:rFonts w:ascii="Century Gothic" w:hAnsi="Century Gothic"/>
        </w:rPr>
        <w:t>espuesta a su comunicación del 16 de agosto de 2023</w:t>
      </w:r>
      <w:r w:rsidR="00646C1C">
        <w:rPr>
          <w:rFonts w:ascii="Century Gothic" w:hAnsi="Century Gothic"/>
        </w:rPr>
        <w:t>, en el sentido de</w:t>
      </w:r>
      <w:r>
        <w:rPr>
          <w:rFonts w:ascii="Century Gothic" w:hAnsi="Century Gothic"/>
        </w:rPr>
        <w:t xml:space="preserve"> que de ninguna manera Mapfre </w:t>
      </w:r>
      <w:r w:rsidR="00E5410C">
        <w:rPr>
          <w:rFonts w:ascii="Century Gothic" w:hAnsi="Century Gothic"/>
        </w:rPr>
        <w:t xml:space="preserve">ha impedido el acceso de Inmoval al Inmueble para </w:t>
      </w:r>
      <w:r w:rsidR="00FC2E34">
        <w:rPr>
          <w:rFonts w:ascii="Century Gothic" w:hAnsi="Century Gothic"/>
        </w:rPr>
        <w:t>que ejecute las actividades que a bien tenga</w:t>
      </w:r>
      <w:r w:rsidR="0003351F">
        <w:rPr>
          <w:rFonts w:ascii="Century Gothic" w:hAnsi="Century Gothic"/>
        </w:rPr>
        <w:t>, y mucho menos ha prohibido la reparación del Inmueble</w:t>
      </w:r>
      <w:r w:rsidR="00FC2E34">
        <w:rPr>
          <w:rFonts w:ascii="Century Gothic" w:hAnsi="Century Gothic"/>
        </w:rPr>
        <w:t>. Por lo tanto</w:t>
      </w:r>
      <w:r w:rsidR="008E4B62">
        <w:rPr>
          <w:rFonts w:ascii="Century Gothic" w:hAnsi="Century Gothic"/>
        </w:rPr>
        <w:t>,</w:t>
      </w:r>
      <w:r w:rsidR="00FC2E34">
        <w:rPr>
          <w:rFonts w:ascii="Century Gothic" w:hAnsi="Century Gothic"/>
        </w:rPr>
        <w:t xml:space="preserve"> rechazamos la afirmació</w:t>
      </w:r>
      <w:r w:rsidR="00AC72B5">
        <w:rPr>
          <w:rFonts w:ascii="Century Gothic" w:hAnsi="Century Gothic"/>
        </w:rPr>
        <w:t>n</w:t>
      </w:r>
      <w:r w:rsidR="00FC2E34">
        <w:rPr>
          <w:rFonts w:ascii="Century Gothic" w:hAnsi="Century Gothic"/>
        </w:rPr>
        <w:t xml:space="preserve"> contenida en su comunicación</w:t>
      </w:r>
      <w:r w:rsidR="004715DB">
        <w:rPr>
          <w:rFonts w:ascii="Century Gothic" w:hAnsi="Century Gothic"/>
        </w:rPr>
        <w:t xml:space="preserve">, según la cual </w:t>
      </w:r>
      <w:r w:rsidR="00310C8B" w:rsidRPr="00156FCA">
        <w:rPr>
          <w:rFonts w:ascii="Century Gothic" w:hAnsi="Century Gothic"/>
          <w:i/>
          <w:iCs/>
        </w:rPr>
        <w:t>“</w:t>
      </w:r>
      <w:r w:rsidR="004715DB" w:rsidRPr="00156FCA">
        <w:rPr>
          <w:rFonts w:ascii="Century Gothic" w:hAnsi="Century Gothic"/>
          <w:i/>
          <w:iCs/>
        </w:rPr>
        <w:t>entre los meses de julio y agosto del presente año esta última</w:t>
      </w:r>
      <w:r w:rsidR="00310C8B" w:rsidRPr="00156FCA">
        <w:rPr>
          <w:rFonts w:ascii="Century Gothic" w:hAnsi="Century Gothic"/>
          <w:i/>
          <w:iCs/>
        </w:rPr>
        <w:t xml:space="preserve"> [Mapfre]</w:t>
      </w:r>
      <w:r w:rsidR="004715DB" w:rsidRPr="00156FCA">
        <w:rPr>
          <w:rFonts w:ascii="Century Gothic" w:hAnsi="Century Gothic"/>
          <w:i/>
          <w:iCs/>
        </w:rPr>
        <w:t xml:space="preserve"> hubiera restringido y prohibido el ingreso del personal</w:t>
      </w:r>
      <w:r w:rsidR="00310C8B" w:rsidRPr="00156FCA">
        <w:rPr>
          <w:rFonts w:ascii="Century Gothic" w:hAnsi="Century Gothic"/>
          <w:i/>
          <w:iCs/>
        </w:rPr>
        <w:t>”</w:t>
      </w:r>
      <w:r w:rsidR="00310C8B">
        <w:rPr>
          <w:rFonts w:ascii="Century Gothic" w:hAnsi="Century Gothic"/>
        </w:rPr>
        <w:t xml:space="preserve">. Esta afirmación carece de todo fundamento fáctico, pues las personas designadas por Inmoval tuvieron acceso al Inmueble </w:t>
      </w:r>
      <w:r w:rsidR="00646C1C">
        <w:rPr>
          <w:rFonts w:ascii="Century Gothic" w:hAnsi="Century Gothic"/>
        </w:rPr>
        <w:t xml:space="preserve">sin restricciones </w:t>
      </w:r>
      <w:r w:rsidR="00310C8B">
        <w:rPr>
          <w:rFonts w:ascii="Century Gothic" w:hAnsi="Century Gothic"/>
        </w:rPr>
        <w:t>durante los</w:t>
      </w:r>
      <w:r w:rsidR="00A93D44">
        <w:rPr>
          <w:rFonts w:ascii="Century Gothic" w:hAnsi="Century Gothic"/>
        </w:rPr>
        <w:t xml:space="preserve"> pasados</w:t>
      </w:r>
      <w:r w:rsidR="00310C8B">
        <w:rPr>
          <w:rFonts w:ascii="Century Gothic" w:hAnsi="Century Gothic"/>
        </w:rPr>
        <w:t xml:space="preserve"> meses</w:t>
      </w:r>
      <w:r w:rsidR="00A93D44">
        <w:rPr>
          <w:rFonts w:ascii="Century Gothic" w:hAnsi="Century Gothic"/>
        </w:rPr>
        <w:t xml:space="preserve"> de la siguiente manera:</w:t>
      </w:r>
    </w:p>
    <w:p w14:paraId="2DE01097" w14:textId="77777777" w:rsidR="00A93D44" w:rsidRDefault="00A93D44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Ind w:w="2972" w:type="dxa"/>
        <w:tblLook w:val="04A0" w:firstRow="1" w:lastRow="0" w:firstColumn="1" w:lastColumn="0" w:noHBand="0" w:noVBand="1"/>
      </w:tblPr>
      <w:tblGrid>
        <w:gridCol w:w="1587"/>
        <w:gridCol w:w="1957"/>
      </w:tblGrid>
      <w:tr w:rsidR="00A93D44" w14:paraId="2A16845D" w14:textId="77777777" w:rsidTr="00A93D44">
        <w:tc>
          <w:tcPr>
            <w:tcW w:w="1587" w:type="dxa"/>
            <w:shd w:val="clear" w:color="auto" w:fill="C00000"/>
          </w:tcPr>
          <w:p w14:paraId="57A4086C" w14:textId="39040F1F" w:rsidR="00A93D44" w:rsidRPr="00A93D44" w:rsidRDefault="00A93D44" w:rsidP="00A93D44">
            <w:pPr>
              <w:pStyle w:val="Prrafodelista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A93D44">
              <w:rPr>
                <w:rFonts w:ascii="Century Gothic" w:hAnsi="Century Gothic"/>
                <w:b/>
                <w:bCs/>
              </w:rPr>
              <w:t>MES</w:t>
            </w:r>
          </w:p>
        </w:tc>
        <w:tc>
          <w:tcPr>
            <w:tcW w:w="1957" w:type="dxa"/>
            <w:shd w:val="clear" w:color="auto" w:fill="C00000"/>
          </w:tcPr>
          <w:p w14:paraId="4AE40EBF" w14:textId="54730E47" w:rsidR="00A93D44" w:rsidRPr="00A93D44" w:rsidRDefault="00A93D44" w:rsidP="00A93D44">
            <w:pPr>
              <w:pStyle w:val="Prrafodelista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A93D44">
              <w:rPr>
                <w:rFonts w:ascii="Century Gothic" w:hAnsi="Century Gothic"/>
                <w:b/>
                <w:bCs/>
              </w:rPr>
              <w:t>NUMERO DE INGRESOS</w:t>
            </w:r>
          </w:p>
        </w:tc>
      </w:tr>
      <w:tr w:rsidR="00A93D44" w14:paraId="2F17EA55" w14:textId="77777777" w:rsidTr="00A93D44">
        <w:tc>
          <w:tcPr>
            <w:tcW w:w="1587" w:type="dxa"/>
          </w:tcPr>
          <w:p w14:paraId="3CE0A87F" w14:textId="19AA8C5E" w:rsidR="00A93D44" w:rsidRDefault="00A93D44" w:rsidP="00156FCA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JULIO</w:t>
            </w:r>
          </w:p>
        </w:tc>
        <w:tc>
          <w:tcPr>
            <w:tcW w:w="1957" w:type="dxa"/>
          </w:tcPr>
          <w:p w14:paraId="11ACD945" w14:textId="46C453B9" w:rsidR="00A93D44" w:rsidRDefault="00A93D44" w:rsidP="00A93D44">
            <w:pPr>
              <w:pStyle w:val="Prrafodelista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</w:tr>
      <w:tr w:rsidR="00A93D44" w14:paraId="06C74E84" w14:textId="77777777" w:rsidTr="00A93D44">
        <w:tc>
          <w:tcPr>
            <w:tcW w:w="1587" w:type="dxa"/>
          </w:tcPr>
          <w:p w14:paraId="4385968C" w14:textId="4EC16115" w:rsidR="00A93D44" w:rsidRDefault="00A93D44" w:rsidP="00156FCA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</w:t>
            </w:r>
          </w:p>
        </w:tc>
        <w:tc>
          <w:tcPr>
            <w:tcW w:w="1957" w:type="dxa"/>
          </w:tcPr>
          <w:p w14:paraId="76ED4043" w14:textId="6C693745" w:rsidR="00A93D44" w:rsidRDefault="00A93D44" w:rsidP="00A93D44">
            <w:pPr>
              <w:pStyle w:val="Prrafodelista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A93D44" w14:paraId="4DABE310" w14:textId="77777777" w:rsidTr="00A93D44">
        <w:tc>
          <w:tcPr>
            <w:tcW w:w="1587" w:type="dxa"/>
          </w:tcPr>
          <w:p w14:paraId="271BE151" w14:textId="65AD6FFF" w:rsidR="00A93D44" w:rsidRDefault="00A93D44" w:rsidP="00156FCA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SEPTIEMBRE</w:t>
            </w:r>
          </w:p>
        </w:tc>
        <w:tc>
          <w:tcPr>
            <w:tcW w:w="1957" w:type="dxa"/>
          </w:tcPr>
          <w:p w14:paraId="739F9F36" w14:textId="1B7A5292" w:rsidR="00A93D44" w:rsidRDefault="00A93D44" w:rsidP="00A93D44">
            <w:pPr>
              <w:pStyle w:val="Prrafodelista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A93D44" w14:paraId="29A371E6" w14:textId="77777777" w:rsidTr="00A93D44">
        <w:tc>
          <w:tcPr>
            <w:tcW w:w="1587" w:type="dxa"/>
          </w:tcPr>
          <w:p w14:paraId="5632ADCF" w14:textId="3C2EBD4A" w:rsidR="00A93D44" w:rsidRDefault="00A93D44" w:rsidP="00156FCA">
            <w:pPr>
              <w:pStyle w:val="Prrafodelista"/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OCTUBRE</w:t>
            </w:r>
          </w:p>
        </w:tc>
        <w:tc>
          <w:tcPr>
            <w:tcW w:w="1957" w:type="dxa"/>
          </w:tcPr>
          <w:p w14:paraId="7142C599" w14:textId="3EBE724C" w:rsidR="00A93D44" w:rsidRDefault="00A93D44" w:rsidP="00A93D44">
            <w:pPr>
              <w:pStyle w:val="Prrafodelista"/>
              <w:spacing w:line="276" w:lineRule="auto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</w:tbl>
    <w:p w14:paraId="67C669F9" w14:textId="0CE2FDF0" w:rsidR="00310C8B" w:rsidRDefault="00310C8B" w:rsidP="00A93D44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05E0498" w14:textId="4FC2C6B1" w:rsidR="00A961B5" w:rsidRDefault="00310C8B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importante destacar que Mapfre mantiene la custodia del Inmueble exclusivamente en virtud del principio de la buena fe</w:t>
      </w:r>
      <w:r w:rsidR="008E4B5E">
        <w:rPr>
          <w:rFonts w:ascii="Century Gothic" w:hAnsi="Century Gothic"/>
        </w:rPr>
        <w:t xml:space="preserve"> y para mitigar la ocurrencia de </w:t>
      </w:r>
      <w:r w:rsidR="00D045E9">
        <w:rPr>
          <w:rFonts w:ascii="Century Gothic" w:hAnsi="Century Gothic"/>
        </w:rPr>
        <w:t xml:space="preserve">mayores </w:t>
      </w:r>
      <w:r w:rsidR="008E4B5E">
        <w:rPr>
          <w:rFonts w:ascii="Century Gothic" w:hAnsi="Century Gothic"/>
        </w:rPr>
        <w:t>perjuicios</w:t>
      </w:r>
      <w:r>
        <w:rPr>
          <w:rFonts w:ascii="Century Gothic" w:hAnsi="Century Gothic"/>
        </w:rPr>
        <w:t xml:space="preserve">, ante la renuencia de Inmoval en recibirlo, </w:t>
      </w:r>
      <w:r w:rsidR="007A4ABC">
        <w:rPr>
          <w:rFonts w:ascii="Century Gothic" w:hAnsi="Century Gothic"/>
        </w:rPr>
        <w:t>lo cual</w:t>
      </w:r>
      <w:r>
        <w:rPr>
          <w:rFonts w:ascii="Century Gothic" w:hAnsi="Century Gothic"/>
        </w:rPr>
        <w:t xml:space="preserve"> de ninguna manera </w:t>
      </w:r>
      <w:r w:rsidR="007A4ABC">
        <w:rPr>
          <w:rFonts w:ascii="Century Gothic" w:hAnsi="Century Gothic"/>
        </w:rPr>
        <w:t>puede ser interpretado como</w:t>
      </w:r>
      <w:r>
        <w:rPr>
          <w:rFonts w:ascii="Century Gothic" w:hAnsi="Century Gothic"/>
        </w:rPr>
        <w:t xml:space="preserve"> reconocimiento de</w:t>
      </w:r>
      <w:r w:rsidR="00A961B5">
        <w:rPr>
          <w:rFonts w:ascii="Century Gothic" w:hAnsi="Century Gothic"/>
        </w:rPr>
        <w:t xml:space="preserve"> la existencia del</w:t>
      </w:r>
      <w:r w:rsidR="00EC6EA8">
        <w:rPr>
          <w:rFonts w:ascii="Century Gothic" w:hAnsi="Century Gothic"/>
        </w:rPr>
        <w:t xml:space="preserve"> fenecido</w:t>
      </w:r>
      <w:r w:rsidR="00A961B5">
        <w:rPr>
          <w:rFonts w:ascii="Century Gothic" w:hAnsi="Century Gothic"/>
        </w:rPr>
        <w:t xml:space="preserve"> Contrato de Arrendamiento o de cualquier deber relativo a su </w:t>
      </w:r>
      <w:r w:rsidR="008E4B5E">
        <w:rPr>
          <w:rFonts w:ascii="Century Gothic" w:hAnsi="Century Gothic"/>
        </w:rPr>
        <w:t xml:space="preserve">seguridad, </w:t>
      </w:r>
      <w:r w:rsidR="00A961B5">
        <w:rPr>
          <w:rFonts w:ascii="Century Gothic" w:hAnsi="Century Gothic"/>
        </w:rPr>
        <w:t xml:space="preserve">reparación o mantenimiento. </w:t>
      </w:r>
      <w:r w:rsidR="00262FB5">
        <w:rPr>
          <w:rFonts w:ascii="Century Gothic" w:hAnsi="Century Gothic"/>
        </w:rPr>
        <w:t xml:space="preserve">Siendo evidente que Inmoval no </w:t>
      </w:r>
      <w:r w:rsidR="00262FB5">
        <w:rPr>
          <w:rFonts w:ascii="Century Gothic" w:hAnsi="Century Gothic"/>
        </w:rPr>
        <w:lastRenderedPageBreak/>
        <w:t>requiere autorización alguna de parte de Mapfre como pretende hacerlo ver en su comunicación</w:t>
      </w:r>
      <w:r w:rsidR="007D7155">
        <w:rPr>
          <w:rFonts w:ascii="Century Gothic" w:hAnsi="Century Gothic"/>
        </w:rPr>
        <w:t>.</w:t>
      </w:r>
    </w:p>
    <w:p w14:paraId="2B5DDDC5" w14:textId="77777777" w:rsidR="002B5A07" w:rsidRDefault="002B5A07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</w:p>
    <w:p w14:paraId="7E513CA4" w14:textId="447413B4" w:rsidR="002B5A07" w:rsidRDefault="002B5A07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reitera la solicitud de que reciban el inmueble y se ratifica que MAPFRE no ha impedido el acceso al mismo.  </w:t>
      </w:r>
    </w:p>
    <w:p w14:paraId="7D0B1061" w14:textId="77777777" w:rsidR="00A961B5" w:rsidRDefault="00A961B5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</w:p>
    <w:p w14:paraId="243E1482" w14:textId="5DBC042A" w:rsidR="00310C8B" w:rsidRDefault="00FD47BB" w:rsidP="00156FCA">
      <w:pPr>
        <w:pStyle w:val="Prrafodelista"/>
        <w:spacing w:after="0"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Finalmente, Mapfre rechaza cualquier cobro que Inmoval pretenda hacerle de las erogaciones en que incurra en el curso de los trabajos que, como propietario del Inmueble, disponga hacer. </w:t>
      </w:r>
    </w:p>
    <w:p w14:paraId="2E550BE4" w14:textId="77777777" w:rsidR="007A4ABC" w:rsidRPr="007A4ABC" w:rsidRDefault="007A4ABC" w:rsidP="00156FCA">
      <w:pPr>
        <w:pStyle w:val="Prrafodelista"/>
        <w:spacing w:after="0" w:line="276" w:lineRule="auto"/>
        <w:jc w:val="both"/>
        <w:rPr>
          <w:rFonts w:ascii="Century Gothic" w:hAnsi="Century Gothic"/>
        </w:rPr>
      </w:pPr>
    </w:p>
    <w:p w14:paraId="51DD69A4" w14:textId="7BDB5D1C" w:rsidR="007A4ABC" w:rsidRDefault="00EC6EA8" w:rsidP="00156F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relación con el punto 2 de su comunicación, insistimos en que Mapfre no está obligada a pagar canon de arrendamiento desde el momento en que el Contrato de Arrendamiento terminó</w:t>
      </w:r>
      <w:r w:rsidR="001809FE">
        <w:rPr>
          <w:rFonts w:ascii="Century Gothic" w:hAnsi="Century Gothic"/>
        </w:rPr>
        <w:t xml:space="preserve"> en el mes de julio</w:t>
      </w:r>
      <w:r>
        <w:rPr>
          <w:rFonts w:ascii="Century Gothic" w:hAnsi="Century Gothic"/>
        </w:rPr>
        <w:t xml:space="preserve">. </w:t>
      </w:r>
      <w:r w:rsidR="00DC3432">
        <w:rPr>
          <w:rFonts w:ascii="Century Gothic" w:hAnsi="Century Gothic"/>
        </w:rPr>
        <w:t xml:space="preserve">Para responder, seguimos el orden planteado en su comunicación: </w:t>
      </w:r>
    </w:p>
    <w:p w14:paraId="4372508C" w14:textId="77777777" w:rsidR="00EC6EA8" w:rsidRDefault="00EC6EA8" w:rsidP="00156FCA">
      <w:pPr>
        <w:pStyle w:val="Prrafodelista"/>
        <w:spacing w:after="0" w:line="276" w:lineRule="auto"/>
        <w:jc w:val="both"/>
        <w:rPr>
          <w:rFonts w:ascii="Century Gothic" w:hAnsi="Century Gothic"/>
        </w:rPr>
      </w:pPr>
    </w:p>
    <w:p w14:paraId="737A2591" w14:textId="5FF1E53F" w:rsidR="001809FE" w:rsidRDefault="00EC6EA8" w:rsidP="001809F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Mapfre </w:t>
      </w:r>
      <w:r w:rsidR="00DC3432">
        <w:rPr>
          <w:rFonts w:ascii="Century Gothic" w:hAnsi="Century Gothic"/>
        </w:rPr>
        <w:t xml:space="preserve">no </w:t>
      </w:r>
      <w:r>
        <w:rPr>
          <w:rFonts w:ascii="Century Gothic" w:hAnsi="Century Gothic"/>
        </w:rPr>
        <w:t xml:space="preserve">reconoce como vinculante u oponible el </w:t>
      </w:r>
      <w:r w:rsidR="006C3CCB">
        <w:rPr>
          <w:rFonts w:ascii="Century Gothic" w:hAnsi="Century Gothic"/>
        </w:rPr>
        <w:t xml:space="preserve">documento por ustedes denominado “Informe de Avalúo”, el cual fue preparado de manera unilateral por Inmoval, por fuera de los plazos </w:t>
      </w:r>
      <w:r w:rsidR="00B716AC">
        <w:rPr>
          <w:rFonts w:ascii="Century Gothic" w:hAnsi="Century Gothic"/>
        </w:rPr>
        <w:t xml:space="preserve">y del procedimiento </w:t>
      </w:r>
      <w:r w:rsidR="006C3CCB">
        <w:rPr>
          <w:rFonts w:ascii="Century Gothic" w:hAnsi="Century Gothic"/>
        </w:rPr>
        <w:t xml:space="preserve">previstos en el Otrosí al Contrato de Arrendamiento para </w:t>
      </w:r>
      <w:r w:rsidR="00B716AC">
        <w:rPr>
          <w:rFonts w:ascii="Century Gothic" w:hAnsi="Century Gothic"/>
        </w:rPr>
        <w:t>ajustar el canon de arrendamiento</w:t>
      </w:r>
      <w:r w:rsidR="006C3CCB">
        <w:rPr>
          <w:rFonts w:ascii="Century Gothic" w:hAnsi="Century Gothic"/>
        </w:rPr>
        <w:t xml:space="preserve"> y, además, luego de la terminación del Contrato de Arrendamiento</w:t>
      </w:r>
      <w:r w:rsidR="007D7155">
        <w:rPr>
          <w:rFonts w:ascii="Century Gothic" w:hAnsi="Century Gothic"/>
        </w:rPr>
        <w:t>; todo lo cual es completamente claro para ustedes como se acredita en comunicaciones previas</w:t>
      </w:r>
      <w:r w:rsidR="006C3CCB">
        <w:rPr>
          <w:rFonts w:ascii="Century Gothic" w:hAnsi="Century Gothic"/>
        </w:rPr>
        <w:t xml:space="preserve">. </w:t>
      </w:r>
    </w:p>
    <w:p w14:paraId="72B189B8" w14:textId="77777777" w:rsidR="00DC3432" w:rsidRDefault="00DC3432" w:rsidP="00156FCA">
      <w:pPr>
        <w:pStyle w:val="Prrafodelista"/>
        <w:spacing w:after="0" w:line="276" w:lineRule="auto"/>
        <w:ind w:left="1080"/>
        <w:jc w:val="both"/>
        <w:rPr>
          <w:rFonts w:ascii="Century Gothic" w:hAnsi="Century Gothic"/>
        </w:rPr>
      </w:pPr>
    </w:p>
    <w:p w14:paraId="1CCE2F36" w14:textId="1DE77582" w:rsidR="00DC3432" w:rsidRDefault="008930A3" w:rsidP="00156FC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Tampoco hay lugar al pago de</w:t>
      </w:r>
      <w:r w:rsidR="00511117">
        <w:rPr>
          <w:rFonts w:ascii="Century Gothic" w:hAnsi="Century Gothic"/>
        </w:rPr>
        <w:t xml:space="preserve"> supuestos</w:t>
      </w:r>
      <w:r>
        <w:rPr>
          <w:rFonts w:ascii="Century Gothic" w:hAnsi="Century Gothic"/>
        </w:rPr>
        <w:t xml:space="preserve"> intereses de mora, pues Mapfre no tiene la obligación de pagar el canon de arrendamiento </w:t>
      </w:r>
      <w:r w:rsidR="00352314">
        <w:rPr>
          <w:rFonts w:ascii="Century Gothic" w:hAnsi="Century Gothic"/>
        </w:rPr>
        <w:t>por cualquier mes posterior a la terminación del</w:t>
      </w:r>
      <w:r>
        <w:rPr>
          <w:rFonts w:ascii="Century Gothic" w:hAnsi="Century Gothic"/>
        </w:rPr>
        <w:t xml:space="preserve"> </w:t>
      </w:r>
      <w:r w:rsidR="00352314">
        <w:rPr>
          <w:rFonts w:ascii="Century Gothic" w:hAnsi="Century Gothic"/>
        </w:rPr>
        <w:t>Contrato de Arrendamiento</w:t>
      </w:r>
      <w:r w:rsidR="00ED0F1F">
        <w:rPr>
          <w:rFonts w:ascii="Century Gothic" w:hAnsi="Century Gothic"/>
        </w:rPr>
        <w:t xml:space="preserve"> y a la imposibilidad material </w:t>
      </w:r>
      <w:r w:rsidR="00B56618">
        <w:rPr>
          <w:rFonts w:ascii="Century Gothic" w:hAnsi="Century Gothic"/>
        </w:rPr>
        <w:t>de usarlo</w:t>
      </w:r>
      <w:r w:rsidR="00352314">
        <w:rPr>
          <w:rFonts w:ascii="Century Gothic" w:hAnsi="Century Gothic"/>
        </w:rPr>
        <w:t xml:space="preserve">. </w:t>
      </w:r>
    </w:p>
    <w:p w14:paraId="6FCEEBBB" w14:textId="77777777" w:rsidR="000D1302" w:rsidRPr="000D1302" w:rsidRDefault="000D1302" w:rsidP="00156FCA">
      <w:pPr>
        <w:pStyle w:val="Prrafodelista"/>
        <w:spacing w:after="0" w:line="276" w:lineRule="auto"/>
        <w:rPr>
          <w:rFonts w:ascii="Century Gothic" w:hAnsi="Century Gothic"/>
        </w:rPr>
      </w:pPr>
    </w:p>
    <w:p w14:paraId="78F6C99F" w14:textId="00F30F26" w:rsidR="00C4673C" w:rsidRPr="00D6119F" w:rsidRDefault="000D1302" w:rsidP="00156FCA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Finalmente, advertimos que no es procedente el cobro ejecutivo de una obligación que no existe</w:t>
      </w:r>
      <w:r w:rsidR="001809FE">
        <w:rPr>
          <w:rFonts w:ascii="Century Gothic" w:hAnsi="Century Gothic"/>
        </w:rPr>
        <w:t xml:space="preserve"> por cuanto el Inmueble no pudo ser utilizado desde el mes de julio de 2023 </w:t>
      </w:r>
      <w:r>
        <w:rPr>
          <w:rFonts w:ascii="Century Gothic" w:hAnsi="Century Gothic"/>
        </w:rPr>
        <w:t>y que, además, según se deduce de su comunicación, tendría como fundamento un documento que no es contractual, que no es vinculante ni oponible a Mapfre</w:t>
      </w:r>
      <w:r w:rsidR="00B56618">
        <w:rPr>
          <w:rFonts w:ascii="Century Gothic" w:hAnsi="Century Gothic"/>
        </w:rPr>
        <w:t xml:space="preserve">, que no emana del deudor en los términos del artículo 422 del C.G.P. -por lo que claramente no sería un título ejecutivo- </w:t>
      </w:r>
      <w:r>
        <w:rPr>
          <w:rFonts w:ascii="Century Gothic" w:hAnsi="Century Gothic"/>
        </w:rPr>
        <w:t>y cuyo uso, en tales condiciones,</w:t>
      </w:r>
      <w:r w:rsidR="008A62F7">
        <w:rPr>
          <w:rFonts w:ascii="Century Gothic" w:hAnsi="Century Gothic"/>
        </w:rPr>
        <w:t xml:space="preserve"> podría inducir a error a los funcionarios judiciales. </w:t>
      </w:r>
    </w:p>
    <w:p w14:paraId="0C93AF64" w14:textId="77777777" w:rsidR="0003351F" w:rsidRDefault="0003351F" w:rsidP="00A82A62">
      <w:pPr>
        <w:spacing w:after="0" w:line="276" w:lineRule="auto"/>
        <w:jc w:val="both"/>
        <w:rPr>
          <w:rFonts w:ascii="Century Gothic" w:hAnsi="Century Gothic"/>
        </w:rPr>
      </w:pPr>
    </w:p>
    <w:p w14:paraId="0FD0C2E2" w14:textId="7B27231F" w:rsidR="005D6330" w:rsidRDefault="003E7143" w:rsidP="00156FCA">
      <w:pPr>
        <w:spacing w:after="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estos términos</w:t>
      </w:r>
      <w:r w:rsidR="00B56618">
        <w:rPr>
          <w:rFonts w:ascii="Century Gothic" w:hAnsi="Century Gothic"/>
        </w:rPr>
        <w:t>, sin perjuicio de lo señalado en comunicaciones previas,</w:t>
      </w:r>
      <w:r>
        <w:rPr>
          <w:rFonts w:ascii="Century Gothic" w:hAnsi="Century Gothic"/>
        </w:rPr>
        <w:t xml:space="preserve"> damos por contestada su solicitud y los invitamos a fijar fecha y hora para la entrega del Inmueble</w:t>
      </w:r>
      <w:r w:rsidR="002B5A07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y a que las diferencias surgidas sean resueltas de acuerdo con el mecanismo de solución de controversias previsto en el Contrato de Arrendamiento.  </w:t>
      </w:r>
      <w:r w:rsidR="002B5A07">
        <w:rPr>
          <w:rFonts w:ascii="Century Gothic" w:hAnsi="Century Gothic"/>
        </w:rPr>
        <w:t>Adicionalmente reiteramos que el ingreso al edificio siempre se les ha permitido</w:t>
      </w:r>
      <w:r w:rsidR="005D6330">
        <w:rPr>
          <w:rFonts w:ascii="Century Gothic" w:hAnsi="Century Gothic"/>
        </w:rPr>
        <w:t xml:space="preserve"> y se les recuerda su obligación como propietario del edificio de realizar las </w:t>
      </w:r>
      <w:r w:rsidR="005D6330">
        <w:rPr>
          <w:rFonts w:ascii="Century Gothic" w:hAnsi="Century Gothic"/>
        </w:rPr>
        <w:lastRenderedPageBreak/>
        <w:t xml:space="preserve">reparaciones de la estructura </w:t>
      </w:r>
      <w:proofErr w:type="gramStart"/>
      <w:r w:rsidR="005D6330">
        <w:rPr>
          <w:rFonts w:ascii="Century Gothic" w:hAnsi="Century Gothic"/>
        </w:rPr>
        <w:t>del mismo</w:t>
      </w:r>
      <w:proofErr w:type="gramEnd"/>
      <w:r w:rsidR="005D6330">
        <w:rPr>
          <w:rFonts w:ascii="Century Gothic" w:hAnsi="Century Gothic"/>
        </w:rPr>
        <w:t xml:space="preserve">, que a la fecha no han sido satisfactorias puesto que se siguen presentando filtraciones que no han sido solucionadas por su parte. </w:t>
      </w:r>
    </w:p>
    <w:p w14:paraId="2F543EED" w14:textId="77777777" w:rsidR="003E7143" w:rsidRPr="003E7143" w:rsidRDefault="003E7143" w:rsidP="00156FCA">
      <w:pPr>
        <w:spacing w:after="0" w:line="276" w:lineRule="auto"/>
        <w:jc w:val="both"/>
        <w:rPr>
          <w:rFonts w:ascii="Century Gothic" w:hAnsi="Century Gothic"/>
        </w:rPr>
      </w:pPr>
    </w:p>
    <w:p w14:paraId="75F7751B" w14:textId="77777777" w:rsidR="000674E7" w:rsidRDefault="000674E7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Atentamente,</w:t>
      </w:r>
    </w:p>
    <w:p w14:paraId="144AD6E9" w14:textId="77777777" w:rsidR="000674E7" w:rsidRDefault="000674E7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</w:p>
    <w:p w14:paraId="6743EF67" w14:textId="77777777" w:rsidR="000674E7" w:rsidRDefault="000674E7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</w:p>
    <w:p w14:paraId="39788E99" w14:textId="77777777" w:rsidR="000674E7" w:rsidRDefault="000674E7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[*]</w:t>
      </w:r>
    </w:p>
    <w:p w14:paraId="058D6C7C" w14:textId="2473069B" w:rsidR="00B04C2A" w:rsidRDefault="00B04C2A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 xml:space="preserve">Representante legal </w:t>
      </w:r>
    </w:p>
    <w:p w14:paraId="41210F38" w14:textId="41A58288" w:rsidR="00B04C2A" w:rsidRPr="00B04C2A" w:rsidRDefault="00B04C2A" w:rsidP="00156FCA">
      <w:pPr>
        <w:spacing w:after="0" w:line="276" w:lineRule="auto"/>
        <w:jc w:val="both"/>
        <w:rPr>
          <w:rFonts w:ascii="Century Gothic" w:hAnsi="Century Gothic"/>
          <w:b/>
          <w:bCs/>
          <w:lang w:val="es-CO"/>
        </w:rPr>
      </w:pPr>
      <w:r w:rsidRPr="00B04C2A">
        <w:rPr>
          <w:rFonts w:ascii="Century Gothic" w:hAnsi="Century Gothic"/>
          <w:b/>
          <w:bCs/>
          <w:lang w:val="es-CO"/>
        </w:rPr>
        <w:t xml:space="preserve">MAPFRE SEGUROS GENERALES DE COLOMBIA S.A. </w:t>
      </w:r>
    </w:p>
    <w:p w14:paraId="549CCE88" w14:textId="02AF572B" w:rsidR="00B04C2A" w:rsidRPr="00B04C2A" w:rsidRDefault="00B04C2A" w:rsidP="00156FCA">
      <w:pPr>
        <w:spacing w:after="0" w:line="276" w:lineRule="auto"/>
        <w:jc w:val="both"/>
        <w:rPr>
          <w:rFonts w:ascii="Century Gothic" w:hAnsi="Century Gothic"/>
          <w:b/>
          <w:bCs/>
          <w:lang w:val="es-CO"/>
        </w:rPr>
      </w:pPr>
      <w:r w:rsidRPr="00B04C2A">
        <w:rPr>
          <w:rFonts w:ascii="Century Gothic" w:hAnsi="Century Gothic"/>
          <w:b/>
          <w:bCs/>
          <w:lang w:val="es-CO"/>
        </w:rPr>
        <w:t xml:space="preserve">MAPFRE COLOMBIA VIDA SEGUROS S.A. </w:t>
      </w:r>
    </w:p>
    <w:p w14:paraId="4945D5FA" w14:textId="77777777" w:rsidR="00B04C2A" w:rsidRPr="00B04C2A" w:rsidRDefault="00B04C2A" w:rsidP="00156FCA">
      <w:pPr>
        <w:spacing w:after="0" w:line="276" w:lineRule="auto"/>
        <w:jc w:val="both"/>
        <w:rPr>
          <w:rFonts w:ascii="Century Gothic" w:hAnsi="Century Gothic"/>
          <w:b/>
          <w:bCs/>
          <w:lang w:val="es-CO"/>
        </w:rPr>
      </w:pPr>
      <w:r w:rsidRPr="00B04C2A">
        <w:rPr>
          <w:rFonts w:ascii="Century Gothic" w:hAnsi="Century Gothic"/>
          <w:b/>
          <w:bCs/>
          <w:lang w:val="es-CO"/>
        </w:rPr>
        <w:t xml:space="preserve">CREDIMAPFRE S.A.S. </w:t>
      </w:r>
    </w:p>
    <w:p w14:paraId="75974A0B" w14:textId="1886B3E0" w:rsidR="000674E7" w:rsidRDefault="00B04C2A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  <w:r w:rsidRPr="00B04C2A">
        <w:rPr>
          <w:rFonts w:ascii="Century Gothic" w:hAnsi="Century Gothic"/>
          <w:b/>
          <w:bCs/>
          <w:lang w:val="es-CO"/>
        </w:rPr>
        <w:t>MAPFRE SERVICIOS EXEQUIALES S.A.S.</w:t>
      </w:r>
    </w:p>
    <w:p w14:paraId="2EA17FF5" w14:textId="77777777" w:rsidR="00A81086" w:rsidRDefault="00A81086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</w:p>
    <w:p w14:paraId="51193365" w14:textId="780D3B1B" w:rsidR="00A81086" w:rsidRPr="00A81086" w:rsidRDefault="00A81086" w:rsidP="00156FCA">
      <w:pPr>
        <w:spacing w:after="0" w:line="276" w:lineRule="auto"/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 xml:space="preserve"> </w:t>
      </w:r>
    </w:p>
    <w:p w14:paraId="152A7924" w14:textId="6ECACE6B" w:rsidR="004745C9" w:rsidRDefault="004745C9" w:rsidP="00156FCA">
      <w:pPr>
        <w:spacing w:after="0" w:line="276" w:lineRule="auto"/>
        <w:jc w:val="both"/>
      </w:pPr>
    </w:p>
    <w:sectPr w:rsidR="0047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14DF"/>
    <w:multiLevelType w:val="hybridMultilevel"/>
    <w:tmpl w:val="B6AC72D4"/>
    <w:lvl w:ilvl="0" w:tplc="4C0240E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9663C6"/>
    <w:multiLevelType w:val="hybridMultilevel"/>
    <w:tmpl w:val="DE6C50D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31487"/>
    <w:multiLevelType w:val="hybridMultilevel"/>
    <w:tmpl w:val="0812F5B8"/>
    <w:lvl w:ilvl="0" w:tplc="579C5662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D3E5D"/>
    <w:multiLevelType w:val="hybridMultilevel"/>
    <w:tmpl w:val="DE6C5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5479">
    <w:abstractNumId w:val="1"/>
  </w:num>
  <w:num w:numId="2" w16cid:durableId="122239506">
    <w:abstractNumId w:val="3"/>
  </w:num>
  <w:num w:numId="3" w16cid:durableId="2117410105">
    <w:abstractNumId w:val="0"/>
  </w:num>
  <w:num w:numId="4" w16cid:durableId="658000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9"/>
    <w:rsid w:val="00015C30"/>
    <w:rsid w:val="00022730"/>
    <w:rsid w:val="0003351F"/>
    <w:rsid w:val="00042F9B"/>
    <w:rsid w:val="000674E7"/>
    <w:rsid w:val="00092D7E"/>
    <w:rsid w:val="000D1302"/>
    <w:rsid w:val="000E2F50"/>
    <w:rsid w:val="00153E73"/>
    <w:rsid w:val="00156FCA"/>
    <w:rsid w:val="001809FE"/>
    <w:rsid w:val="001D18A4"/>
    <w:rsid w:val="001E10D7"/>
    <w:rsid w:val="00240469"/>
    <w:rsid w:val="00262FB5"/>
    <w:rsid w:val="002974F4"/>
    <w:rsid w:val="002B5A07"/>
    <w:rsid w:val="002C7784"/>
    <w:rsid w:val="00310C8B"/>
    <w:rsid w:val="00352314"/>
    <w:rsid w:val="003E7143"/>
    <w:rsid w:val="0047106D"/>
    <w:rsid w:val="004715DB"/>
    <w:rsid w:val="004745C9"/>
    <w:rsid w:val="00475EEE"/>
    <w:rsid w:val="004C724A"/>
    <w:rsid w:val="004F6DB2"/>
    <w:rsid w:val="00511117"/>
    <w:rsid w:val="0053235B"/>
    <w:rsid w:val="005630FA"/>
    <w:rsid w:val="005D6330"/>
    <w:rsid w:val="00633113"/>
    <w:rsid w:val="00646C1C"/>
    <w:rsid w:val="006A076B"/>
    <w:rsid w:val="006C25D5"/>
    <w:rsid w:val="006C3CCB"/>
    <w:rsid w:val="006D7B8B"/>
    <w:rsid w:val="00740239"/>
    <w:rsid w:val="007A4ABC"/>
    <w:rsid w:val="007D7155"/>
    <w:rsid w:val="00803544"/>
    <w:rsid w:val="008620DE"/>
    <w:rsid w:val="008930A3"/>
    <w:rsid w:val="008941B7"/>
    <w:rsid w:val="008A62F7"/>
    <w:rsid w:val="008D2CCA"/>
    <w:rsid w:val="008D6EAE"/>
    <w:rsid w:val="008E4B5E"/>
    <w:rsid w:val="008E4B62"/>
    <w:rsid w:val="008F4582"/>
    <w:rsid w:val="00987852"/>
    <w:rsid w:val="009A480E"/>
    <w:rsid w:val="00A10095"/>
    <w:rsid w:val="00A33975"/>
    <w:rsid w:val="00A515EB"/>
    <w:rsid w:val="00A81086"/>
    <w:rsid w:val="00A82A62"/>
    <w:rsid w:val="00A93D44"/>
    <w:rsid w:val="00A961B5"/>
    <w:rsid w:val="00AC72B5"/>
    <w:rsid w:val="00B04C2A"/>
    <w:rsid w:val="00B56618"/>
    <w:rsid w:val="00B716AC"/>
    <w:rsid w:val="00B8038E"/>
    <w:rsid w:val="00BA45AD"/>
    <w:rsid w:val="00BA4868"/>
    <w:rsid w:val="00BB5B82"/>
    <w:rsid w:val="00C004F1"/>
    <w:rsid w:val="00C4673C"/>
    <w:rsid w:val="00CD004E"/>
    <w:rsid w:val="00CF665B"/>
    <w:rsid w:val="00D045E9"/>
    <w:rsid w:val="00D6119F"/>
    <w:rsid w:val="00DC3432"/>
    <w:rsid w:val="00E31035"/>
    <w:rsid w:val="00E40A4C"/>
    <w:rsid w:val="00E5410C"/>
    <w:rsid w:val="00EC6EA8"/>
    <w:rsid w:val="00ED0F1F"/>
    <w:rsid w:val="00EE6C5F"/>
    <w:rsid w:val="00F61626"/>
    <w:rsid w:val="00F66D26"/>
    <w:rsid w:val="00FC2E34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79FF"/>
  <w15:chartTrackingRefBased/>
  <w15:docId w15:val="{505C82AA-9506-4E3F-A724-30DD27DD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85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B5A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5A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5A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A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A0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9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Moya</dc:creator>
  <cp:keywords/>
  <dc:description/>
  <cp:lastModifiedBy>LUISA FERNANDA PAZ DELGADO</cp:lastModifiedBy>
  <cp:revision>3</cp:revision>
  <dcterms:created xsi:type="dcterms:W3CDTF">2023-11-07T16:34:00Z</dcterms:created>
  <dcterms:modified xsi:type="dcterms:W3CDTF">2023-11-08T19:18:00Z</dcterms:modified>
</cp:coreProperties>
</file>