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4B03F6" w:rsidRDefault="00906282" w:rsidP="00906282">
      <w:pPr>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B03F6">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B03F6" w:rsidRDefault="00375DE6" w:rsidP="00375DE6">
      <w:pPr>
        <w:spacing w:after="0"/>
        <w:rPr>
          <w:rFonts w:ascii="Century Gothic" w:hAnsi="Century Gothic"/>
          <w:b/>
        </w:rPr>
      </w:pPr>
    </w:p>
    <w:p w14:paraId="0B47FE9D" w14:textId="113EBA1B" w:rsidR="00906282" w:rsidRPr="004B03F6" w:rsidRDefault="00906282" w:rsidP="00906282">
      <w:pPr>
        <w:spacing w:line="360" w:lineRule="auto"/>
        <w:rPr>
          <w:rFonts w:ascii="Century Gothic" w:hAnsi="Century Gothic"/>
        </w:rPr>
      </w:pPr>
      <w:r w:rsidRPr="004B03F6">
        <w:rPr>
          <w:rFonts w:ascii="Century Gothic" w:hAnsi="Century Gothic"/>
          <w:b/>
        </w:rPr>
        <w:t>Fecha Presentación del Informe</w:t>
      </w:r>
      <w:r w:rsidRPr="004B03F6">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7-16T00:00:00Z">
            <w:dateFormat w:val="dd/MM/yyyy"/>
            <w:lid w:val="es-CO"/>
            <w:storeMappedDataAs w:val="dateTime"/>
            <w:calendar w:val="gregorian"/>
          </w:date>
        </w:sdtPr>
        <w:sdtEndPr>
          <w:rPr>
            <w:rStyle w:val="Fuentedeprrafopredeter"/>
            <w:rFonts w:asciiTheme="minorHAnsi" w:hAnsiTheme="minorHAnsi"/>
            <w:b/>
            <w:caps w:val="0"/>
          </w:rPr>
        </w:sdtEndPr>
        <w:sdtContent>
          <w:r w:rsidR="00940514">
            <w:rPr>
              <w:rStyle w:val="Estilo3"/>
              <w:b w:val="0"/>
              <w:bCs/>
            </w:rPr>
            <w:t>16/07/2024</w:t>
          </w:r>
        </w:sdtContent>
      </w:sdt>
      <w:r w:rsidRPr="004B03F6">
        <w:rPr>
          <w:rFonts w:ascii="Century Gothic" w:hAnsi="Century Gothic"/>
        </w:rPr>
        <w:t xml:space="preserve">                                       </w:t>
      </w:r>
    </w:p>
    <w:p w14:paraId="63FF7917" w14:textId="01857ECD" w:rsidR="00906282" w:rsidRPr="004B03F6" w:rsidRDefault="00906282" w:rsidP="00906282">
      <w:pPr>
        <w:spacing w:line="360" w:lineRule="auto"/>
        <w:rPr>
          <w:rFonts w:ascii="Century Gothic" w:hAnsi="Century Gothic"/>
        </w:rPr>
      </w:pPr>
      <w:r w:rsidRPr="004B03F6">
        <w:rPr>
          <w:rFonts w:ascii="Century Gothic" w:hAnsi="Century Gothic"/>
          <w:b/>
        </w:rPr>
        <w:t>SGC</w:t>
      </w:r>
      <w:r w:rsidRPr="004B03F6">
        <w:rPr>
          <w:rFonts w:ascii="Century Gothic" w:hAnsi="Century Gothic"/>
        </w:rPr>
        <w:t xml:space="preserve">: </w:t>
      </w:r>
      <w:r w:rsidR="008122C9" w:rsidRPr="004B03F6">
        <w:rPr>
          <w:rFonts w:ascii="Century Gothic" w:hAnsi="Century Gothic"/>
          <w:color w:val="000000"/>
          <w:shd w:val="clear" w:color="auto" w:fill="FFFFFF"/>
        </w:rPr>
        <w:t> 9</w:t>
      </w:r>
      <w:r w:rsidR="00587596" w:rsidRPr="004B03F6">
        <w:rPr>
          <w:rFonts w:ascii="Century Gothic" w:hAnsi="Century Gothic"/>
          <w:color w:val="000000"/>
          <w:shd w:val="clear" w:color="auto" w:fill="FFFFFF"/>
        </w:rPr>
        <w:t>855</w:t>
      </w:r>
    </w:p>
    <w:p w14:paraId="5AD56010" w14:textId="6F6FD16C" w:rsidR="00906282" w:rsidRPr="004B03F6" w:rsidRDefault="00906282" w:rsidP="00906282">
      <w:pPr>
        <w:spacing w:line="360" w:lineRule="auto"/>
        <w:rPr>
          <w:rFonts w:ascii="Century Gothic" w:hAnsi="Century Gothic"/>
        </w:rPr>
      </w:pPr>
      <w:r w:rsidRPr="004B03F6">
        <w:rPr>
          <w:rFonts w:ascii="Century Gothic" w:hAnsi="Century Gothic"/>
          <w:b/>
        </w:rPr>
        <w:t>Despacho Judicial</w:t>
      </w:r>
      <w:r w:rsidRPr="004B03F6">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587596" w:rsidRPr="004B03F6">
            <w:rPr>
              <w:rStyle w:val="Estilo3"/>
              <w:b w:val="0"/>
            </w:rPr>
            <w:t>56</w:t>
          </w:r>
        </w:sdtContent>
      </w:sdt>
      <w:r w:rsidRPr="004B03F6">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21216" w:rsidRPr="004B03F6">
            <w:rPr>
              <w:rStyle w:val="Estilo3"/>
              <w:b w:val="0"/>
            </w:rPr>
            <w:t>CIVIL DEL CIRCUITO</w:t>
          </w:r>
        </w:sdtContent>
      </w:sdt>
      <w:r w:rsidRPr="004B03F6">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26FDE" w:rsidRPr="004B03F6">
            <w:rPr>
              <w:rStyle w:val="Estilo3"/>
              <w:b w:val="0"/>
            </w:rPr>
            <w:t>bogotá</w:t>
          </w:r>
        </w:sdtContent>
      </w:sdt>
    </w:p>
    <w:p w14:paraId="46D3378E" w14:textId="7BC5D83B" w:rsidR="00906282" w:rsidRPr="004B03F6" w:rsidRDefault="00906282" w:rsidP="00906282">
      <w:pPr>
        <w:spacing w:line="360" w:lineRule="auto"/>
        <w:rPr>
          <w:rFonts w:ascii="Century Gothic" w:hAnsi="Century Gothic"/>
        </w:rPr>
      </w:pPr>
      <w:r w:rsidRPr="004B03F6">
        <w:rPr>
          <w:rFonts w:ascii="Century Gothic" w:hAnsi="Century Gothic"/>
          <w:b/>
        </w:rPr>
        <w:t>Radicado</w:t>
      </w:r>
      <w:r w:rsidRPr="004B03F6">
        <w:rPr>
          <w:rFonts w:ascii="Century Gothic" w:hAnsi="Century Gothic"/>
        </w:rPr>
        <w:t>:</w:t>
      </w:r>
      <w:sdt>
        <w:sdtPr>
          <w:rPr>
            <w:rFonts w:ascii="Century Gothic" w:hAnsi="Century Gothic" w:cs="Arial"/>
            <w:b/>
            <w:bCs/>
          </w:rPr>
          <w:alias w:val="RADICADO"/>
          <w:tag w:val="RADICADO"/>
          <w:id w:val="-31735373"/>
          <w:placeholder>
            <w:docPart w:val="2A04DD0832104E9B9C6DF4825D091F15"/>
          </w:placeholder>
          <w:text/>
        </w:sdtPr>
        <w:sdtContent>
          <w:r w:rsidR="00921216" w:rsidRPr="004B03F6">
            <w:rPr>
              <w:rFonts w:ascii="Century Gothic" w:hAnsi="Century Gothic" w:cs="Arial"/>
              <w:b/>
              <w:bCs/>
            </w:rPr>
            <w:t>110013103041-2022-00192-00</w:t>
          </w:r>
        </w:sdtContent>
      </w:sdt>
    </w:p>
    <w:p w14:paraId="59898224" w14:textId="7409D86B" w:rsidR="00726FDE" w:rsidRPr="004B03F6" w:rsidRDefault="00906282" w:rsidP="00E241DB">
      <w:pPr>
        <w:spacing w:line="360" w:lineRule="auto"/>
        <w:jc w:val="both"/>
        <w:rPr>
          <w:rStyle w:val="Estilo3"/>
          <w:b w:val="0"/>
          <w:bCs/>
        </w:rPr>
      </w:pPr>
      <w:r w:rsidRPr="004B03F6">
        <w:rPr>
          <w:rFonts w:ascii="Century Gothic" w:hAnsi="Century Gothic"/>
          <w:b/>
        </w:rPr>
        <w:t>Demandante</w:t>
      </w:r>
      <w:r w:rsidRPr="004B03F6">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587596" w:rsidRPr="004B03F6">
            <w:rPr>
              <w:rStyle w:val="Estilo3"/>
              <w:b w:val="0"/>
              <w:bCs/>
            </w:rPr>
            <w:t>ana Jahel Nieto Vargas, Jorge Alberto Bonilla Gutierrez y Juan Jose Bonilla Nieto</w:t>
          </w:r>
        </w:sdtContent>
      </w:sdt>
    </w:p>
    <w:p w14:paraId="1A4DA51E" w14:textId="483FDC62" w:rsidR="00906282" w:rsidRPr="004B03F6" w:rsidRDefault="00906282" w:rsidP="00AF2A13">
      <w:pPr>
        <w:spacing w:line="360" w:lineRule="auto"/>
        <w:jc w:val="both"/>
        <w:rPr>
          <w:rFonts w:ascii="Century Gothic" w:hAnsi="Century Gothic"/>
        </w:rPr>
      </w:pPr>
      <w:r w:rsidRPr="004B03F6">
        <w:rPr>
          <w:rFonts w:ascii="Century Gothic" w:hAnsi="Century Gothic"/>
          <w:b/>
        </w:rPr>
        <w:t>Demandado</w:t>
      </w:r>
      <w:r w:rsidRPr="004B03F6">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587596" w:rsidRPr="004B03F6">
            <w:rPr>
              <w:rStyle w:val="Estilo3"/>
              <w:b w:val="0"/>
              <w:bCs/>
            </w:rPr>
            <w:t>compensar eps y cruz roja colombiana</w:t>
          </w:r>
        </w:sdtContent>
      </w:sdt>
    </w:p>
    <w:p w14:paraId="2FC4428C" w14:textId="66CF0669" w:rsidR="00906282" w:rsidRPr="004B03F6" w:rsidRDefault="00906282" w:rsidP="00906282">
      <w:pPr>
        <w:spacing w:line="360" w:lineRule="auto"/>
        <w:rPr>
          <w:rFonts w:ascii="Century Gothic" w:hAnsi="Century Gothic"/>
        </w:rPr>
      </w:pPr>
      <w:r w:rsidRPr="004B03F6">
        <w:rPr>
          <w:rFonts w:ascii="Century Gothic" w:hAnsi="Century Gothic"/>
          <w:b/>
        </w:rPr>
        <w:t>Llamados en Garantía</w:t>
      </w:r>
      <w:r w:rsidRPr="004B03F6">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26FDE" w:rsidRPr="004B03F6">
            <w:rPr>
              <w:rStyle w:val="Estilo3"/>
              <w:b w:val="0"/>
            </w:rPr>
            <w:t>LA EQUIDAD SEGUROS GENERALES</w:t>
          </w:r>
        </w:sdtContent>
      </w:sdt>
    </w:p>
    <w:p w14:paraId="1739B5C0" w14:textId="0308BCAD" w:rsidR="00906282" w:rsidRPr="004B03F6" w:rsidRDefault="00906282" w:rsidP="00906282">
      <w:pPr>
        <w:spacing w:line="360" w:lineRule="auto"/>
        <w:rPr>
          <w:rFonts w:ascii="Century Gothic" w:hAnsi="Century Gothic"/>
        </w:rPr>
      </w:pPr>
      <w:r w:rsidRPr="004B03F6">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4B03F6">
            <w:rPr>
              <w:rStyle w:val="Estilo3"/>
              <w:b w:val="0"/>
            </w:rPr>
            <w:t>LLAMADOS EN GARANTÍA</w:t>
          </w:r>
        </w:sdtContent>
      </w:sdt>
    </w:p>
    <w:p w14:paraId="1BFE45C4" w14:textId="4F297A5E" w:rsidR="00906282" w:rsidRPr="004B03F6" w:rsidRDefault="00906282" w:rsidP="00906282">
      <w:pPr>
        <w:spacing w:line="360" w:lineRule="auto"/>
        <w:rPr>
          <w:rFonts w:ascii="Century Gothic" w:hAnsi="Century Gothic"/>
        </w:rPr>
      </w:pPr>
      <w:r w:rsidRPr="004B03F6">
        <w:rPr>
          <w:rFonts w:ascii="Century Gothic" w:hAnsi="Century Gothic"/>
          <w:b/>
        </w:rPr>
        <w:t>Fecha Notificación</w:t>
      </w:r>
      <w:r w:rsidRPr="004B03F6">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5-23T00:00:00Z">
            <w:dateFormat w:val="dd/MM/yyyy"/>
            <w:lid w:val="es-CO"/>
            <w:storeMappedDataAs w:val="dateTime"/>
            <w:calendar w:val="gregorian"/>
          </w:date>
        </w:sdtPr>
        <w:sdtEndPr>
          <w:rPr>
            <w:rStyle w:val="Fuentedeprrafopredeter"/>
            <w:rFonts w:asciiTheme="minorHAnsi" w:hAnsiTheme="minorHAnsi"/>
            <w:b/>
            <w:caps w:val="0"/>
          </w:rPr>
        </w:sdtEndPr>
        <w:sdtContent>
          <w:r w:rsidR="00587596" w:rsidRPr="004B03F6">
            <w:rPr>
              <w:rStyle w:val="Estilo3"/>
              <w:b w:val="0"/>
            </w:rPr>
            <w:t>23</w:t>
          </w:r>
          <w:r w:rsidR="008122C9" w:rsidRPr="004B03F6">
            <w:rPr>
              <w:rStyle w:val="Estilo3"/>
              <w:b w:val="0"/>
            </w:rPr>
            <w:t>/0</w:t>
          </w:r>
          <w:r w:rsidR="00587596" w:rsidRPr="004B03F6">
            <w:rPr>
              <w:rStyle w:val="Estilo3"/>
              <w:b w:val="0"/>
            </w:rPr>
            <w:t>5</w:t>
          </w:r>
          <w:r w:rsidR="008122C9" w:rsidRPr="004B03F6">
            <w:rPr>
              <w:rStyle w:val="Estilo3"/>
              <w:b w:val="0"/>
            </w:rPr>
            <w:t>/202</w:t>
          </w:r>
          <w:r w:rsidR="00587596" w:rsidRPr="004B03F6">
            <w:rPr>
              <w:rStyle w:val="Estilo3"/>
              <w:b w:val="0"/>
            </w:rPr>
            <w:t>4</w:t>
          </w:r>
        </w:sdtContent>
      </w:sdt>
    </w:p>
    <w:p w14:paraId="04C740D4" w14:textId="33AAB18B" w:rsidR="00906282" w:rsidRPr="004B03F6" w:rsidRDefault="00906282" w:rsidP="00906282">
      <w:pPr>
        <w:spacing w:line="360" w:lineRule="auto"/>
        <w:rPr>
          <w:rFonts w:ascii="Century Gothic" w:hAnsi="Century Gothic"/>
        </w:rPr>
      </w:pPr>
      <w:r w:rsidRPr="004B03F6">
        <w:rPr>
          <w:rFonts w:ascii="Century Gothic" w:hAnsi="Century Gothic"/>
          <w:b/>
        </w:rPr>
        <w:t>Fecha fin Término</w:t>
      </w:r>
      <w:r w:rsidRPr="004B03F6">
        <w:rPr>
          <w:rFonts w:ascii="Century Gothic" w:hAnsi="Century Gothic"/>
        </w:rPr>
        <w:t xml:space="preserve">: </w:t>
      </w:r>
      <w:sdt>
        <w:sdtPr>
          <w:rPr>
            <w:rFonts w:ascii="Century Gothic" w:hAnsi="Century Gothic"/>
          </w:rPr>
          <w:id w:val="-62026635"/>
          <w:placeholder>
            <w:docPart w:val="058B5A2D546346938DE7ED9DE620076B"/>
          </w:placeholder>
          <w:date w:fullDate="2024-06-24T00:00:00Z">
            <w:dateFormat w:val="dd/MM/yyyy"/>
            <w:lid w:val="es-CO"/>
            <w:storeMappedDataAs w:val="dateTime"/>
            <w:calendar w:val="gregorian"/>
          </w:date>
        </w:sdtPr>
        <w:sdtContent>
          <w:r w:rsidR="00587596" w:rsidRPr="004B03F6">
            <w:rPr>
              <w:rFonts w:ascii="Century Gothic" w:hAnsi="Century Gothic"/>
            </w:rPr>
            <w:t>24</w:t>
          </w:r>
          <w:r w:rsidR="008122C9" w:rsidRPr="004B03F6">
            <w:rPr>
              <w:rFonts w:ascii="Century Gothic" w:hAnsi="Century Gothic"/>
            </w:rPr>
            <w:t>/0</w:t>
          </w:r>
          <w:r w:rsidR="00587596" w:rsidRPr="004B03F6">
            <w:rPr>
              <w:rFonts w:ascii="Century Gothic" w:hAnsi="Century Gothic"/>
            </w:rPr>
            <w:t>6</w:t>
          </w:r>
          <w:r w:rsidR="008122C9" w:rsidRPr="004B03F6">
            <w:rPr>
              <w:rFonts w:ascii="Century Gothic" w:hAnsi="Century Gothic"/>
            </w:rPr>
            <w:t>/202</w:t>
          </w:r>
          <w:r w:rsidR="00587596" w:rsidRPr="004B03F6">
            <w:rPr>
              <w:rFonts w:ascii="Century Gothic" w:hAnsi="Century Gothic"/>
            </w:rPr>
            <w:t>4</w:t>
          </w:r>
        </w:sdtContent>
      </w:sdt>
    </w:p>
    <w:p w14:paraId="6B0EC993" w14:textId="00BF0F4E" w:rsidR="00906282" w:rsidRPr="004B03F6" w:rsidRDefault="00906282" w:rsidP="00906282">
      <w:pPr>
        <w:spacing w:line="360" w:lineRule="auto"/>
        <w:rPr>
          <w:rFonts w:ascii="Century Gothic" w:hAnsi="Century Gothic"/>
        </w:rPr>
      </w:pPr>
      <w:r w:rsidRPr="004B03F6">
        <w:rPr>
          <w:rFonts w:ascii="Century Gothic" w:hAnsi="Century Gothic"/>
          <w:b/>
        </w:rPr>
        <w:t>Fecha Siniestro</w:t>
      </w:r>
      <w:r w:rsidRPr="004B03F6">
        <w:rPr>
          <w:rFonts w:ascii="Century Gothic" w:hAnsi="Century Gothic"/>
        </w:rPr>
        <w:t xml:space="preserve">:  </w:t>
      </w:r>
      <w:sdt>
        <w:sdtPr>
          <w:rPr>
            <w:rStyle w:val="Estilo3"/>
            <w:b w:val="0"/>
          </w:rPr>
          <w:alias w:val="FECHA"/>
          <w:tag w:val="FEHCA"/>
          <w:id w:val="1298109440"/>
          <w:placeholder>
            <w:docPart w:val="7B79A3F3CDAC4E69BBE8C2888BCC0E7C"/>
          </w:placeholder>
          <w:date w:fullDate="2021-09-30T00:00:00Z">
            <w:dateFormat w:val="dd/MM/yyyy"/>
            <w:lid w:val="es-CO"/>
            <w:storeMappedDataAs w:val="dateTime"/>
            <w:calendar w:val="gregorian"/>
          </w:date>
        </w:sdtPr>
        <w:sdtEndPr>
          <w:rPr>
            <w:rStyle w:val="Fuentedeprrafopredeter"/>
            <w:rFonts w:asciiTheme="minorHAnsi" w:hAnsiTheme="minorHAnsi"/>
            <w:b/>
            <w:caps w:val="0"/>
          </w:rPr>
        </w:sdtEndPr>
        <w:sdtContent>
          <w:r w:rsidR="00DB0797">
            <w:rPr>
              <w:rStyle w:val="Estilo3"/>
              <w:b w:val="0"/>
            </w:rPr>
            <w:t>30</w:t>
          </w:r>
          <w:r w:rsidR="003076D3" w:rsidRPr="004B03F6">
            <w:rPr>
              <w:rStyle w:val="Estilo3"/>
              <w:b w:val="0"/>
            </w:rPr>
            <w:t>/</w:t>
          </w:r>
          <w:r w:rsidR="00D5468D" w:rsidRPr="004B03F6">
            <w:rPr>
              <w:rStyle w:val="Estilo3"/>
              <w:b w:val="0"/>
            </w:rPr>
            <w:t>0</w:t>
          </w:r>
          <w:r w:rsidR="00DB0797">
            <w:rPr>
              <w:rStyle w:val="Estilo3"/>
              <w:b w:val="0"/>
            </w:rPr>
            <w:t>9</w:t>
          </w:r>
          <w:r w:rsidR="003076D3" w:rsidRPr="004B03F6">
            <w:rPr>
              <w:rStyle w:val="Estilo3"/>
              <w:b w:val="0"/>
            </w:rPr>
            <w:t>/20</w:t>
          </w:r>
          <w:r w:rsidR="00DB0797">
            <w:rPr>
              <w:rStyle w:val="Estilo3"/>
              <w:b w:val="0"/>
            </w:rPr>
            <w:t>21</w:t>
          </w:r>
        </w:sdtContent>
      </w:sdt>
    </w:p>
    <w:p w14:paraId="3157EDF6" w14:textId="409916E7" w:rsidR="00906282" w:rsidRPr="004B03F6" w:rsidRDefault="00906282" w:rsidP="00587596">
      <w:pPr>
        <w:spacing w:line="360" w:lineRule="auto"/>
        <w:jc w:val="both"/>
        <w:rPr>
          <w:rFonts w:ascii="Century Gothic" w:hAnsi="Century Gothic"/>
          <w:color w:val="FF0000"/>
        </w:rPr>
      </w:pPr>
      <w:r w:rsidRPr="004B03F6">
        <w:rPr>
          <w:rFonts w:ascii="Century Gothic" w:hAnsi="Century Gothic"/>
          <w:b/>
        </w:rPr>
        <w:t>Hechos</w:t>
      </w:r>
      <w:r w:rsidRPr="004B03F6">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587596" w:rsidRPr="004B03F6">
            <w:rPr>
              <w:rFonts w:ascii="Century Gothic" w:hAnsi="Century Gothic"/>
            </w:rPr>
            <w:t xml:space="preserve">1. En noviembre de 2013, la señora Ana </w:t>
          </w:r>
          <w:proofErr w:type="spellStart"/>
          <w:r w:rsidR="00587596" w:rsidRPr="004B03F6">
            <w:rPr>
              <w:rFonts w:ascii="Century Gothic" w:hAnsi="Century Gothic"/>
            </w:rPr>
            <w:t>Jahel</w:t>
          </w:r>
          <w:proofErr w:type="spellEnd"/>
          <w:r w:rsidR="00587596" w:rsidRPr="004B03F6">
            <w:rPr>
              <w:rFonts w:ascii="Century Gothic" w:hAnsi="Century Gothic"/>
            </w:rPr>
            <w:t xml:space="preserve"> Nieto </w:t>
          </w:r>
          <w:r w:rsidR="00D95CDC">
            <w:rPr>
              <w:rFonts w:ascii="Century Gothic" w:hAnsi="Century Gothic"/>
            </w:rPr>
            <w:t>tenía</w:t>
          </w:r>
          <w:r w:rsidR="00587596" w:rsidRPr="004B03F6">
            <w:rPr>
              <w:rFonts w:ascii="Century Gothic" w:hAnsi="Century Gothic"/>
            </w:rPr>
            <w:t xml:space="preserve"> 35 años </w:t>
          </w:r>
          <w:r w:rsidR="00D95CDC">
            <w:rPr>
              <w:rFonts w:ascii="Century Gothic" w:hAnsi="Century Gothic"/>
            </w:rPr>
            <w:t xml:space="preserve">y estaba en estado de gestación </w:t>
          </w:r>
          <w:r w:rsidR="00587596" w:rsidRPr="004B03F6">
            <w:rPr>
              <w:rFonts w:ascii="Century Gothic" w:hAnsi="Century Gothic"/>
            </w:rPr>
            <w:t xml:space="preserve">2. El 6 de mayo de 2014, en horas de la noche, la señora Ana </w:t>
          </w:r>
          <w:proofErr w:type="spellStart"/>
          <w:r w:rsidR="00587596" w:rsidRPr="004B03F6">
            <w:rPr>
              <w:rFonts w:ascii="Century Gothic" w:hAnsi="Century Gothic"/>
            </w:rPr>
            <w:t>Jahel</w:t>
          </w:r>
          <w:proofErr w:type="spellEnd"/>
          <w:r w:rsidR="00587596" w:rsidRPr="004B03F6">
            <w:rPr>
              <w:rFonts w:ascii="Century Gothic" w:hAnsi="Century Gothic"/>
            </w:rPr>
            <w:t xml:space="preserve"> Nieto Vargas presenta edema de miembros inferiores y dolor de cabeza. Motivo por el cual consulta al día siguiente a la IPS adscrita a COMPENSAR EPS, CENTRO DE ATENCIÓN SAMU LA ALQUERÍA de la Unión Temporal de la Cruz Roja Colombiana Seccional Cundinamarca y Bogotá con Compensar EPS. 3. El 7 de mayo de 2014 le indican a la señora Nieto que debía pedir valoración por consulta ambulatoria, se dirige al módulo de atención a solicitar la cita médica prioritaria, la cual asignan para el día siguiente en la misma institución. 4. El 8 de mayo de 2014 la señora Nieto asiste a valoración, donde el médico que la atiende le indica que aquellos síntomas son normales en el embarazo y que lo que presenta es dolor articular. 5. El 11 de mayo de 2014, alrededor de la una de la tarde, la señora Nieto </w:t>
          </w:r>
          <w:r w:rsidR="00587596" w:rsidRPr="004B03F6">
            <w:rPr>
              <w:rFonts w:ascii="Century Gothic" w:hAnsi="Century Gothic"/>
            </w:rPr>
            <w:lastRenderedPageBreak/>
            <w:t>presenta episodio convulsivo (se encontraba en la casa). Motivo por el cual la cuñada la lleva de inmediato al servicio de urgencias del Hospital San Blas. El médico que la trata le diagnostica eclampsia. 6.</w:t>
          </w:r>
          <w:r w:rsidR="00D95CDC">
            <w:rPr>
              <w:rFonts w:ascii="Century Gothic" w:hAnsi="Century Gothic"/>
            </w:rPr>
            <w:t>Para tratar la eclampsia se somete a la paciente a una cesárea y</w:t>
          </w:r>
          <w:r w:rsidR="00587596" w:rsidRPr="004B03F6">
            <w:rPr>
              <w:rFonts w:ascii="Century Gothic" w:hAnsi="Century Gothic"/>
            </w:rPr>
            <w:t xml:space="preserve"> </w:t>
          </w:r>
          <w:r w:rsidR="00D95CDC">
            <w:rPr>
              <w:rFonts w:ascii="Century Gothic" w:hAnsi="Century Gothic"/>
            </w:rPr>
            <w:t>e</w:t>
          </w:r>
          <w:r w:rsidR="00587596" w:rsidRPr="004B03F6">
            <w:rPr>
              <w:rFonts w:ascii="Century Gothic" w:hAnsi="Century Gothic"/>
            </w:rPr>
            <w:t xml:space="preserve">l menor Juan José Bonilla Nieto nace el 11 de mayo de 2014, a las 22:59 p.m., prematuro extremo de 27 semanas, con peso al momento de nacer de 880 gramos, motivo por el cual lo hospitalizan en la Unidad de Cuidados Intensivos Neonatal. 7. Desde el nacimiento, al menor Juan José Bonilla lo han hospitalizado al menos 10 veces. Como consecuencia de diferentes complicaciones pulmonares, asociadas a su patología de base DISPLASIA BRONCOPULMONAR. La cual es consecuencia de la Prematurez extrema y de la necesidad de tratamiento con ventilación mecánica al momento del nacimiento. 8. El menor Juan José Bonilla presenta un grave e irreversible trastorno neurológico que incluye Discapacidad Cognitiva Moderada y Retraso en el Desarrollo Motor y del Lenguaje causado </w:t>
          </w:r>
          <w:r w:rsidR="00D95CDC">
            <w:rPr>
              <w:rFonts w:ascii="Century Gothic" w:hAnsi="Century Gothic"/>
            </w:rPr>
            <w:t xml:space="preserve">presuntamente </w:t>
          </w:r>
          <w:r w:rsidR="00587596" w:rsidRPr="004B03F6">
            <w:rPr>
              <w:rFonts w:ascii="Century Gothic" w:hAnsi="Century Gothic"/>
            </w:rPr>
            <w:t>por su nacimiento prematuro, condición que trae como consecuencia un Estado de dependencia permanente.”.</w:t>
          </w:r>
        </w:sdtContent>
      </w:sdt>
    </w:p>
    <w:p w14:paraId="1550BD07" w14:textId="67260E5A" w:rsidR="00906282" w:rsidRPr="004B03F6" w:rsidRDefault="00906282" w:rsidP="00906282">
      <w:pPr>
        <w:spacing w:line="360" w:lineRule="auto"/>
        <w:rPr>
          <w:rFonts w:ascii="Century Gothic" w:hAnsi="Century Gothic"/>
        </w:rPr>
      </w:pPr>
      <w:r w:rsidRPr="004B03F6">
        <w:rPr>
          <w:rFonts w:ascii="Century Gothic" w:hAnsi="Century Gothic"/>
          <w:b/>
        </w:rPr>
        <w:t>Audiencia Prejudicial</w:t>
      </w:r>
      <w:r w:rsidRPr="004B03F6">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DB0797">
            <w:rPr>
              <w:rStyle w:val="Estilo3"/>
              <w:b w:val="0"/>
            </w:rPr>
            <w:t>SI</w:t>
          </w:r>
        </w:sdtContent>
      </w:sdt>
    </w:p>
    <w:p w14:paraId="469A087A" w14:textId="796F60D7" w:rsidR="00E20E95" w:rsidRPr="004B03F6" w:rsidRDefault="00906282" w:rsidP="0020620F">
      <w:pPr>
        <w:spacing w:line="360" w:lineRule="auto"/>
        <w:jc w:val="both"/>
        <w:rPr>
          <w:rFonts w:ascii="Century Gothic" w:hAnsi="Century Gothic"/>
        </w:rPr>
      </w:pPr>
      <w:r w:rsidRPr="004B03F6">
        <w:rPr>
          <w:rFonts w:ascii="Century Gothic" w:hAnsi="Century Gothic"/>
          <w:b/>
        </w:rPr>
        <w:t>Pretensiones de la demanda</w:t>
      </w:r>
      <w:r w:rsidRPr="004B03F6">
        <w:rPr>
          <w:rFonts w:ascii="Century Gothic" w:hAnsi="Century Gothic"/>
        </w:rPr>
        <w:t xml:space="preserve">:  </w:t>
      </w:r>
      <w:sdt>
        <w:sdtPr>
          <w:rPr>
            <w:rFonts w:ascii="Century Gothic" w:eastAsia="Times New Roman" w:hAnsi="Century Gothic" w:cs="Segoe UI"/>
            <w:color w:val="000000"/>
            <w:lang w:eastAsia="es-CO"/>
          </w:rPr>
          <w:alias w:val="PRETENSIONES"/>
          <w:tag w:val="PRETENSIONES"/>
          <w:id w:val="-321507162"/>
          <w:placeholder>
            <w:docPart w:val="7057A85CA769434CB181176B5C5C151A"/>
          </w:placeholder>
          <w:text/>
        </w:sdtPr>
        <w:sdtContent>
          <w:r w:rsidR="00587596" w:rsidRPr="004B03F6">
            <w:rPr>
              <w:rFonts w:ascii="Century Gothic" w:eastAsia="Times New Roman" w:hAnsi="Century Gothic" w:cs="Segoe UI"/>
              <w:color w:val="000000"/>
              <w:lang w:eastAsia="es-CO"/>
            </w:rPr>
            <w:t xml:space="preserve">1. </w:t>
          </w:r>
          <w:r w:rsidR="00587596" w:rsidRPr="00587596">
            <w:rPr>
              <w:rFonts w:ascii="Century Gothic" w:eastAsia="Times New Roman" w:hAnsi="Century Gothic" w:cs="Segoe UI"/>
              <w:color w:val="000000"/>
              <w:lang w:eastAsia="es-CO"/>
            </w:rPr>
            <w:t>Se Declare la responsabilidad civil contractual y/o extracontractual, en forma solidaria, de: COMPENSAR E.P.S. (Caja de compensación Familiar, en su programa de Entidad Promotora de Salud); y, a la Cruz Roja Colombiana Seccional Cundinamarca y Bogotá D.C.  </w:t>
          </w:r>
          <w:r w:rsidR="00587596" w:rsidRPr="004B03F6">
            <w:rPr>
              <w:rFonts w:ascii="Century Gothic" w:eastAsia="Times New Roman" w:hAnsi="Century Gothic" w:cs="Segoe UI"/>
              <w:color w:val="000000"/>
              <w:lang w:eastAsia="es-CO"/>
            </w:rPr>
            <w:t xml:space="preserve">2. </w:t>
          </w:r>
          <w:r w:rsidR="00587596" w:rsidRPr="00587596">
            <w:rPr>
              <w:rFonts w:ascii="Century Gothic" w:eastAsia="Times New Roman" w:hAnsi="Century Gothic" w:cs="Segoe UI"/>
              <w:color w:val="000000"/>
              <w:lang w:eastAsia="es-CO"/>
            </w:rPr>
            <w:t xml:space="preserve">Se condene a los demandados: COMPENSAR E.P.S. (Caja de compensación Familiar, en su programa de Entidad Promotora de Salud);y, la Cruz Roja Colombiana Seccional Cundinamarca y Bogotá D.C.; a favor de Ana </w:t>
          </w:r>
          <w:proofErr w:type="spellStart"/>
          <w:r w:rsidR="00587596" w:rsidRPr="00587596">
            <w:rPr>
              <w:rFonts w:ascii="Century Gothic" w:eastAsia="Times New Roman" w:hAnsi="Century Gothic" w:cs="Segoe UI"/>
              <w:color w:val="000000"/>
              <w:lang w:eastAsia="es-CO"/>
            </w:rPr>
            <w:t>Jahel</w:t>
          </w:r>
          <w:proofErr w:type="spellEnd"/>
          <w:r w:rsidR="00587596" w:rsidRPr="00587596">
            <w:rPr>
              <w:rFonts w:ascii="Century Gothic" w:eastAsia="Times New Roman" w:hAnsi="Century Gothic" w:cs="Segoe UI"/>
              <w:color w:val="000000"/>
              <w:lang w:eastAsia="es-CO"/>
            </w:rPr>
            <w:t xml:space="preserve"> Nieto Vargas, Jorge Alberto Bonilla </w:t>
          </w:r>
          <w:r w:rsidR="00940514" w:rsidRPr="00587596">
            <w:rPr>
              <w:rFonts w:ascii="Century Gothic" w:eastAsia="Times New Roman" w:hAnsi="Century Gothic" w:cs="Segoe UI"/>
              <w:color w:val="000000"/>
              <w:lang w:eastAsia="es-CO"/>
            </w:rPr>
            <w:t>Gutiérrez</w:t>
          </w:r>
          <w:r w:rsidR="00587596" w:rsidRPr="00587596">
            <w:rPr>
              <w:rFonts w:ascii="Century Gothic" w:eastAsia="Times New Roman" w:hAnsi="Century Gothic" w:cs="Segoe UI"/>
              <w:color w:val="000000"/>
              <w:lang w:eastAsia="es-CO"/>
            </w:rPr>
            <w:t xml:space="preserve"> y Juan Jose Bonilla Nieto, al reconocimiento y pago de todos los perjuicios que se prueben como consecuencia de los servicios de salud objeto de la presente controversia</w:t>
          </w:r>
          <w:r w:rsidR="00587596" w:rsidRPr="004B03F6">
            <w:rPr>
              <w:rFonts w:ascii="Century Gothic" w:eastAsia="Times New Roman" w:hAnsi="Century Gothic" w:cs="Segoe UI"/>
              <w:color w:val="000000"/>
              <w:lang w:eastAsia="es-CO"/>
            </w:rPr>
            <w:t xml:space="preserve">: </w:t>
          </w:r>
          <w:r w:rsidR="00587596" w:rsidRPr="00587596">
            <w:rPr>
              <w:rFonts w:ascii="Century Gothic" w:eastAsia="Times New Roman" w:hAnsi="Century Gothic" w:cs="Segoe UI"/>
              <w:color w:val="000000"/>
              <w:lang w:eastAsia="es-CO"/>
            </w:rPr>
            <w:t>Por concepto de lucro cesante futuro del menor Bonilla Nieto: $ 350.495.950Por concepto de daño emergente futuro a favor del menor Bonilla Nieto: $1.453.106.500Por concepto de Daño moral a favor del menor Bonilla Nieto: 200 SMMLV</w:t>
          </w:r>
          <w:r w:rsidR="00587596" w:rsidRPr="004B03F6">
            <w:rPr>
              <w:rFonts w:ascii="Century Gothic" w:eastAsia="Times New Roman" w:hAnsi="Century Gothic" w:cs="Segoe UI"/>
              <w:color w:val="000000"/>
              <w:lang w:eastAsia="es-CO"/>
            </w:rPr>
            <w:t xml:space="preserve">. </w:t>
          </w:r>
          <w:r w:rsidR="00587596" w:rsidRPr="00587596">
            <w:rPr>
              <w:rFonts w:ascii="Century Gothic" w:eastAsia="Times New Roman" w:hAnsi="Century Gothic" w:cs="Segoe UI"/>
              <w:color w:val="000000"/>
              <w:lang w:eastAsia="es-CO"/>
            </w:rPr>
            <w:t xml:space="preserve">Por concepto de Daño a la vida </w:t>
          </w:r>
          <w:proofErr w:type="gramStart"/>
          <w:r w:rsidR="00587596" w:rsidRPr="00587596">
            <w:rPr>
              <w:rFonts w:ascii="Century Gothic" w:eastAsia="Times New Roman" w:hAnsi="Century Gothic" w:cs="Segoe UI"/>
              <w:color w:val="000000"/>
              <w:lang w:eastAsia="es-CO"/>
            </w:rPr>
            <w:t>en relación a</w:t>
          </w:r>
          <w:proofErr w:type="gramEnd"/>
          <w:r w:rsidR="00587596" w:rsidRPr="00587596">
            <w:rPr>
              <w:rFonts w:ascii="Century Gothic" w:eastAsia="Times New Roman" w:hAnsi="Century Gothic" w:cs="Segoe UI"/>
              <w:color w:val="000000"/>
              <w:lang w:eastAsia="es-CO"/>
            </w:rPr>
            <w:t xml:space="preserve"> favor del menor </w:t>
          </w:r>
          <w:r w:rsidR="00587596" w:rsidRPr="00587596">
            <w:rPr>
              <w:rFonts w:ascii="Century Gothic" w:eastAsia="Times New Roman" w:hAnsi="Century Gothic" w:cs="Segoe UI"/>
              <w:color w:val="000000"/>
              <w:lang w:eastAsia="es-CO"/>
            </w:rPr>
            <w:lastRenderedPageBreak/>
            <w:t>Bonilla Nieto: 200 SMMLV</w:t>
          </w:r>
          <w:r w:rsidR="00587596" w:rsidRPr="004B03F6">
            <w:rPr>
              <w:rFonts w:ascii="Century Gothic" w:eastAsia="Times New Roman" w:hAnsi="Century Gothic" w:cs="Segoe UI"/>
              <w:color w:val="000000"/>
              <w:lang w:eastAsia="es-CO"/>
            </w:rPr>
            <w:t xml:space="preserve">. </w:t>
          </w:r>
          <w:r w:rsidR="00587596" w:rsidRPr="00587596">
            <w:rPr>
              <w:rFonts w:ascii="Century Gothic" w:eastAsia="Times New Roman" w:hAnsi="Century Gothic" w:cs="Segoe UI"/>
              <w:color w:val="000000"/>
              <w:lang w:eastAsia="es-CO"/>
            </w:rPr>
            <w:t>Por concepto de Daño a Bienes Convencional y Constitucionalmente Protegidos a favor del menor Bonilla Nieto: 500 SMMLV</w:t>
          </w:r>
          <w:r w:rsidR="00587596" w:rsidRPr="004B03F6">
            <w:rPr>
              <w:rFonts w:ascii="Century Gothic" w:eastAsia="Times New Roman" w:hAnsi="Century Gothic" w:cs="Segoe UI"/>
              <w:color w:val="000000"/>
              <w:lang w:eastAsia="es-CO"/>
            </w:rPr>
            <w:t xml:space="preserve">. </w:t>
          </w:r>
          <w:r w:rsidR="00587596" w:rsidRPr="00587596">
            <w:rPr>
              <w:rFonts w:ascii="Century Gothic" w:eastAsia="Times New Roman" w:hAnsi="Century Gothic" w:cs="Segoe UI"/>
              <w:color w:val="000000"/>
              <w:lang w:eastAsia="es-CO"/>
            </w:rPr>
            <w:t xml:space="preserve">Por concepto de Daño emergente </w:t>
          </w:r>
          <w:r w:rsidR="00940514" w:rsidRPr="00587596">
            <w:rPr>
              <w:rFonts w:ascii="Century Gothic" w:eastAsia="Times New Roman" w:hAnsi="Century Gothic" w:cs="Segoe UI"/>
              <w:color w:val="000000"/>
              <w:lang w:eastAsia="es-CO"/>
            </w:rPr>
            <w:t>consolidado a</w:t>
          </w:r>
          <w:r w:rsidR="00587596" w:rsidRPr="00587596">
            <w:rPr>
              <w:rFonts w:ascii="Century Gothic" w:eastAsia="Times New Roman" w:hAnsi="Century Gothic" w:cs="Segoe UI"/>
              <w:color w:val="000000"/>
              <w:lang w:eastAsia="es-CO"/>
            </w:rPr>
            <w:t xml:space="preserve"> favor de los señores Nieto Vargas y Bonilla Gutiérrez: $189.802.000.</w:t>
          </w:r>
          <w:r w:rsidR="00587596" w:rsidRPr="004B03F6">
            <w:rPr>
              <w:rFonts w:ascii="Century Gothic" w:eastAsia="Times New Roman" w:hAnsi="Century Gothic" w:cs="Segoe UI"/>
              <w:color w:val="000000"/>
              <w:lang w:eastAsia="es-CO"/>
            </w:rPr>
            <w:t xml:space="preserve"> </w:t>
          </w:r>
          <w:r w:rsidR="00587596" w:rsidRPr="00587596">
            <w:rPr>
              <w:rFonts w:ascii="Century Gothic" w:eastAsia="Times New Roman" w:hAnsi="Century Gothic" w:cs="Segoe UI"/>
              <w:color w:val="000000"/>
              <w:lang w:eastAsia="es-CO"/>
            </w:rPr>
            <w:t>Por concepto de Daño emergente futuro a favor de los señores Nieto Vargas y Bonilla Gutiérrez: $ 112.592.000Por concepto de Daño moral a favor de la señora Nieto Vargas: 200 SMMLV</w:t>
          </w:r>
          <w:r w:rsidR="00587596" w:rsidRPr="004B03F6">
            <w:rPr>
              <w:rFonts w:ascii="Century Gothic" w:eastAsia="Times New Roman" w:hAnsi="Century Gothic" w:cs="Segoe UI"/>
              <w:color w:val="000000"/>
              <w:lang w:eastAsia="es-CO"/>
            </w:rPr>
            <w:t xml:space="preserve">. </w:t>
          </w:r>
          <w:r w:rsidR="00587596" w:rsidRPr="00587596">
            <w:rPr>
              <w:rFonts w:ascii="Century Gothic" w:eastAsia="Times New Roman" w:hAnsi="Century Gothic" w:cs="Segoe UI"/>
              <w:color w:val="000000"/>
              <w:lang w:eastAsia="es-CO"/>
            </w:rPr>
            <w:t>Por concepto de Daño moral a favor del señor Bonilla Gutiérrez: 200 SMMLV</w:t>
          </w:r>
          <w:r w:rsidR="00587596" w:rsidRPr="004B03F6">
            <w:rPr>
              <w:rFonts w:ascii="Century Gothic" w:eastAsia="Times New Roman" w:hAnsi="Century Gothic" w:cs="Segoe UI"/>
              <w:color w:val="000000"/>
              <w:lang w:eastAsia="es-CO"/>
            </w:rPr>
            <w:t>. 3. Se condene en costas y agencias en derecho.</w:t>
          </w:r>
        </w:sdtContent>
      </w:sdt>
    </w:p>
    <w:p w14:paraId="4D5CE540" w14:textId="77777777" w:rsidR="005206D1" w:rsidRPr="004B03F6" w:rsidRDefault="00906282" w:rsidP="00613028">
      <w:pPr>
        <w:spacing w:line="360" w:lineRule="auto"/>
        <w:jc w:val="both"/>
        <w:rPr>
          <w:rFonts w:ascii="Century Gothic" w:hAnsi="Century Gothic"/>
          <w:b/>
        </w:rPr>
      </w:pPr>
      <w:r w:rsidRPr="004B03F6">
        <w:rPr>
          <w:rFonts w:ascii="Century Gothic" w:hAnsi="Century Gothic"/>
          <w:b/>
        </w:rPr>
        <w:t xml:space="preserve">Liquidación objetivada de las pretensiones: </w:t>
      </w:r>
    </w:p>
    <w:p w14:paraId="4D9F5D1B" w14:textId="44E96960" w:rsidR="00D472EF" w:rsidRPr="004B03F6" w:rsidRDefault="00D81C6B" w:rsidP="00D81C6B">
      <w:pPr>
        <w:spacing w:line="360" w:lineRule="auto"/>
        <w:jc w:val="both"/>
        <w:rPr>
          <w:rFonts w:ascii="Century Gothic" w:hAnsi="Century Gothic"/>
          <w:bCs/>
        </w:rPr>
      </w:pPr>
      <w:r w:rsidRPr="004B03F6">
        <w:rPr>
          <w:rFonts w:ascii="Century Gothic" w:hAnsi="Century Gothic"/>
          <w:bCs/>
        </w:rPr>
        <w:t>Como</w:t>
      </w:r>
      <w:r w:rsidR="00777CB6" w:rsidRPr="004B03F6">
        <w:rPr>
          <w:rFonts w:ascii="Century Gothic" w:hAnsi="Century Gothic"/>
          <w:bCs/>
        </w:rPr>
        <w:t xml:space="preserve"> liquidación objetiva de perjuicios se ta</w:t>
      </w:r>
      <w:r w:rsidR="00587596" w:rsidRPr="004B03F6">
        <w:rPr>
          <w:rFonts w:ascii="Century Gothic" w:hAnsi="Century Gothic"/>
          <w:bCs/>
        </w:rPr>
        <w:t>s</w:t>
      </w:r>
      <w:r w:rsidR="00777CB6" w:rsidRPr="004B03F6">
        <w:rPr>
          <w:rFonts w:ascii="Century Gothic" w:hAnsi="Century Gothic"/>
          <w:bCs/>
        </w:rPr>
        <w:t xml:space="preserve">a la suma de </w:t>
      </w:r>
      <w:r w:rsidR="00777CB6" w:rsidRPr="004B03F6">
        <w:rPr>
          <w:rFonts w:ascii="Century Gothic" w:hAnsi="Century Gothic"/>
          <w:b/>
          <w:u w:val="single"/>
        </w:rPr>
        <w:t>$</w:t>
      </w:r>
      <w:r w:rsidR="0031273C" w:rsidRPr="0031273C">
        <w:rPr>
          <w:rFonts w:ascii="Century Gothic" w:hAnsi="Century Gothic"/>
          <w:b/>
          <w:u w:val="single"/>
        </w:rPr>
        <w:t>484,153,529</w:t>
      </w:r>
      <w:r w:rsidR="00B3609D" w:rsidRPr="004B03F6">
        <w:rPr>
          <w:rFonts w:ascii="Century Gothic" w:hAnsi="Century Gothic"/>
          <w:bCs/>
        </w:rPr>
        <w:t xml:space="preserve">. </w:t>
      </w:r>
      <w:r w:rsidR="00777CB6" w:rsidRPr="004B03F6">
        <w:rPr>
          <w:rFonts w:ascii="Century Gothic" w:hAnsi="Century Gothic"/>
          <w:bCs/>
        </w:rPr>
        <w:t>Lo anterior, con base en los siguientes fundamentos:</w:t>
      </w:r>
      <w:bookmarkStart w:id="0" w:name="_Hlk142585138"/>
    </w:p>
    <w:p w14:paraId="72C7E4FA" w14:textId="79A844A7" w:rsidR="00A866C9" w:rsidRPr="00A866C9" w:rsidRDefault="00587596" w:rsidP="00B71B24">
      <w:pPr>
        <w:pStyle w:val="Prrafodelista"/>
        <w:numPr>
          <w:ilvl w:val="0"/>
          <w:numId w:val="4"/>
        </w:numPr>
        <w:spacing w:line="360" w:lineRule="auto"/>
        <w:jc w:val="both"/>
        <w:rPr>
          <w:rFonts w:ascii="Century Gothic" w:hAnsi="Century Gothic"/>
        </w:rPr>
      </w:pPr>
      <w:r w:rsidRPr="004B03F6">
        <w:rPr>
          <w:rFonts w:ascii="Century Gothic" w:hAnsi="Century Gothic"/>
          <w:b/>
          <w:bCs/>
        </w:rPr>
        <w:t>Daño emergente</w:t>
      </w:r>
      <w:r w:rsidR="00CA757D" w:rsidRPr="004B03F6">
        <w:rPr>
          <w:rFonts w:ascii="Century Gothic" w:hAnsi="Century Gothic"/>
          <w:b/>
          <w:bCs/>
        </w:rPr>
        <w:t xml:space="preserve">: </w:t>
      </w:r>
      <w:r w:rsidR="00A866C9">
        <w:rPr>
          <w:rFonts w:ascii="Century Gothic" w:hAnsi="Century Gothic"/>
          <w:b/>
          <w:bCs/>
        </w:rPr>
        <w:t>0</w:t>
      </w:r>
    </w:p>
    <w:p w14:paraId="125A7BE4" w14:textId="313253DC" w:rsidR="00CA757D" w:rsidRPr="004B03F6" w:rsidRDefault="00CA757D" w:rsidP="00A866C9">
      <w:pPr>
        <w:pStyle w:val="Prrafodelista"/>
        <w:spacing w:line="360" w:lineRule="auto"/>
        <w:jc w:val="both"/>
        <w:rPr>
          <w:rFonts w:ascii="Century Gothic" w:hAnsi="Century Gothic"/>
        </w:rPr>
      </w:pPr>
      <w:r w:rsidRPr="004B03F6">
        <w:rPr>
          <w:rFonts w:ascii="Century Gothic" w:hAnsi="Century Gothic"/>
        </w:rPr>
        <w:t xml:space="preserve">No se </w:t>
      </w:r>
      <w:r w:rsidR="00D472EF" w:rsidRPr="004B03F6">
        <w:rPr>
          <w:rFonts w:ascii="Century Gothic" w:hAnsi="Century Gothic"/>
        </w:rPr>
        <w:t>reconocerán valores por este concepto, en tanto la Corte Suprema de Justicia en Sala de Casación Civil, mediante Sentencia</w:t>
      </w:r>
      <w:r w:rsidR="00587596" w:rsidRPr="004B03F6">
        <w:rPr>
          <w:rFonts w:ascii="Century Gothic" w:hAnsi="Century Gothic"/>
        </w:rPr>
        <w:t xml:space="preserve"> </w:t>
      </w:r>
      <w:r w:rsidR="00587596" w:rsidRPr="004B03F6">
        <w:rPr>
          <w:rFonts w:ascii="Century Gothic" w:hAnsi="Century Gothic" w:cs="Arial"/>
        </w:rPr>
        <w:t>del 15 de febrero de 2018. MP Margarita Cabello Blanco. EXP: 2007-0299</w:t>
      </w:r>
      <w:r w:rsidR="00587596" w:rsidRPr="004B03F6">
        <w:rPr>
          <w:rFonts w:ascii="Century Gothic" w:hAnsi="Century Gothic"/>
        </w:rPr>
        <w:t>, ha establecido que dichos emolumentos deben acreditarse y no basarse en hipotéticos. Comoquiera que la parte demandante no acredita los daños en que ha tenido que incurrir, así como tampoco el daño futuro por el incierto estado del menor Bonilla Nieto, no existe lugar a su reconocimiento.</w:t>
      </w:r>
    </w:p>
    <w:p w14:paraId="4CCCFAA8" w14:textId="77777777" w:rsidR="009C7C02" w:rsidRPr="004B03F6" w:rsidRDefault="009C7C02" w:rsidP="009C7C02">
      <w:pPr>
        <w:pStyle w:val="Prrafodelista"/>
        <w:spacing w:line="360" w:lineRule="auto"/>
        <w:jc w:val="both"/>
        <w:rPr>
          <w:rFonts w:ascii="Century Gothic" w:hAnsi="Century Gothic"/>
        </w:rPr>
      </w:pPr>
    </w:p>
    <w:p w14:paraId="2FA34D62" w14:textId="77587307" w:rsidR="00A866C9" w:rsidRDefault="009C7C02" w:rsidP="00B71B24">
      <w:pPr>
        <w:pStyle w:val="Prrafodelista"/>
        <w:numPr>
          <w:ilvl w:val="0"/>
          <w:numId w:val="4"/>
        </w:numPr>
        <w:spacing w:line="360" w:lineRule="auto"/>
        <w:jc w:val="both"/>
        <w:rPr>
          <w:rFonts w:ascii="Century Gothic" w:hAnsi="Century Gothic"/>
        </w:rPr>
      </w:pPr>
      <w:r w:rsidRPr="00A866C9">
        <w:rPr>
          <w:rFonts w:ascii="Century Gothic" w:hAnsi="Century Gothic"/>
          <w:b/>
          <w:bCs/>
        </w:rPr>
        <w:t>Lucro cesante:</w:t>
      </w:r>
      <w:r w:rsidRPr="004B03F6">
        <w:rPr>
          <w:rFonts w:ascii="Century Gothic" w:hAnsi="Century Gothic"/>
        </w:rPr>
        <w:t xml:space="preserve"> </w:t>
      </w:r>
      <w:r w:rsidR="00A866C9">
        <w:rPr>
          <w:rFonts w:ascii="Century Gothic" w:hAnsi="Century Gothic"/>
        </w:rPr>
        <w:t>$</w:t>
      </w:r>
      <w:r w:rsidR="0031273C" w:rsidRPr="0059648E">
        <w:rPr>
          <w:rFonts w:ascii="Century Gothic" w:hAnsi="Century Gothic"/>
        </w:rPr>
        <w:t>259.853.529</w:t>
      </w:r>
    </w:p>
    <w:p w14:paraId="26DC721C" w14:textId="77777777" w:rsidR="00A866C9" w:rsidRPr="00A866C9" w:rsidRDefault="00A866C9" w:rsidP="00A866C9">
      <w:pPr>
        <w:pStyle w:val="Prrafodelista"/>
        <w:rPr>
          <w:rFonts w:ascii="Century Gothic" w:hAnsi="Century Gothic"/>
        </w:rPr>
      </w:pPr>
    </w:p>
    <w:p w14:paraId="632E403F" w14:textId="4130160E" w:rsidR="009C7C02" w:rsidRPr="004B03F6" w:rsidRDefault="009C7C02" w:rsidP="00A866C9">
      <w:pPr>
        <w:pStyle w:val="Prrafodelista"/>
        <w:spacing w:line="360" w:lineRule="auto"/>
        <w:jc w:val="both"/>
        <w:rPr>
          <w:rFonts w:ascii="Century Gothic" w:hAnsi="Century Gothic"/>
        </w:rPr>
      </w:pPr>
      <w:r w:rsidRPr="004B03F6">
        <w:rPr>
          <w:rFonts w:ascii="Century Gothic" w:hAnsi="Century Gothic"/>
        </w:rPr>
        <w:t xml:space="preserve">Se reconoce la suma de </w:t>
      </w:r>
      <w:r w:rsidR="0059648E" w:rsidRPr="0059648E">
        <w:rPr>
          <w:rFonts w:ascii="Century Gothic" w:hAnsi="Century Gothic"/>
        </w:rPr>
        <w:t>$259.853.529</w:t>
      </w:r>
      <w:r w:rsidR="0059648E">
        <w:rPr>
          <w:rFonts w:ascii="Century Gothic" w:hAnsi="Century Gothic"/>
        </w:rPr>
        <w:t xml:space="preserve"> </w:t>
      </w:r>
      <w:r w:rsidRPr="004B03F6">
        <w:rPr>
          <w:rFonts w:ascii="Century Gothic" w:hAnsi="Century Gothic"/>
        </w:rPr>
        <w:t>por concepto de Lucro Cesante futuro, el cual se reconoce desde el momento en que</w:t>
      </w:r>
      <w:r w:rsidR="00A866C9">
        <w:rPr>
          <w:rFonts w:ascii="Century Gothic" w:hAnsi="Century Gothic"/>
        </w:rPr>
        <w:t xml:space="preserve"> el menor</w:t>
      </w:r>
      <w:r w:rsidRPr="004B03F6">
        <w:rPr>
          <w:rFonts w:ascii="Century Gothic" w:hAnsi="Century Gothic"/>
        </w:rPr>
        <w:t xml:space="preserve"> cumpla los 18 años (11 de mayo de 2032) hasta su vida probable, la cual se cuenta en 61.9 años conforme la Resolución 1555 de 2010, teniendo como valor de cálculo la suma de 1 SMMLV.</w:t>
      </w:r>
    </w:p>
    <w:p w14:paraId="13C07217" w14:textId="77777777" w:rsidR="00CA757D" w:rsidRPr="004B03F6" w:rsidRDefault="00CA757D" w:rsidP="00CA757D">
      <w:pPr>
        <w:pStyle w:val="Prrafodelista"/>
        <w:spacing w:line="360" w:lineRule="auto"/>
        <w:jc w:val="both"/>
        <w:rPr>
          <w:rFonts w:ascii="Century Gothic" w:hAnsi="Century Gothic"/>
        </w:rPr>
      </w:pPr>
    </w:p>
    <w:p w14:paraId="4CDA6EE7" w14:textId="255168BB" w:rsidR="00A866C9" w:rsidRPr="00A866C9" w:rsidRDefault="004A2149" w:rsidP="00A866C9">
      <w:pPr>
        <w:pStyle w:val="Prrafodelista"/>
        <w:numPr>
          <w:ilvl w:val="0"/>
          <w:numId w:val="4"/>
        </w:numPr>
        <w:spacing w:line="360" w:lineRule="auto"/>
        <w:jc w:val="both"/>
        <w:rPr>
          <w:rFonts w:ascii="Century Gothic" w:hAnsi="Century Gothic"/>
        </w:rPr>
      </w:pPr>
      <w:r w:rsidRPr="004B03F6">
        <w:rPr>
          <w:rFonts w:ascii="Century Gothic" w:hAnsi="Century Gothic"/>
          <w:b/>
          <w:bCs/>
        </w:rPr>
        <w:t>Daño moral</w:t>
      </w:r>
      <w:r w:rsidR="0029437D" w:rsidRPr="004B03F6">
        <w:rPr>
          <w:rFonts w:ascii="Century Gothic" w:hAnsi="Century Gothic"/>
          <w:b/>
          <w:bCs/>
        </w:rPr>
        <w:t>:</w:t>
      </w:r>
      <w:r w:rsidR="0029437D" w:rsidRPr="004B03F6">
        <w:rPr>
          <w:rFonts w:ascii="Century Gothic" w:hAnsi="Century Gothic"/>
        </w:rPr>
        <w:t xml:space="preserve"> </w:t>
      </w:r>
      <w:r w:rsidR="00A866C9">
        <w:rPr>
          <w:rFonts w:ascii="Century Gothic" w:hAnsi="Century Gothic"/>
        </w:rPr>
        <w:t>$</w:t>
      </w:r>
      <w:r w:rsidR="0031273C">
        <w:rPr>
          <w:rFonts w:ascii="Century Gothic" w:hAnsi="Century Gothic"/>
        </w:rPr>
        <w:t>180.000.000</w:t>
      </w:r>
    </w:p>
    <w:p w14:paraId="7DFD7783" w14:textId="70430EE2" w:rsidR="00A866C9" w:rsidRDefault="00D472EF" w:rsidP="00A866C9">
      <w:pPr>
        <w:pStyle w:val="Prrafodelista"/>
        <w:spacing w:line="360" w:lineRule="auto"/>
        <w:jc w:val="both"/>
        <w:rPr>
          <w:rFonts w:ascii="Century Gothic" w:hAnsi="Century Gothic"/>
        </w:rPr>
      </w:pPr>
      <w:r w:rsidRPr="004B03F6">
        <w:rPr>
          <w:rFonts w:ascii="Century Gothic" w:hAnsi="Century Gothic"/>
        </w:rPr>
        <w:lastRenderedPageBreak/>
        <w:t>Se tomó como daño moral la suma de $6</w:t>
      </w:r>
      <w:r w:rsidR="00C93FC4" w:rsidRPr="004B03F6">
        <w:rPr>
          <w:rFonts w:ascii="Century Gothic" w:hAnsi="Century Gothic"/>
        </w:rPr>
        <w:t>0.000.000 para el menor JUAN JOSÉ BONILLA NIETO, $60.000.000 para la madre ANA JAHEL NIETO VARGAS  y $60.000.000 para el padre JORGE ALBERTO BONILLA GUTIÉRREZ, siguiendo el criterio jurisprudencial de la sentencia SC562-2020 M.P. Ariel Salazar Ramírez, que tasó a favor de menor de edad que sufrió ceguera en ambos ojos, debido a una retinopatía producida por nacimiento prematuro, pérdida de los órganos de la visión, por la extirpación de uno de sus globos oculares, retardo mental severo, parálisis de un lado del cuerpo, trastorno mixto del desarrollo con síntomas autistas, entre otras secuelas graves e irreversibles que le hacen absolutamente incapaz de valerse por sí misma. Considerando que el menor Bonilla sufre de una gran complejidad clínica, es pertinente reconocer esta suma de dinero.</w:t>
      </w:r>
    </w:p>
    <w:p w14:paraId="03801A98" w14:textId="77777777" w:rsidR="00A866C9" w:rsidRPr="00A866C9" w:rsidRDefault="00A866C9" w:rsidP="00A866C9">
      <w:pPr>
        <w:pStyle w:val="Prrafodelista"/>
        <w:spacing w:line="360" w:lineRule="auto"/>
        <w:jc w:val="both"/>
        <w:rPr>
          <w:rFonts w:ascii="Century Gothic" w:hAnsi="Century Gothic"/>
        </w:rPr>
      </w:pPr>
    </w:p>
    <w:p w14:paraId="72AE28B0" w14:textId="768C6600" w:rsidR="00A866C9" w:rsidRDefault="00B3609D" w:rsidP="00B3609D">
      <w:pPr>
        <w:pStyle w:val="Prrafodelista"/>
        <w:numPr>
          <w:ilvl w:val="0"/>
          <w:numId w:val="4"/>
        </w:numPr>
        <w:spacing w:line="360" w:lineRule="auto"/>
        <w:jc w:val="both"/>
        <w:rPr>
          <w:rFonts w:ascii="Century Gothic" w:hAnsi="Century Gothic"/>
        </w:rPr>
      </w:pPr>
      <w:r w:rsidRPr="004B03F6">
        <w:rPr>
          <w:rFonts w:ascii="Century Gothic" w:hAnsi="Century Gothic"/>
          <w:b/>
          <w:bCs/>
        </w:rPr>
        <w:t>Daño a la vida en relación:</w:t>
      </w:r>
      <w:r w:rsidRPr="004B03F6">
        <w:rPr>
          <w:rFonts w:ascii="Century Gothic" w:hAnsi="Century Gothic"/>
        </w:rPr>
        <w:t xml:space="preserve"> </w:t>
      </w:r>
      <w:r w:rsidR="00C93FC4" w:rsidRPr="004B03F6">
        <w:rPr>
          <w:rFonts w:ascii="Century Gothic" w:hAnsi="Century Gothic"/>
        </w:rPr>
        <w:t>$</w:t>
      </w:r>
      <w:r w:rsidR="0031273C">
        <w:rPr>
          <w:rFonts w:ascii="Century Gothic" w:hAnsi="Century Gothic"/>
        </w:rPr>
        <w:t>140</w:t>
      </w:r>
      <w:r w:rsidR="00C93FC4" w:rsidRPr="004B03F6">
        <w:rPr>
          <w:rFonts w:ascii="Century Gothic" w:hAnsi="Century Gothic"/>
        </w:rPr>
        <w:t xml:space="preserve">.000.000 </w:t>
      </w:r>
    </w:p>
    <w:p w14:paraId="4041A901" w14:textId="7EF3CF15" w:rsidR="0059648E" w:rsidRPr="004B03F6" w:rsidRDefault="00A866C9" w:rsidP="00A866C9">
      <w:pPr>
        <w:pStyle w:val="Prrafodelista"/>
        <w:spacing w:line="360" w:lineRule="auto"/>
        <w:jc w:val="both"/>
        <w:rPr>
          <w:rFonts w:ascii="Century Gothic" w:hAnsi="Century Gothic"/>
        </w:rPr>
      </w:pPr>
      <w:r w:rsidRPr="004B03F6">
        <w:rPr>
          <w:rFonts w:ascii="Century Gothic" w:hAnsi="Century Gothic"/>
        </w:rPr>
        <w:t xml:space="preserve">Se reconoce la suma </w:t>
      </w:r>
      <w:r w:rsidR="0031273C">
        <w:rPr>
          <w:rFonts w:ascii="Century Gothic" w:hAnsi="Century Gothic"/>
        </w:rPr>
        <w:t>de $60.000.000</w:t>
      </w:r>
      <w:r>
        <w:rPr>
          <w:rFonts w:ascii="Century Gothic" w:hAnsi="Century Gothic"/>
        </w:rPr>
        <w:t xml:space="preserve"> a favor del menor </w:t>
      </w:r>
      <w:r w:rsidR="00A207C1">
        <w:rPr>
          <w:rFonts w:ascii="Century Gothic" w:hAnsi="Century Gothic"/>
        </w:rPr>
        <w:t>Bonilla Nieto p</w:t>
      </w:r>
      <w:r w:rsidR="00C93FC4" w:rsidRPr="004B03F6">
        <w:rPr>
          <w:rFonts w:ascii="Century Gothic" w:hAnsi="Century Gothic"/>
        </w:rPr>
        <w:t xml:space="preserve">or cuanto las secuelas permanentes e irreversibles que sufrió alteraron sus condiciones </w:t>
      </w:r>
      <w:r w:rsidR="00C93FC4" w:rsidRPr="004B03F6">
        <w:rPr>
          <w:rFonts w:ascii="Century Gothic" w:hAnsi="Century Gothic"/>
          <w:lang w:val="es-MX"/>
        </w:rPr>
        <w:t>de existencia y su integridad psicofísica de manera que no podrá disfrutar debidamente de los años de infancia y adolescencia, ni mucho menos podrá realizar las actividades lúdicas y formativas que acostumbra a hacer un niño que goza de buena salud (</w:t>
      </w:r>
      <w:r w:rsidR="00C93FC4" w:rsidRPr="004B03F6">
        <w:rPr>
          <w:rFonts w:ascii="Century Gothic" w:hAnsi="Century Gothic"/>
        </w:rPr>
        <w:t>Sentencia SC562-2020 M.P. Ariel Salazar Ramírez)</w:t>
      </w:r>
      <w:r w:rsidR="0059648E">
        <w:rPr>
          <w:rFonts w:ascii="Century Gothic" w:hAnsi="Century Gothic"/>
        </w:rPr>
        <w:t xml:space="preserve">, así como se reconocerá la suma de </w:t>
      </w:r>
      <w:r w:rsidR="0059648E" w:rsidRPr="004B03F6">
        <w:rPr>
          <w:rFonts w:ascii="Century Gothic" w:hAnsi="Century Gothic"/>
        </w:rPr>
        <w:t>$</w:t>
      </w:r>
      <w:r w:rsidR="0059648E">
        <w:rPr>
          <w:rFonts w:ascii="Century Gothic" w:hAnsi="Century Gothic"/>
        </w:rPr>
        <w:t>4</w:t>
      </w:r>
      <w:r w:rsidR="0059648E" w:rsidRPr="004B03F6">
        <w:rPr>
          <w:rFonts w:ascii="Century Gothic" w:hAnsi="Century Gothic"/>
        </w:rPr>
        <w:t>0.000.000 para la madre ANA JAHEL NIETO VARGAS  y $</w:t>
      </w:r>
      <w:r w:rsidR="0059648E">
        <w:rPr>
          <w:rFonts w:ascii="Century Gothic" w:hAnsi="Century Gothic"/>
        </w:rPr>
        <w:t>4</w:t>
      </w:r>
      <w:r w:rsidR="0059648E" w:rsidRPr="004B03F6">
        <w:rPr>
          <w:rFonts w:ascii="Century Gothic" w:hAnsi="Century Gothic"/>
        </w:rPr>
        <w:t>0.000.000 para el padre JORGE ALBERTO BONILLA GUTIÉRREZ</w:t>
      </w:r>
      <w:r w:rsidR="0059648E">
        <w:rPr>
          <w:rFonts w:ascii="Century Gothic" w:hAnsi="Century Gothic"/>
        </w:rPr>
        <w:t xml:space="preserve">, toda vez que el delicado estado de salud de su hijo dificulta la cotidianidad de sus vidas ante las barreras que existen, por la permanente vigilancia y cuidado que requiere el menor. </w:t>
      </w:r>
    </w:p>
    <w:p w14:paraId="13A026AA" w14:textId="77777777" w:rsidR="00B3609D" w:rsidRPr="004B03F6" w:rsidRDefault="00B3609D" w:rsidP="00B3609D">
      <w:pPr>
        <w:pStyle w:val="Prrafodelista"/>
        <w:rPr>
          <w:rFonts w:ascii="Century Gothic" w:hAnsi="Century Gothic"/>
          <w:b/>
          <w:bCs/>
        </w:rPr>
      </w:pPr>
    </w:p>
    <w:p w14:paraId="4D25BCFB" w14:textId="24FCC9D8" w:rsidR="0059648E" w:rsidRDefault="00B92724" w:rsidP="0059648E">
      <w:pPr>
        <w:pStyle w:val="Prrafodelista"/>
        <w:numPr>
          <w:ilvl w:val="0"/>
          <w:numId w:val="4"/>
        </w:numPr>
        <w:spacing w:line="360" w:lineRule="auto"/>
        <w:jc w:val="both"/>
        <w:rPr>
          <w:rFonts w:ascii="Century Gothic" w:hAnsi="Century Gothic"/>
          <w:b/>
          <w:bCs/>
        </w:rPr>
      </w:pPr>
      <w:r w:rsidRPr="00B92724">
        <w:rPr>
          <w:rFonts w:ascii="Century Gothic" w:hAnsi="Century Gothic"/>
          <w:b/>
          <w:bCs/>
        </w:rPr>
        <w:t>Bienes convencionalmente protegidos:</w:t>
      </w:r>
      <w:r w:rsidR="0031273C">
        <w:rPr>
          <w:rFonts w:ascii="Century Gothic" w:hAnsi="Century Gothic"/>
          <w:b/>
          <w:bCs/>
        </w:rPr>
        <w:t xml:space="preserve"> </w:t>
      </w:r>
      <w:r w:rsidR="0031273C" w:rsidRPr="0031273C">
        <w:rPr>
          <w:rFonts w:ascii="Century Gothic" w:hAnsi="Century Gothic"/>
        </w:rPr>
        <w:t>$</w:t>
      </w:r>
      <w:r w:rsidR="0059648E" w:rsidRPr="0031273C">
        <w:rPr>
          <w:rFonts w:ascii="Century Gothic" w:hAnsi="Century Gothic"/>
        </w:rPr>
        <w:t>0</w:t>
      </w:r>
    </w:p>
    <w:p w14:paraId="559706E0" w14:textId="6E23FD42" w:rsidR="0059648E" w:rsidRPr="0059648E" w:rsidRDefault="0059648E" w:rsidP="0059648E">
      <w:pPr>
        <w:pStyle w:val="Prrafodelista"/>
        <w:spacing w:line="360" w:lineRule="auto"/>
        <w:rPr>
          <w:rFonts w:ascii="Century Gothic" w:hAnsi="Century Gothic"/>
        </w:rPr>
      </w:pPr>
      <w:r>
        <w:rPr>
          <w:rFonts w:ascii="Century Gothic" w:hAnsi="Century Gothic"/>
        </w:rPr>
        <w:t xml:space="preserve">No se reconoce valor por ese concepto, toda vez que en la demanda ya se incluyeron los mismos conceptos a través del daño a la vida en relación, que es la tipología de perjuicio donde se reconoce cualquier afectación </w:t>
      </w:r>
      <w:r>
        <w:rPr>
          <w:rFonts w:ascii="Century Gothic" w:hAnsi="Century Gothic"/>
        </w:rPr>
        <w:lastRenderedPageBreak/>
        <w:t xml:space="preserve">(Consejo de Estado, </w:t>
      </w:r>
      <w:r w:rsidRPr="0059648E">
        <w:rPr>
          <w:rFonts w:ascii="Century Gothic" w:hAnsi="Century Gothic"/>
        </w:rPr>
        <w:t>Sentencia de Unificación 00278 de 2014</w:t>
      </w:r>
      <w:r>
        <w:rPr>
          <w:rFonts w:ascii="Century Gothic" w:hAnsi="Century Gothic"/>
        </w:rPr>
        <w:t>.</w:t>
      </w:r>
      <w:r w:rsidR="0031273C">
        <w:rPr>
          <w:rFonts w:ascii="Century Gothic" w:hAnsi="Century Gothic"/>
        </w:rPr>
        <w:t xml:space="preserve"> C.P. Enrique Gil Botero)</w:t>
      </w:r>
    </w:p>
    <w:p w14:paraId="3D28AC25" w14:textId="61F9005C" w:rsidR="00B92724" w:rsidRPr="0031273C" w:rsidRDefault="0059648E" w:rsidP="0031273C">
      <w:pPr>
        <w:pStyle w:val="Prrafodelista"/>
        <w:spacing w:line="360" w:lineRule="auto"/>
        <w:jc w:val="both"/>
        <w:rPr>
          <w:rFonts w:ascii="Century Gothic" w:hAnsi="Century Gothic"/>
        </w:rPr>
      </w:pPr>
      <w:r>
        <w:rPr>
          <w:rFonts w:ascii="Century Gothic" w:hAnsi="Century Gothic"/>
        </w:rPr>
        <w:t xml:space="preserve"> </w:t>
      </w:r>
    </w:p>
    <w:p w14:paraId="7B6E7AC4" w14:textId="2A192469" w:rsidR="004A2149" w:rsidRPr="004B03F6" w:rsidRDefault="00777CB6" w:rsidP="00A47ECC">
      <w:pPr>
        <w:pStyle w:val="Prrafodelista"/>
        <w:numPr>
          <w:ilvl w:val="0"/>
          <w:numId w:val="4"/>
        </w:numPr>
        <w:spacing w:line="360" w:lineRule="auto"/>
        <w:jc w:val="both"/>
        <w:rPr>
          <w:rFonts w:ascii="Century Gothic" w:hAnsi="Century Gothic"/>
        </w:rPr>
      </w:pPr>
      <w:r w:rsidRPr="004B03F6">
        <w:rPr>
          <w:rFonts w:ascii="Century Gothic" w:hAnsi="Century Gothic"/>
          <w:b/>
          <w:bCs/>
        </w:rPr>
        <w:t xml:space="preserve">Deducible: </w:t>
      </w:r>
      <w:r w:rsidRPr="004B03F6">
        <w:rPr>
          <w:rFonts w:ascii="Century Gothic" w:hAnsi="Century Gothic"/>
        </w:rPr>
        <w:t>Teniendo en cuenta que el valor de las pretensiones objetiva</w:t>
      </w:r>
      <w:r w:rsidR="00B3609D" w:rsidRPr="004B03F6">
        <w:rPr>
          <w:rFonts w:ascii="Century Gothic" w:hAnsi="Century Gothic"/>
        </w:rPr>
        <w:t>s</w:t>
      </w:r>
      <w:r w:rsidRPr="004B03F6">
        <w:rPr>
          <w:rFonts w:ascii="Century Gothic" w:hAnsi="Century Gothic"/>
        </w:rPr>
        <w:t xml:space="preserve"> equivale a $</w:t>
      </w:r>
      <w:r w:rsidR="0031273C" w:rsidRPr="0031273C">
        <w:rPr>
          <w:rFonts w:ascii="Century Gothic" w:hAnsi="Century Gothic"/>
        </w:rPr>
        <w:t>579,853,529</w:t>
      </w:r>
      <w:r w:rsidRPr="004B03F6">
        <w:rPr>
          <w:rFonts w:ascii="Century Gothic" w:hAnsi="Century Gothic"/>
        </w:rPr>
        <w:t xml:space="preserve">, </w:t>
      </w:r>
      <w:r w:rsidR="004268F1" w:rsidRPr="004B03F6">
        <w:rPr>
          <w:rFonts w:ascii="Century Gothic" w:hAnsi="Century Gothic"/>
        </w:rPr>
        <w:t>a esta suma se le restara el valor de $</w:t>
      </w:r>
      <w:r w:rsidR="00D81C6B" w:rsidRPr="004B03F6">
        <w:rPr>
          <w:rFonts w:ascii="Century Gothic" w:hAnsi="Century Gothic"/>
        </w:rPr>
        <w:t>95</w:t>
      </w:r>
      <w:r w:rsidR="004268F1" w:rsidRPr="004B03F6">
        <w:rPr>
          <w:rFonts w:ascii="Century Gothic" w:hAnsi="Century Gothic"/>
        </w:rPr>
        <w:t>.</w:t>
      </w:r>
      <w:r w:rsidR="00D81C6B" w:rsidRPr="004B03F6">
        <w:rPr>
          <w:rFonts w:ascii="Century Gothic" w:hAnsi="Century Gothic"/>
        </w:rPr>
        <w:t>7</w:t>
      </w:r>
      <w:r w:rsidR="004268F1" w:rsidRPr="004B03F6">
        <w:rPr>
          <w:rFonts w:ascii="Century Gothic" w:hAnsi="Century Gothic"/>
        </w:rPr>
        <w:t>00.000, contemplado en la póliza como valor del deducible a cargo del asegurado</w:t>
      </w:r>
      <w:r w:rsidRPr="004B03F6">
        <w:rPr>
          <w:rFonts w:ascii="Century Gothic" w:hAnsi="Century Gothic"/>
        </w:rPr>
        <w:t>, por lo que la liquidación objetivada de los perjuicios equivale a $</w:t>
      </w:r>
      <w:r w:rsidR="0031273C" w:rsidRPr="0031273C">
        <w:rPr>
          <w:rFonts w:ascii="Century Gothic" w:hAnsi="Century Gothic"/>
        </w:rPr>
        <w:t>484,153,529</w:t>
      </w:r>
      <w:r w:rsidRPr="004B03F6">
        <w:rPr>
          <w:rFonts w:ascii="Century Gothic" w:hAnsi="Century Gothic"/>
        </w:rPr>
        <w:t>.</w:t>
      </w:r>
    </w:p>
    <w:bookmarkEnd w:id="0"/>
    <w:p w14:paraId="5066E994" w14:textId="77777777" w:rsidR="00FD07C5" w:rsidRPr="004B03F6" w:rsidRDefault="00906282" w:rsidP="00A47ECC">
      <w:pPr>
        <w:spacing w:line="360" w:lineRule="auto"/>
        <w:jc w:val="both"/>
        <w:rPr>
          <w:rFonts w:ascii="Century Gothic" w:hAnsi="Century Gothic"/>
        </w:rPr>
      </w:pPr>
      <w:r w:rsidRPr="004B03F6">
        <w:rPr>
          <w:rFonts w:ascii="Century Gothic" w:hAnsi="Century Gothic"/>
          <w:b/>
        </w:rPr>
        <w:t>Excepciones</w:t>
      </w:r>
      <w:r w:rsidRPr="004B03F6">
        <w:rPr>
          <w:rFonts w:ascii="Century Gothic" w:hAnsi="Century Gothic"/>
        </w:rPr>
        <w:t>:</w:t>
      </w:r>
    </w:p>
    <w:p w14:paraId="0DBFFA86" w14:textId="2550FF40" w:rsidR="00FD07C5" w:rsidRPr="004B03F6" w:rsidRDefault="00FD07C5" w:rsidP="00A47ECC">
      <w:pPr>
        <w:pStyle w:val="Prrafodelista"/>
        <w:numPr>
          <w:ilvl w:val="0"/>
          <w:numId w:val="5"/>
        </w:numPr>
        <w:spacing w:line="360" w:lineRule="auto"/>
        <w:jc w:val="both"/>
        <w:rPr>
          <w:rFonts w:ascii="Century Gothic" w:hAnsi="Century Gothic"/>
          <w:b/>
          <w:bCs/>
        </w:rPr>
      </w:pPr>
      <w:r w:rsidRPr="004B03F6">
        <w:rPr>
          <w:rFonts w:ascii="Century Gothic" w:hAnsi="Century Gothic"/>
          <w:b/>
          <w:bCs/>
        </w:rPr>
        <w:t xml:space="preserve">EXCEPCIONES DE FONDO FRENTE A LA DEMANDA: </w:t>
      </w:r>
    </w:p>
    <w:p w14:paraId="11FCB8AF" w14:textId="77777777" w:rsidR="00BF7F49" w:rsidRPr="004B03F6" w:rsidRDefault="00BF7F49" w:rsidP="00A47ECC">
      <w:pPr>
        <w:pStyle w:val="Prrafodelista"/>
        <w:numPr>
          <w:ilvl w:val="1"/>
          <w:numId w:val="5"/>
        </w:numPr>
        <w:spacing w:line="360" w:lineRule="auto"/>
        <w:jc w:val="both"/>
        <w:rPr>
          <w:rFonts w:ascii="Century Gothic" w:hAnsi="Century Gothic"/>
        </w:rPr>
      </w:pPr>
      <w:r w:rsidRPr="004B03F6">
        <w:rPr>
          <w:rFonts w:ascii="Century Gothic" w:hAnsi="Century Gothic"/>
        </w:rPr>
        <w:t>EXCEPCIONES PLANTEADAS POR QUIEN FORMULÓ EL LLAMAMIENTO EN GARANTÍA A MI REPRESENTADA.</w:t>
      </w:r>
    </w:p>
    <w:p w14:paraId="4DBD0FF1" w14:textId="5182AC88" w:rsidR="00BF7F49" w:rsidRPr="004B03F6" w:rsidRDefault="006723EA" w:rsidP="00A47ECC">
      <w:pPr>
        <w:pStyle w:val="Prrafodelista"/>
        <w:numPr>
          <w:ilvl w:val="1"/>
          <w:numId w:val="5"/>
        </w:numPr>
        <w:spacing w:line="360" w:lineRule="auto"/>
        <w:jc w:val="both"/>
        <w:rPr>
          <w:rFonts w:ascii="Century Gothic" w:hAnsi="Century Gothic"/>
        </w:rPr>
      </w:pPr>
      <w:r w:rsidRPr="004B03F6">
        <w:rPr>
          <w:rFonts w:ascii="Century Gothic" w:hAnsi="Century Gothic"/>
        </w:rPr>
        <w:t xml:space="preserve">INEXISTENCIA DE RESPONSABILIDAD </w:t>
      </w:r>
      <w:r w:rsidR="00FA477F" w:rsidRPr="004B03F6">
        <w:rPr>
          <w:rFonts w:ascii="Century Gothic" w:hAnsi="Century Gothic"/>
        </w:rPr>
        <w:t>DE LA CAJA DE COMPENSACIÓN FAMILIAR COMPENSAR – COMPENSAR E.P.S., COMO CONSECUENCIA DEL CUMPLIMIENTO DE LAS OBLIGACIONES LEGALES QUE LE CORRESPONDEN COMO ENTIDAD PROMOTORA DE SALUD.</w:t>
      </w:r>
    </w:p>
    <w:p w14:paraId="2E6C28C8" w14:textId="778545B3" w:rsidR="00BF7F49" w:rsidRPr="004B03F6" w:rsidRDefault="006723EA" w:rsidP="00A47ECC">
      <w:pPr>
        <w:pStyle w:val="Prrafodelista"/>
        <w:numPr>
          <w:ilvl w:val="1"/>
          <w:numId w:val="5"/>
        </w:numPr>
        <w:spacing w:line="360" w:lineRule="auto"/>
        <w:jc w:val="both"/>
        <w:rPr>
          <w:rFonts w:ascii="Century Gothic" w:hAnsi="Century Gothic"/>
        </w:rPr>
      </w:pPr>
      <w:r w:rsidRPr="004B03F6">
        <w:rPr>
          <w:rFonts w:ascii="Century Gothic" w:hAnsi="Century Gothic"/>
        </w:rPr>
        <w:t xml:space="preserve">INEXISTENCIA DE FALLA MÉDICA Y DE RESPONSABILIDAD COMO CONSECUENCIA DE LA </w:t>
      </w:r>
      <w:r w:rsidR="00FA477F" w:rsidRPr="004B03F6">
        <w:rPr>
          <w:rFonts w:ascii="Century Gothic" w:hAnsi="Century Gothic"/>
        </w:rPr>
        <w:t>PRESTACIÓN Y TRATAMIENTO ADECUADO, DILIGENTE, CUIDADOSO CARENTE DE CULPA Y REALIZADO POR EL EXTREMO PASIVO.</w:t>
      </w:r>
    </w:p>
    <w:p w14:paraId="6FD04364" w14:textId="5E9985E2" w:rsidR="006723EA" w:rsidRPr="004B03F6" w:rsidRDefault="006723EA" w:rsidP="00A47ECC">
      <w:pPr>
        <w:pStyle w:val="Prrafodelista"/>
        <w:numPr>
          <w:ilvl w:val="1"/>
          <w:numId w:val="5"/>
        </w:numPr>
        <w:spacing w:line="360" w:lineRule="auto"/>
        <w:jc w:val="both"/>
        <w:rPr>
          <w:rFonts w:ascii="Century Gothic" w:hAnsi="Century Gothic"/>
        </w:rPr>
      </w:pPr>
      <w:r w:rsidRPr="004B03F6">
        <w:rPr>
          <w:rFonts w:ascii="Century Gothic" w:hAnsi="Century Gothic"/>
        </w:rPr>
        <w:t xml:space="preserve">INEXISTENTE RELACIÓN DE CAUSALIDAD ENTRE EL DAÑO O PERJUICIO ALEGADO POR LA PARTE ACTORA Y LA ACTUACIÓN </w:t>
      </w:r>
      <w:r w:rsidR="00FA477F" w:rsidRPr="004B03F6">
        <w:rPr>
          <w:rFonts w:ascii="Century Gothic" w:hAnsi="Century Gothic"/>
        </w:rPr>
        <w:t>DEL EXTREMO PASIVO.</w:t>
      </w:r>
    </w:p>
    <w:p w14:paraId="5BA06C79" w14:textId="38F11ED3" w:rsidR="00FA477F" w:rsidRPr="004B03F6" w:rsidRDefault="00CA01DF" w:rsidP="00A47ECC">
      <w:pPr>
        <w:pStyle w:val="Prrafodelista"/>
        <w:numPr>
          <w:ilvl w:val="1"/>
          <w:numId w:val="5"/>
        </w:numPr>
        <w:spacing w:line="360" w:lineRule="auto"/>
        <w:jc w:val="both"/>
        <w:rPr>
          <w:rFonts w:ascii="Century Gothic" w:hAnsi="Century Gothic"/>
        </w:rPr>
      </w:pPr>
      <w:r w:rsidRPr="00CA01DF">
        <w:rPr>
          <w:rFonts w:ascii="Century Gothic" w:hAnsi="Century Gothic"/>
        </w:rPr>
        <w:t>INCUMPLIMIENTO DE LAS CARGAS QUE TRATA EL ARTICULO 167 DEL CÓDIGO GENERAL DEL PROCESO. NO SE ACREDITA QUE LA CONDICIÓN DEL MENOR BONILLA NIETO OBEDEZCA A LA ECLAMPSIA DE SU MADRE Y NACIMIENTO PREMATURO</w:t>
      </w:r>
      <w:r w:rsidR="00FA477F" w:rsidRPr="004B03F6">
        <w:rPr>
          <w:rFonts w:ascii="Century Gothic" w:hAnsi="Century Gothic"/>
        </w:rPr>
        <w:t>.</w:t>
      </w:r>
    </w:p>
    <w:p w14:paraId="74239DEF" w14:textId="1740842E" w:rsidR="006723EA" w:rsidRPr="004B03F6" w:rsidRDefault="00CA01DF" w:rsidP="00A47ECC">
      <w:pPr>
        <w:pStyle w:val="Prrafodelista"/>
        <w:numPr>
          <w:ilvl w:val="1"/>
          <w:numId w:val="5"/>
        </w:numPr>
        <w:spacing w:line="360" w:lineRule="auto"/>
        <w:jc w:val="both"/>
        <w:rPr>
          <w:rFonts w:ascii="Century Gothic" w:hAnsi="Century Gothic"/>
        </w:rPr>
      </w:pPr>
      <w:r w:rsidRPr="00CA01DF">
        <w:rPr>
          <w:rFonts w:ascii="Century Gothic" w:hAnsi="Century Gothic"/>
        </w:rPr>
        <w:t>IMPROCEDENCIA DEL RECONOCIMIENTO Y TASACIÓN EXCESVA DEL DAÑO EMERGENTE</w:t>
      </w:r>
      <w:r w:rsidR="006723EA" w:rsidRPr="004B03F6">
        <w:rPr>
          <w:rFonts w:ascii="Century Gothic" w:hAnsi="Century Gothic"/>
        </w:rPr>
        <w:t>.</w:t>
      </w:r>
    </w:p>
    <w:p w14:paraId="0E6EC8EB" w14:textId="3396C9B7" w:rsidR="00FA477F" w:rsidRPr="004B03F6" w:rsidRDefault="00CA01DF" w:rsidP="00A47ECC">
      <w:pPr>
        <w:pStyle w:val="Prrafodelista"/>
        <w:numPr>
          <w:ilvl w:val="1"/>
          <w:numId w:val="5"/>
        </w:numPr>
        <w:spacing w:line="360" w:lineRule="auto"/>
        <w:jc w:val="both"/>
        <w:rPr>
          <w:rFonts w:ascii="Century Gothic" w:hAnsi="Century Gothic"/>
        </w:rPr>
      </w:pPr>
      <w:r w:rsidRPr="00CA01DF">
        <w:rPr>
          <w:rFonts w:ascii="Century Gothic" w:hAnsi="Century Gothic"/>
        </w:rPr>
        <w:lastRenderedPageBreak/>
        <w:t>INEXISTENCIA DE PRUEBA E IMPROCEDENCIA DEL RECONOCIMIENTO DEL LUCRO CESANTE.</w:t>
      </w:r>
    </w:p>
    <w:p w14:paraId="06F53525" w14:textId="34AF6C37" w:rsidR="006723EA" w:rsidRPr="004B03F6" w:rsidRDefault="00CA01DF" w:rsidP="00A47ECC">
      <w:pPr>
        <w:pStyle w:val="Prrafodelista"/>
        <w:numPr>
          <w:ilvl w:val="1"/>
          <w:numId w:val="5"/>
        </w:numPr>
        <w:spacing w:line="360" w:lineRule="auto"/>
        <w:jc w:val="both"/>
        <w:rPr>
          <w:rFonts w:ascii="Century Gothic" w:hAnsi="Century Gothic"/>
        </w:rPr>
      </w:pPr>
      <w:r w:rsidRPr="00CA01DF">
        <w:rPr>
          <w:rFonts w:ascii="Century Gothic" w:hAnsi="Century Gothic"/>
        </w:rPr>
        <w:t>IMPROCEDENCIA DEL RECONOCIMIENTO Y TASACIÓN EXORBITANTE DEL DAÑO MORAL</w:t>
      </w:r>
      <w:r w:rsidR="006723EA" w:rsidRPr="004B03F6">
        <w:rPr>
          <w:rFonts w:ascii="Century Gothic" w:hAnsi="Century Gothic"/>
        </w:rPr>
        <w:t>.</w:t>
      </w:r>
    </w:p>
    <w:p w14:paraId="2534B4DC" w14:textId="6878E69E" w:rsidR="006723EA" w:rsidRPr="004B03F6" w:rsidRDefault="00CA01DF" w:rsidP="00A47ECC">
      <w:pPr>
        <w:pStyle w:val="Prrafodelista"/>
        <w:numPr>
          <w:ilvl w:val="1"/>
          <w:numId w:val="5"/>
        </w:numPr>
        <w:spacing w:line="360" w:lineRule="auto"/>
        <w:jc w:val="both"/>
        <w:rPr>
          <w:rFonts w:ascii="Century Gothic" w:hAnsi="Century Gothic"/>
        </w:rPr>
      </w:pPr>
      <w:r w:rsidRPr="00CA01DF">
        <w:rPr>
          <w:rFonts w:ascii="Century Gothic" w:hAnsi="Century Gothic"/>
        </w:rPr>
        <w:t>IMPROCEDENCIA DEL RECONOCIMIENTO DEL DAÑO A LA VIDA EN RELACIÓN.</w:t>
      </w:r>
    </w:p>
    <w:p w14:paraId="6C30C8D1" w14:textId="3DC502A5" w:rsidR="00BF7F49" w:rsidRDefault="00CA01DF" w:rsidP="00A47ECC">
      <w:pPr>
        <w:pStyle w:val="Prrafodelista"/>
        <w:numPr>
          <w:ilvl w:val="1"/>
          <w:numId w:val="5"/>
        </w:numPr>
        <w:spacing w:line="360" w:lineRule="auto"/>
        <w:jc w:val="both"/>
        <w:rPr>
          <w:rFonts w:ascii="Century Gothic" w:hAnsi="Century Gothic"/>
        </w:rPr>
      </w:pPr>
      <w:r w:rsidRPr="00CA01DF">
        <w:rPr>
          <w:rFonts w:ascii="Century Gothic" w:hAnsi="Century Gothic"/>
        </w:rPr>
        <w:t>IMPROCEDENCIA DE RECONOCIMIENTO DEL DAÑO A DERECHOS FUNDAMENTALES CONSTITUCIONALMENTE PROTEGIDOS.</w:t>
      </w:r>
    </w:p>
    <w:p w14:paraId="35349857" w14:textId="4D974B1F" w:rsidR="00CA01DF" w:rsidRPr="004B03F6" w:rsidRDefault="00CA01DF" w:rsidP="00A47ECC">
      <w:pPr>
        <w:pStyle w:val="Prrafodelista"/>
        <w:numPr>
          <w:ilvl w:val="1"/>
          <w:numId w:val="5"/>
        </w:numPr>
        <w:spacing w:line="360" w:lineRule="auto"/>
        <w:jc w:val="both"/>
        <w:rPr>
          <w:rFonts w:ascii="Century Gothic" w:hAnsi="Century Gothic"/>
        </w:rPr>
      </w:pPr>
      <w:r>
        <w:rPr>
          <w:rFonts w:ascii="Century Gothic" w:hAnsi="Century Gothic"/>
        </w:rPr>
        <w:t>GENÉRICA O INNOMINADA</w:t>
      </w:r>
    </w:p>
    <w:p w14:paraId="3AFC8E50" w14:textId="77777777" w:rsidR="00FD07C5" w:rsidRPr="004B03F6" w:rsidRDefault="00FD07C5" w:rsidP="00A47ECC">
      <w:pPr>
        <w:pStyle w:val="Prrafodelista"/>
        <w:spacing w:line="360" w:lineRule="auto"/>
        <w:ind w:left="1080"/>
        <w:jc w:val="both"/>
        <w:rPr>
          <w:rFonts w:ascii="Century Gothic" w:hAnsi="Century Gothic"/>
        </w:rPr>
      </w:pPr>
    </w:p>
    <w:p w14:paraId="594CF474" w14:textId="77777777" w:rsidR="00CA01DF" w:rsidRDefault="00FD07C5" w:rsidP="00CA01DF">
      <w:pPr>
        <w:pStyle w:val="Prrafodelista"/>
        <w:numPr>
          <w:ilvl w:val="0"/>
          <w:numId w:val="5"/>
        </w:numPr>
        <w:spacing w:line="360" w:lineRule="auto"/>
        <w:jc w:val="both"/>
        <w:rPr>
          <w:rFonts w:ascii="Century Gothic" w:hAnsi="Century Gothic"/>
          <w:b/>
          <w:bCs/>
        </w:rPr>
      </w:pPr>
      <w:r w:rsidRPr="004B03F6">
        <w:rPr>
          <w:rFonts w:ascii="Century Gothic" w:hAnsi="Century Gothic"/>
          <w:b/>
          <w:bCs/>
        </w:rPr>
        <w:t>EXCEPCIONES FRENTE AL LLAMAMIENTO EN GARANTÍA:</w:t>
      </w:r>
      <w:r w:rsidR="007F5E92" w:rsidRPr="004B03F6">
        <w:rPr>
          <w:rFonts w:ascii="Century Gothic" w:hAnsi="Century Gothic"/>
          <w:b/>
          <w:bCs/>
        </w:rPr>
        <w:t xml:space="preserve"> </w:t>
      </w:r>
    </w:p>
    <w:p w14:paraId="636E9D42" w14:textId="784AEC91" w:rsidR="00FA477F" w:rsidRPr="00CA01DF" w:rsidRDefault="00FA477F" w:rsidP="00CA01DF">
      <w:pPr>
        <w:pStyle w:val="Prrafodelista"/>
        <w:spacing w:line="360" w:lineRule="auto"/>
        <w:jc w:val="both"/>
        <w:rPr>
          <w:rFonts w:ascii="Century Gothic" w:hAnsi="Century Gothic"/>
          <w:b/>
          <w:bCs/>
        </w:rPr>
      </w:pPr>
    </w:p>
    <w:p w14:paraId="677BEB23" w14:textId="63309BF7" w:rsidR="00023CF4" w:rsidRPr="004B03F6" w:rsidRDefault="00023CF4" w:rsidP="00A47ECC">
      <w:pPr>
        <w:pStyle w:val="Prrafodelista"/>
        <w:numPr>
          <w:ilvl w:val="1"/>
          <w:numId w:val="5"/>
        </w:numPr>
        <w:spacing w:line="360" w:lineRule="auto"/>
        <w:jc w:val="both"/>
        <w:rPr>
          <w:rFonts w:ascii="Century Gothic" w:hAnsi="Century Gothic"/>
        </w:rPr>
      </w:pPr>
      <w:r w:rsidRPr="004B03F6">
        <w:rPr>
          <w:rFonts w:ascii="Century Gothic" w:hAnsi="Century Gothic"/>
        </w:rPr>
        <w:t xml:space="preserve">NO EXISTE OBLIGACIÓN INDEMNIZATORIA A CARGO DE LA EQUIDAD SEGUROS GENERALES O.C., TODA VEZ QUE NO SE HA REALIZADO EL RIESGO ASEGURADO EN LA PÓLIZA </w:t>
      </w:r>
      <w:r w:rsidR="00AE44A2" w:rsidRPr="004B03F6">
        <w:rPr>
          <w:rFonts w:ascii="Century Gothic" w:hAnsi="Century Gothic"/>
        </w:rPr>
        <w:t>AA198548</w:t>
      </w:r>
      <w:r w:rsidRPr="004B03F6">
        <w:rPr>
          <w:rFonts w:ascii="Century Gothic" w:hAnsi="Century Gothic"/>
        </w:rPr>
        <w:t>.</w:t>
      </w:r>
    </w:p>
    <w:p w14:paraId="17F87A2E" w14:textId="48B9AE64" w:rsidR="00023CF4" w:rsidRPr="004B03F6" w:rsidRDefault="00023CF4" w:rsidP="00A47ECC">
      <w:pPr>
        <w:pStyle w:val="Prrafodelista"/>
        <w:numPr>
          <w:ilvl w:val="1"/>
          <w:numId w:val="5"/>
        </w:numPr>
        <w:spacing w:line="360" w:lineRule="auto"/>
        <w:jc w:val="both"/>
        <w:rPr>
          <w:rFonts w:ascii="Century Gothic" w:hAnsi="Century Gothic"/>
        </w:rPr>
      </w:pPr>
      <w:r w:rsidRPr="004B03F6">
        <w:rPr>
          <w:rFonts w:ascii="Century Gothic" w:hAnsi="Century Gothic"/>
        </w:rPr>
        <w:t xml:space="preserve">RIESGOS EXPRESAMENTE EXCLUIDOS EN LA PÓLIZA DE SEGURO DE RESPONSABILIDAD CIVIL PROFESIONAL CLÍNICAS Y HOSPITALES No. </w:t>
      </w:r>
      <w:r w:rsidR="00AE44A2" w:rsidRPr="004B03F6">
        <w:rPr>
          <w:rFonts w:ascii="Century Gothic" w:hAnsi="Century Gothic"/>
        </w:rPr>
        <w:t>AA198548</w:t>
      </w:r>
      <w:r w:rsidRPr="004B03F6">
        <w:rPr>
          <w:rFonts w:ascii="Century Gothic" w:hAnsi="Century Gothic"/>
        </w:rPr>
        <w:t>.</w:t>
      </w:r>
    </w:p>
    <w:p w14:paraId="3273EFBC" w14:textId="77777777" w:rsidR="00023CF4" w:rsidRPr="004B03F6" w:rsidRDefault="00023CF4" w:rsidP="00A47ECC">
      <w:pPr>
        <w:pStyle w:val="Prrafodelista"/>
        <w:numPr>
          <w:ilvl w:val="1"/>
          <w:numId w:val="5"/>
        </w:numPr>
        <w:spacing w:line="360" w:lineRule="auto"/>
        <w:jc w:val="both"/>
        <w:rPr>
          <w:rFonts w:ascii="Century Gothic" w:hAnsi="Century Gothic"/>
        </w:rPr>
      </w:pPr>
      <w:r w:rsidRPr="004B03F6">
        <w:rPr>
          <w:rFonts w:ascii="Century Gothic" w:hAnsi="Century Gothic"/>
        </w:rPr>
        <w:t>SUJECIÓN A LAS CONDICIONES PARTICULARES Y GENERALES DEL CONTRATO DE SEGURO, EL CLAUSULADO Y LOS AMPAROS.</w:t>
      </w:r>
    </w:p>
    <w:p w14:paraId="24C0BB8B" w14:textId="77777777" w:rsidR="00023CF4" w:rsidRPr="004B03F6" w:rsidRDefault="00023CF4" w:rsidP="00A47ECC">
      <w:pPr>
        <w:pStyle w:val="Prrafodelista"/>
        <w:numPr>
          <w:ilvl w:val="1"/>
          <w:numId w:val="5"/>
        </w:numPr>
        <w:spacing w:line="360" w:lineRule="auto"/>
        <w:jc w:val="both"/>
        <w:rPr>
          <w:rFonts w:ascii="Century Gothic" w:hAnsi="Century Gothic"/>
        </w:rPr>
      </w:pPr>
      <w:r w:rsidRPr="004B03F6">
        <w:rPr>
          <w:rFonts w:ascii="Century Gothic" w:hAnsi="Century Gothic"/>
        </w:rPr>
        <w:t>CARÁCTER MERAMENTE INDEMNIZATORIO DE LOS CONTRATOS DE SEGURO.</w:t>
      </w:r>
    </w:p>
    <w:p w14:paraId="10E77879" w14:textId="77777777" w:rsidR="00023CF4" w:rsidRPr="004B03F6" w:rsidRDefault="00023CF4" w:rsidP="00A47ECC">
      <w:pPr>
        <w:pStyle w:val="Prrafodelista"/>
        <w:numPr>
          <w:ilvl w:val="1"/>
          <w:numId w:val="5"/>
        </w:numPr>
        <w:spacing w:line="360" w:lineRule="auto"/>
        <w:jc w:val="both"/>
        <w:rPr>
          <w:rFonts w:ascii="Century Gothic" w:hAnsi="Century Gothic"/>
        </w:rPr>
      </w:pPr>
      <w:r w:rsidRPr="004B03F6">
        <w:rPr>
          <w:rFonts w:ascii="Century Gothic" w:hAnsi="Century Gothic"/>
        </w:rPr>
        <w:t>DISPONIBILIDAD DEL VALOR ASEGURADO.</w:t>
      </w:r>
    </w:p>
    <w:p w14:paraId="1B057D8C" w14:textId="1664177C" w:rsidR="00023CF4" w:rsidRPr="004B03F6" w:rsidRDefault="00023CF4" w:rsidP="00A47ECC">
      <w:pPr>
        <w:pStyle w:val="Prrafodelista"/>
        <w:numPr>
          <w:ilvl w:val="1"/>
          <w:numId w:val="5"/>
        </w:numPr>
        <w:spacing w:line="360" w:lineRule="auto"/>
        <w:jc w:val="both"/>
        <w:rPr>
          <w:rFonts w:ascii="Century Gothic" w:hAnsi="Century Gothic"/>
        </w:rPr>
      </w:pPr>
      <w:r w:rsidRPr="004B03F6">
        <w:rPr>
          <w:rFonts w:ascii="Century Gothic" w:hAnsi="Century Gothic"/>
        </w:rPr>
        <w:t>EN CUALQUIER CASO, DE NINGUNA FORMA SE PODRÁ EXCEDER EL LÍMITE DEL VALOR ASEGURADO.</w:t>
      </w:r>
    </w:p>
    <w:p w14:paraId="5E033E99" w14:textId="77777777" w:rsidR="00AE44A2" w:rsidRDefault="00AE44A2" w:rsidP="00A47ECC">
      <w:pPr>
        <w:pStyle w:val="Prrafodelista"/>
        <w:numPr>
          <w:ilvl w:val="1"/>
          <w:numId w:val="5"/>
        </w:numPr>
        <w:spacing w:line="360" w:lineRule="auto"/>
        <w:jc w:val="both"/>
        <w:rPr>
          <w:rFonts w:ascii="Century Gothic" w:hAnsi="Century Gothic"/>
        </w:rPr>
      </w:pPr>
      <w:r w:rsidRPr="004B03F6">
        <w:rPr>
          <w:rFonts w:ascii="Century Gothic" w:hAnsi="Century Gothic"/>
        </w:rPr>
        <w:t>EN TODO CASO, DEBERÁ TENERSE EN CUENTA EL DEDUCIBLE PACTADO EN LA PÓLIZA DE SEGURO POR VALOR DE $95.700.000.</w:t>
      </w:r>
    </w:p>
    <w:p w14:paraId="717535BA" w14:textId="564DB7C0" w:rsidR="00CA01DF" w:rsidRPr="004B03F6" w:rsidRDefault="00CA01DF" w:rsidP="00A47ECC">
      <w:pPr>
        <w:pStyle w:val="Prrafodelista"/>
        <w:numPr>
          <w:ilvl w:val="1"/>
          <w:numId w:val="5"/>
        </w:numPr>
        <w:spacing w:line="360" w:lineRule="auto"/>
        <w:jc w:val="both"/>
        <w:rPr>
          <w:rFonts w:ascii="Century Gothic" w:hAnsi="Century Gothic"/>
        </w:rPr>
      </w:pPr>
      <w:r w:rsidRPr="00CA01DF">
        <w:rPr>
          <w:rFonts w:ascii="Century Gothic" w:hAnsi="Century Gothic"/>
        </w:rPr>
        <w:t>PRESCRIPCIÓN DE LA ACCIÓN DERIVADA DEL CONTRATO DE SEGURO</w:t>
      </w:r>
      <w:r>
        <w:rPr>
          <w:rFonts w:ascii="Century Gothic" w:hAnsi="Century Gothic"/>
        </w:rPr>
        <w:t>.</w:t>
      </w:r>
    </w:p>
    <w:p w14:paraId="7CD65A84" w14:textId="77777777" w:rsidR="00023CF4" w:rsidRPr="004B03F6" w:rsidRDefault="00023CF4" w:rsidP="00A47ECC">
      <w:pPr>
        <w:pStyle w:val="Prrafodelista"/>
        <w:numPr>
          <w:ilvl w:val="1"/>
          <w:numId w:val="5"/>
        </w:numPr>
        <w:spacing w:line="360" w:lineRule="auto"/>
        <w:jc w:val="both"/>
        <w:rPr>
          <w:rFonts w:ascii="Century Gothic" w:hAnsi="Century Gothic"/>
        </w:rPr>
      </w:pPr>
      <w:r w:rsidRPr="004B03F6">
        <w:rPr>
          <w:rFonts w:ascii="Century Gothic" w:hAnsi="Century Gothic"/>
        </w:rPr>
        <w:t>GENERICA O INNOMINADA Y OTRAS.</w:t>
      </w:r>
    </w:p>
    <w:p w14:paraId="035C3E82" w14:textId="0ADD799A" w:rsidR="00906282" w:rsidRPr="004B03F6" w:rsidRDefault="00906282" w:rsidP="00FD07C5">
      <w:pPr>
        <w:spacing w:line="360" w:lineRule="auto"/>
        <w:rPr>
          <w:rFonts w:ascii="Century Gothic" w:hAnsi="Century Gothic"/>
        </w:rPr>
      </w:pPr>
      <w:r w:rsidRPr="004B03F6">
        <w:rPr>
          <w:rFonts w:ascii="Century Gothic" w:hAnsi="Century Gothic"/>
          <w:b/>
        </w:rPr>
        <w:t>Siniestro</w:t>
      </w:r>
      <w:r w:rsidRPr="004B03F6">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CA01DF">
            <w:rPr>
              <w:rFonts w:ascii="Century Gothic" w:hAnsi="Century Gothic"/>
              <w:color w:val="000000"/>
              <w:shd w:val="clear" w:color="auto" w:fill="FFFFFF"/>
            </w:rPr>
            <w:t>PENDIENTE</w:t>
          </w:r>
        </w:sdtContent>
      </w:sdt>
    </w:p>
    <w:p w14:paraId="04D6BA07" w14:textId="42471D0A" w:rsidR="00906282" w:rsidRPr="004B03F6" w:rsidRDefault="00906282" w:rsidP="00877CAA">
      <w:pPr>
        <w:spacing w:line="360" w:lineRule="auto"/>
        <w:jc w:val="both"/>
        <w:rPr>
          <w:rFonts w:ascii="Century Gothic" w:hAnsi="Century Gothic"/>
        </w:rPr>
      </w:pPr>
      <w:r w:rsidRPr="004B03F6">
        <w:rPr>
          <w:rFonts w:ascii="Century Gothic" w:hAnsi="Century Gothic"/>
          <w:b/>
        </w:rPr>
        <w:lastRenderedPageBreak/>
        <w:t>Póliza</w:t>
      </w:r>
      <w:r w:rsidRPr="004B03F6">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A47ECC" w:rsidRPr="004B03F6">
            <w:rPr>
              <w:rStyle w:val="Estilo3"/>
              <w:b w:val="0"/>
              <w:bCs/>
            </w:rPr>
            <w:t>Póliza de Seguro Responsabilidad Civil Profesional Clínicas y Hospitales No. AA198548.</w:t>
          </w:r>
        </w:sdtContent>
      </w:sdt>
    </w:p>
    <w:p w14:paraId="3CAB45E1" w14:textId="530F189F" w:rsidR="00906282" w:rsidRPr="004B03F6" w:rsidRDefault="00906282" w:rsidP="00FD07C5">
      <w:pPr>
        <w:spacing w:line="360" w:lineRule="auto"/>
        <w:rPr>
          <w:rFonts w:ascii="Century Gothic" w:hAnsi="Century Gothic"/>
        </w:rPr>
      </w:pPr>
      <w:r w:rsidRPr="004B03F6">
        <w:rPr>
          <w:rFonts w:ascii="Century Gothic" w:hAnsi="Century Gothic"/>
          <w:b/>
        </w:rPr>
        <w:t>Vigencia Afectada</w:t>
      </w:r>
      <w:r w:rsidRPr="004B03F6">
        <w:rPr>
          <w:rFonts w:ascii="Century Gothic" w:hAnsi="Century Gothic"/>
        </w:rPr>
        <w:t xml:space="preserve">: </w:t>
      </w:r>
      <w:sdt>
        <w:sdtPr>
          <w:rPr>
            <w:rFonts w:ascii="Century Gothic" w:hAnsi="Century Gothic"/>
          </w:rPr>
          <w:id w:val="-878393758"/>
          <w:placeholder>
            <w:docPart w:val="0840BF8604D14C35874A893D390FBAE9"/>
          </w:placeholder>
          <w:date w:fullDate="2021-09-25T00:00:00Z">
            <w:dateFormat w:val="dd/MM/yyyy"/>
            <w:lid w:val="es-CO"/>
            <w:storeMappedDataAs w:val="dateTime"/>
            <w:calendar w:val="gregorian"/>
          </w:date>
        </w:sdtPr>
        <w:sdtContent>
          <w:r w:rsidR="00CA01DF">
            <w:rPr>
              <w:rFonts w:ascii="Century Gothic" w:hAnsi="Century Gothic"/>
            </w:rPr>
            <w:t>25</w:t>
          </w:r>
          <w:r w:rsidR="00FD07C5" w:rsidRPr="004B03F6">
            <w:rPr>
              <w:rFonts w:ascii="Century Gothic" w:hAnsi="Century Gothic"/>
            </w:rPr>
            <w:t>/0</w:t>
          </w:r>
          <w:r w:rsidR="00CA01DF">
            <w:rPr>
              <w:rFonts w:ascii="Century Gothic" w:hAnsi="Century Gothic"/>
            </w:rPr>
            <w:t>9</w:t>
          </w:r>
          <w:r w:rsidR="00FD07C5" w:rsidRPr="004B03F6">
            <w:rPr>
              <w:rFonts w:ascii="Century Gothic" w:hAnsi="Century Gothic"/>
            </w:rPr>
            <w:t>/20</w:t>
          </w:r>
          <w:r w:rsidR="00CA01DF">
            <w:rPr>
              <w:rFonts w:ascii="Century Gothic" w:hAnsi="Century Gothic"/>
            </w:rPr>
            <w:t>21</w:t>
          </w:r>
        </w:sdtContent>
      </w:sdt>
      <w:r w:rsidRPr="004B03F6">
        <w:rPr>
          <w:rFonts w:ascii="Century Gothic" w:hAnsi="Century Gothic"/>
        </w:rPr>
        <w:t xml:space="preserve"> al </w:t>
      </w:r>
      <w:sdt>
        <w:sdtPr>
          <w:rPr>
            <w:rFonts w:ascii="Century Gothic" w:hAnsi="Century Gothic"/>
          </w:rPr>
          <w:id w:val="-1195382093"/>
          <w:placeholder>
            <w:docPart w:val="0840BF8604D14C35874A893D390FBAE9"/>
          </w:placeholder>
          <w:date w:fullDate="2022-12-31T00:00:00Z">
            <w:dateFormat w:val="dd/MM/yyyy"/>
            <w:lid w:val="es-CO"/>
            <w:storeMappedDataAs w:val="dateTime"/>
            <w:calendar w:val="gregorian"/>
          </w:date>
        </w:sdtPr>
        <w:sdtContent>
          <w:r w:rsidR="00CA01DF">
            <w:rPr>
              <w:rFonts w:ascii="Century Gothic" w:hAnsi="Century Gothic"/>
            </w:rPr>
            <w:t>31/12/2022</w:t>
          </w:r>
        </w:sdtContent>
      </w:sdt>
    </w:p>
    <w:p w14:paraId="11A4B071" w14:textId="5750C0FB" w:rsidR="00906282" w:rsidRPr="004B03F6" w:rsidRDefault="00906282" w:rsidP="00906282">
      <w:pPr>
        <w:spacing w:line="360" w:lineRule="auto"/>
        <w:rPr>
          <w:rFonts w:ascii="Century Gothic" w:hAnsi="Century Gothic"/>
        </w:rPr>
      </w:pPr>
      <w:r w:rsidRPr="004B03F6">
        <w:rPr>
          <w:rFonts w:ascii="Century Gothic" w:hAnsi="Century Gothic"/>
          <w:b/>
        </w:rPr>
        <w:t>Ramo</w:t>
      </w:r>
      <w:r w:rsidRPr="004B03F6">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4B03F6">
            <w:rPr>
              <w:rStyle w:val="Estilo3"/>
              <w:b w:val="0"/>
              <w:bCs/>
            </w:rPr>
            <w:t>RC SALUD</w:t>
          </w:r>
        </w:sdtContent>
      </w:sdt>
    </w:p>
    <w:p w14:paraId="7611A182" w14:textId="6CFB5A62" w:rsidR="00906282" w:rsidRPr="004B03F6" w:rsidRDefault="00906282" w:rsidP="00906282">
      <w:pPr>
        <w:spacing w:line="360" w:lineRule="auto"/>
        <w:rPr>
          <w:rFonts w:ascii="Century Gothic" w:hAnsi="Century Gothic"/>
        </w:rPr>
      </w:pPr>
      <w:r w:rsidRPr="004B03F6">
        <w:rPr>
          <w:rFonts w:ascii="Century Gothic" w:hAnsi="Century Gothic"/>
          <w:b/>
        </w:rPr>
        <w:t>Agencia Expide</w:t>
      </w:r>
      <w:r w:rsidRPr="004B03F6">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4B03F6">
            <w:rPr>
              <w:rStyle w:val="Estilo3"/>
              <w:b w:val="0"/>
            </w:rPr>
            <w:t>100001 BOGOTA CALLE 100</w:t>
          </w:r>
        </w:sdtContent>
      </w:sdt>
    </w:p>
    <w:p w14:paraId="1D6DFCDA" w14:textId="0FEF688E" w:rsidR="00906282" w:rsidRPr="004B03F6" w:rsidRDefault="00906282" w:rsidP="00906282">
      <w:pPr>
        <w:spacing w:line="360" w:lineRule="auto"/>
        <w:rPr>
          <w:rFonts w:ascii="Century Gothic" w:hAnsi="Century Gothic"/>
        </w:rPr>
      </w:pPr>
      <w:r w:rsidRPr="004B03F6">
        <w:rPr>
          <w:rFonts w:ascii="Century Gothic" w:hAnsi="Century Gothic"/>
          <w:b/>
        </w:rPr>
        <w:t>Placa</w:t>
      </w:r>
      <w:r w:rsidRPr="004B03F6">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4B03F6">
            <w:rPr>
              <w:rStyle w:val="Estilo3"/>
              <w:b w:val="0"/>
              <w:bCs/>
            </w:rPr>
            <w:t>N/A</w:t>
          </w:r>
        </w:sdtContent>
      </w:sdt>
    </w:p>
    <w:p w14:paraId="1F89FE28" w14:textId="48851F27" w:rsidR="00906282" w:rsidRPr="004B03F6" w:rsidRDefault="00906282" w:rsidP="00906282">
      <w:pPr>
        <w:spacing w:line="360" w:lineRule="auto"/>
        <w:rPr>
          <w:rFonts w:ascii="Century Gothic" w:hAnsi="Century Gothic"/>
        </w:rPr>
      </w:pPr>
      <w:r w:rsidRPr="004B03F6">
        <w:rPr>
          <w:rFonts w:ascii="Century Gothic" w:hAnsi="Century Gothic"/>
          <w:b/>
        </w:rPr>
        <w:t>Valor Asegurado</w:t>
      </w:r>
      <w:r w:rsidRPr="004B03F6">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136A2" w:rsidRPr="004B03F6">
            <w:rPr>
              <w:rFonts w:ascii="Century Gothic" w:hAnsi="Century Gothic"/>
            </w:rPr>
            <w:t>$</w:t>
          </w:r>
          <w:r w:rsidR="006D5EBD" w:rsidRPr="004B03F6">
            <w:rPr>
              <w:rFonts w:ascii="Century Gothic" w:hAnsi="Century Gothic"/>
            </w:rPr>
            <w:t>2</w:t>
          </w:r>
          <w:r w:rsidR="002136A2" w:rsidRPr="004B03F6">
            <w:rPr>
              <w:rFonts w:ascii="Century Gothic" w:hAnsi="Century Gothic"/>
            </w:rPr>
            <w:t>.</w:t>
          </w:r>
          <w:r w:rsidR="006D5EBD" w:rsidRPr="004B03F6">
            <w:rPr>
              <w:rFonts w:ascii="Century Gothic" w:hAnsi="Century Gothic"/>
            </w:rPr>
            <w:t>0</w:t>
          </w:r>
          <w:r w:rsidR="00023CF4" w:rsidRPr="004B03F6">
            <w:rPr>
              <w:rFonts w:ascii="Century Gothic" w:hAnsi="Century Gothic"/>
            </w:rPr>
            <w:t>0</w:t>
          </w:r>
          <w:r w:rsidR="002136A2" w:rsidRPr="004B03F6">
            <w:rPr>
              <w:rFonts w:ascii="Century Gothic" w:hAnsi="Century Gothic"/>
            </w:rPr>
            <w:t>0.000.000</w:t>
          </w:r>
          <w:r w:rsidR="00970CC7" w:rsidRPr="004B03F6">
            <w:rPr>
              <w:rFonts w:ascii="Century Gothic" w:hAnsi="Century Gothic"/>
            </w:rPr>
            <w:t xml:space="preserve"> </w:t>
          </w:r>
        </w:sdtContent>
      </w:sdt>
    </w:p>
    <w:p w14:paraId="0BE7F889" w14:textId="10608D49" w:rsidR="00906282" w:rsidRPr="004B03F6" w:rsidRDefault="00906282" w:rsidP="00906282">
      <w:pPr>
        <w:spacing w:line="360" w:lineRule="auto"/>
        <w:rPr>
          <w:rFonts w:ascii="Century Gothic" w:hAnsi="Century Gothic"/>
        </w:rPr>
      </w:pPr>
      <w:r w:rsidRPr="004B03F6">
        <w:rPr>
          <w:rFonts w:ascii="Century Gothic" w:hAnsi="Century Gothic"/>
          <w:b/>
        </w:rPr>
        <w:t>Deducible</w:t>
      </w:r>
      <w:r w:rsidRPr="004B03F6">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4B03F6">
            <w:rPr>
              <w:rStyle w:val="Estilo3"/>
              <w:b w:val="0"/>
            </w:rPr>
            <w:t>1</w:t>
          </w:r>
          <w:r w:rsidR="00D81C6B" w:rsidRPr="004B03F6">
            <w:rPr>
              <w:rStyle w:val="Estilo3"/>
              <w:b w:val="0"/>
            </w:rPr>
            <w:t>2,5</w:t>
          </w:r>
          <w:r w:rsidRPr="004B03F6">
            <w:rPr>
              <w:rStyle w:val="Estilo3"/>
              <w:b w:val="0"/>
            </w:rPr>
            <w:t xml:space="preserve"> </w:t>
          </w:r>
        </w:sdtContent>
      </w:sdt>
      <w:r w:rsidRPr="004B03F6">
        <w:rPr>
          <w:rFonts w:ascii="Century Gothic" w:hAnsi="Century Gothic"/>
        </w:rPr>
        <w:t>%</w:t>
      </w:r>
      <w:r w:rsidR="002136A2" w:rsidRPr="004B03F6">
        <w:rPr>
          <w:rFonts w:ascii="Century Gothic" w:hAnsi="Century Gothic"/>
        </w:rPr>
        <w:t xml:space="preserve"> (Mínimo $</w:t>
      </w:r>
      <w:r w:rsidR="006D5EBD" w:rsidRPr="004B03F6">
        <w:rPr>
          <w:rFonts w:ascii="Century Gothic" w:hAnsi="Century Gothic"/>
        </w:rPr>
        <w:t>95.700.000</w:t>
      </w:r>
      <w:r w:rsidR="002136A2" w:rsidRPr="004B03F6">
        <w:rPr>
          <w:rFonts w:ascii="Century Gothic" w:hAnsi="Century Gothic"/>
        </w:rPr>
        <w:t>)</w:t>
      </w:r>
    </w:p>
    <w:p w14:paraId="5D36557E" w14:textId="089888CF" w:rsidR="00906282" w:rsidRPr="004B03F6" w:rsidRDefault="00906282" w:rsidP="00970CC7">
      <w:pPr>
        <w:spacing w:line="360" w:lineRule="auto"/>
        <w:jc w:val="both"/>
        <w:rPr>
          <w:rFonts w:ascii="Century Gothic" w:hAnsi="Century Gothic"/>
        </w:rPr>
      </w:pPr>
      <w:r w:rsidRPr="004B03F6">
        <w:rPr>
          <w:rFonts w:ascii="Century Gothic" w:hAnsi="Century Gothic"/>
          <w:b/>
        </w:rPr>
        <w:t>Exceso</w:t>
      </w:r>
      <w:r w:rsidRPr="004B03F6">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4B03F6">
            <w:rPr>
              <w:rStyle w:val="Estilo3"/>
              <w:b w:val="0"/>
            </w:rPr>
            <w:t>NO</w:t>
          </w:r>
        </w:sdtContent>
      </w:sdt>
    </w:p>
    <w:p w14:paraId="087AA5AF" w14:textId="19B595A3" w:rsidR="00906282" w:rsidRPr="004B03F6" w:rsidRDefault="00906282" w:rsidP="00906282">
      <w:pPr>
        <w:spacing w:line="360" w:lineRule="auto"/>
        <w:rPr>
          <w:rFonts w:ascii="Century Gothic" w:hAnsi="Century Gothic"/>
        </w:rPr>
      </w:pPr>
      <w:r w:rsidRPr="004B03F6">
        <w:rPr>
          <w:rFonts w:ascii="Century Gothic" w:hAnsi="Century Gothic"/>
          <w:b/>
        </w:rPr>
        <w:t>Contingencia</w:t>
      </w:r>
      <w:r w:rsidRPr="004B03F6">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AA0275" w:rsidRPr="004B03F6">
            <w:rPr>
              <w:rStyle w:val="Estilo3"/>
              <w:b w:val="0"/>
            </w:rPr>
            <w:t>REMOTA</w:t>
          </w:r>
        </w:sdtContent>
      </w:sdt>
    </w:p>
    <w:p w14:paraId="0D2479EB" w14:textId="24594271" w:rsidR="00906282" w:rsidRPr="004B03F6" w:rsidRDefault="00906282" w:rsidP="00906282">
      <w:pPr>
        <w:spacing w:line="360" w:lineRule="auto"/>
        <w:jc w:val="both"/>
        <w:rPr>
          <w:rFonts w:ascii="Century Gothic" w:hAnsi="Century Gothic"/>
        </w:rPr>
      </w:pPr>
      <w:r w:rsidRPr="004B03F6">
        <w:rPr>
          <w:rFonts w:ascii="Century Gothic" w:hAnsi="Century Gothic"/>
          <w:b/>
        </w:rPr>
        <w:t>Reserva sugerida</w:t>
      </w:r>
      <w:r w:rsidRPr="004B03F6">
        <w:rPr>
          <w:rFonts w:ascii="Century Gothic" w:hAnsi="Century Gothic"/>
        </w:rPr>
        <w:t>:</w:t>
      </w:r>
      <w:r w:rsidR="00AC00CB" w:rsidRPr="004B03F6">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D81C6B" w:rsidRPr="004B03F6">
            <w:rPr>
              <w:rFonts w:ascii="Century Gothic" w:hAnsi="Century Gothic"/>
            </w:rPr>
            <w:t>$64.300.000</w:t>
          </w:r>
        </w:sdtContent>
      </w:sdt>
    </w:p>
    <w:p w14:paraId="2B838E92" w14:textId="678D9598" w:rsidR="00E63391" w:rsidRPr="004B03F6" w:rsidRDefault="00906282" w:rsidP="00B84BF0">
      <w:pPr>
        <w:spacing w:line="360" w:lineRule="auto"/>
        <w:jc w:val="both"/>
        <w:rPr>
          <w:rFonts w:ascii="Century Gothic" w:hAnsi="Century Gothic"/>
          <w:bCs/>
        </w:rPr>
      </w:pPr>
      <w:r w:rsidRPr="004B03F6">
        <w:rPr>
          <w:rFonts w:ascii="Century Gothic" w:hAnsi="Century Gothic"/>
          <w:b/>
          <w:bCs/>
        </w:rPr>
        <w:t>Concepto del Apoderado designado para el caso</w:t>
      </w:r>
      <w:r w:rsidRPr="004B03F6">
        <w:rPr>
          <w:rFonts w:ascii="Century Gothic" w:hAnsi="Century Gothic"/>
          <w:bCs/>
        </w:rPr>
        <w:t xml:space="preserve">:  </w:t>
      </w:r>
      <w:r w:rsidR="002D381D" w:rsidRPr="004B03F6">
        <w:rPr>
          <w:rFonts w:ascii="Century Gothic" w:hAnsi="Century Gothic"/>
          <w:bCs/>
        </w:rPr>
        <w:t xml:space="preserve">La contingencia se califica como </w:t>
      </w:r>
      <w:r w:rsidR="00AA0275" w:rsidRPr="004B03F6">
        <w:rPr>
          <w:rFonts w:ascii="Century Gothic" w:hAnsi="Century Gothic"/>
          <w:bCs/>
        </w:rPr>
        <w:t>REMOTA</w:t>
      </w:r>
      <w:r w:rsidR="002D381D" w:rsidRPr="004B03F6">
        <w:rPr>
          <w:rFonts w:ascii="Century Gothic" w:hAnsi="Century Gothic"/>
          <w:bCs/>
        </w:rPr>
        <w:t xml:space="preserve">, </w:t>
      </w:r>
      <w:r w:rsidR="006D5EBD" w:rsidRPr="004B03F6">
        <w:rPr>
          <w:rFonts w:ascii="Century Gothic" w:hAnsi="Century Gothic"/>
          <w:bCs/>
        </w:rPr>
        <w:t xml:space="preserve">toda vez </w:t>
      </w:r>
      <w:r w:rsidR="00940514" w:rsidRPr="004B03F6">
        <w:rPr>
          <w:rFonts w:ascii="Century Gothic" w:hAnsi="Century Gothic"/>
          <w:bCs/>
        </w:rPr>
        <w:t>que,</w:t>
      </w:r>
      <w:r w:rsidR="006D5EBD" w:rsidRPr="004B03F6">
        <w:rPr>
          <w:rFonts w:ascii="Century Gothic" w:hAnsi="Century Gothic"/>
          <w:bCs/>
        </w:rPr>
        <w:t xml:space="preserve"> </w:t>
      </w:r>
      <w:r w:rsidR="00A207C1">
        <w:rPr>
          <w:rFonts w:ascii="Century Gothic" w:hAnsi="Century Gothic"/>
          <w:bCs/>
        </w:rPr>
        <w:t xml:space="preserve">aunque la póliza presta cobertura temporal y material la responsabilidad de la asegurada no se encuentra demostrada. </w:t>
      </w:r>
      <w:bookmarkStart w:id="1" w:name="_Hlk142487042"/>
    </w:p>
    <w:p w14:paraId="74CE458E" w14:textId="63636518" w:rsidR="00DB1B28" w:rsidRPr="004B03F6" w:rsidRDefault="00023CF4" w:rsidP="00B84BF0">
      <w:pPr>
        <w:spacing w:line="360" w:lineRule="auto"/>
        <w:jc w:val="both"/>
        <w:rPr>
          <w:rFonts w:ascii="Century Gothic" w:hAnsi="Century Gothic"/>
          <w:bCs/>
        </w:rPr>
      </w:pPr>
      <w:r w:rsidRPr="004B03F6">
        <w:rPr>
          <w:rFonts w:ascii="Century Gothic" w:hAnsi="Century Gothic"/>
          <w:bCs/>
        </w:rPr>
        <w:t xml:space="preserve">Lo primero que debe tomarse en consideración, es que la Póliza de Seguro de Responsabilidad Civil Profesional Clínicas y Hospitales No. </w:t>
      </w:r>
      <w:r w:rsidR="00B84BF0" w:rsidRPr="004B03F6">
        <w:rPr>
          <w:rStyle w:val="Estilo3"/>
          <w:b w:val="0"/>
          <w:bCs/>
        </w:rPr>
        <w:t>AA198548</w:t>
      </w:r>
      <w:r w:rsidRPr="004B03F6">
        <w:rPr>
          <w:rFonts w:ascii="Century Gothic" w:hAnsi="Century Gothic"/>
          <w:bCs/>
        </w:rPr>
        <w:t xml:space="preserve">, cuyos asegurados son </w:t>
      </w:r>
      <w:r w:rsidR="00B84BF0" w:rsidRPr="004B03F6">
        <w:rPr>
          <w:rFonts w:ascii="Century Gothic" w:hAnsi="Century Gothic"/>
          <w:bCs/>
        </w:rPr>
        <w:t>CAJA DE COMPENSACIÓN FAMILIAR Y/O CONSORCIO COMPENSAR Y/O FILIALES Y/O COMO SUS INTERESES APAREZCAN</w:t>
      </w:r>
      <w:r w:rsidRPr="004B03F6">
        <w:rPr>
          <w:rFonts w:ascii="Century Gothic" w:hAnsi="Century Gothic"/>
          <w:bCs/>
        </w:rPr>
        <w:t xml:space="preserve">, presta cobertura temporal y material, de conformidad con los hechos y pretensiones, expuestos en el líbelo de la demanda. Frente a la cobertura temporal, debe señalarse que se trata de una póliza contratada bajo la modalidad Claims Made, con fecha de retroactividad del </w:t>
      </w:r>
      <w:r w:rsidR="00616398" w:rsidRPr="004B03F6">
        <w:rPr>
          <w:rFonts w:ascii="Century Gothic" w:hAnsi="Century Gothic"/>
          <w:bCs/>
        </w:rPr>
        <w:t>30 de noviembre</w:t>
      </w:r>
      <w:r w:rsidRPr="004B03F6">
        <w:rPr>
          <w:rFonts w:ascii="Century Gothic" w:hAnsi="Century Gothic"/>
          <w:bCs/>
        </w:rPr>
        <w:t xml:space="preserve"> de 2006. Así las cosas, el hecho, esto es,</w:t>
      </w:r>
      <w:r w:rsidR="00A207C1">
        <w:rPr>
          <w:rFonts w:ascii="Century Gothic" w:hAnsi="Century Gothic"/>
          <w:bCs/>
        </w:rPr>
        <w:t xml:space="preserve"> la presunta atención médica deficiente de la gestante ocurrió el 7 y 8 de mayo de 2014</w:t>
      </w:r>
      <w:r w:rsidRPr="004B03F6">
        <w:rPr>
          <w:rFonts w:ascii="Century Gothic" w:hAnsi="Century Gothic"/>
          <w:bCs/>
        </w:rPr>
        <w:t xml:space="preserve">, es decir, durante el periodo de retroactividad comprendido en la póliza. Adicionalmente, la </w:t>
      </w:r>
      <w:r w:rsidR="00A207C1">
        <w:rPr>
          <w:rFonts w:ascii="Century Gothic" w:hAnsi="Century Gothic"/>
          <w:bCs/>
        </w:rPr>
        <w:t xml:space="preserve">primera </w:t>
      </w:r>
      <w:r w:rsidRPr="004B03F6">
        <w:rPr>
          <w:rFonts w:ascii="Century Gothic" w:hAnsi="Century Gothic"/>
          <w:bCs/>
        </w:rPr>
        <w:t xml:space="preserve">reclamación </w:t>
      </w:r>
      <w:r w:rsidR="00A207C1">
        <w:rPr>
          <w:rFonts w:ascii="Century Gothic" w:hAnsi="Century Gothic"/>
          <w:bCs/>
        </w:rPr>
        <w:t>al asegurado ocurrió</w:t>
      </w:r>
      <w:r w:rsidRPr="004B03F6">
        <w:rPr>
          <w:rFonts w:ascii="Century Gothic" w:hAnsi="Century Gothic"/>
          <w:bCs/>
        </w:rPr>
        <w:t xml:space="preserve"> </w:t>
      </w:r>
      <w:r w:rsidR="00A207C1" w:rsidRPr="004B03F6">
        <w:rPr>
          <w:rFonts w:ascii="Century Gothic" w:hAnsi="Century Gothic"/>
          <w:bCs/>
        </w:rPr>
        <w:t xml:space="preserve">el </w:t>
      </w:r>
      <w:r w:rsidR="00A207C1">
        <w:rPr>
          <w:rFonts w:ascii="Century Gothic" w:hAnsi="Century Gothic"/>
          <w:bCs/>
        </w:rPr>
        <w:t>30</w:t>
      </w:r>
      <w:r w:rsidR="00A207C1" w:rsidRPr="004B03F6">
        <w:rPr>
          <w:rFonts w:ascii="Century Gothic" w:hAnsi="Century Gothic"/>
          <w:bCs/>
        </w:rPr>
        <w:t xml:space="preserve"> de </w:t>
      </w:r>
      <w:r w:rsidR="00A207C1">
        <w:rPr>
          <w:rFonts w:ascii="Century Gothic" w:hAnsi="Century Gothic"/>
          <w:bCs/>
        </w:rPr>
        <w:t xml:space="preserve">septiembre </w:t>
      </w:r>
      <w:r w:rsidR="00A207C1" w:rsidRPr="004B03F6">
        <w:rPr>
          <w:rFonts w:ascii="Century Gothic" w:hAnsi="Century Gothic"/>
          <w:bCs/>
        </w:rPr>
        <w:t>de 202</w:t>
      </w:r>
      <w:r w:rsidR="00A207C1">
        <w:rPr>
          <w:rFonts w:ascii="Century Gothic" w:hAnsi="Century Gothic"/>
          <w:bCs/>
        </w:rPr>
        <w:t>1 cuando Compensar EPS recibió</w:t>
      </w:r>
      <w:r w:rsidRPr="004B03F6">
        <w:rPr>
          <w:rFonts w:ascii="Century Gothic" w:hAnsi="Century Gothic"/>
          <w:bCs/>
        </w:rPr>
        <w:t xml:space="preserve"> la </w:t>
      </w:r>
      <w:r w:rsidR="00A207C1">
        <w:rPr>
          <w:rFonts w:ascii="Century Gothic" w:hAnsi="Century Gothic"/>
          <w:bCs/>
        </w:rPr>
        <w:t xml:space="preserve">citación a la </w:t>
      </w:r>
      <w:r w:rsidRPr="004B03F6">
        <w:rPr>
          <w:rFonts w:ascii="Century Gothic" w:hAnsi="Century Gothic"/>
          <w:bCs/>
        </w:rPr>
        <w:t>audiencia de conciliación,</w:t>
      </w:r>
      <w:r w:rsidR="00A207C1">
        <w:rPr>
          <w:rFonts w:ascii="Century Gothic" w:hAnsi="Century Gothic"/>
          <w:bCs/>
        </w:rPr>
        <w:t xml:space="preserve"> </w:t>
      </w:r>
      <w:r w:rsidR="00A207C1">
        <w:rPr>
          <w:rFonts w:ascii="Century Gothic" w:hAnsi="Century Gothic"/>
          <w:bCs/>
        </w:rPr>
        <w:lastRenderedPageBreak/>
        <w:t>fecha que se enmarca</w:t>
      </w:r>
      <w:r w:rsidRPr="004B03F6">
        <w:rPr>
          <w:rFonts w:ascii="Century Gothic" w:hAnsi="Century Gothic"/>
          <w:bCs/>
        </w:rPr>
        <w:t xml:space="preserve"> </w:t>
      </w:r>
      <w:r w:rsidR="00A207C1">
        <w:rPr>
          <w:rFonts w:ascii="Century Gothic" w:hAnsi="Century Gothic"/>
          <w:bCs/>
        </w:rPr>
        <w:t>en la</w:t>
      </w:r>
      <w:r w:rsidRPr="004B03F6">
        <w:rPr>
          <w:rFonts w:ascii="Century Gothic" w:hAnsi="Century Gothic"/>
          <w:bCs/>
        </w:rPr>
        <w:t xml:space="preserve"> vigencia comprendida entre el </w:t>
      </w:r>
      <w:r w:rsidR="00CA01DF">
        <w:rPr>
          <w:rFonts w:ascii="Century Gothic" w:hAnsi="Century Gothic"/>
          <w:bCs/>
        </w:rPr>
        <w:t>25</w:t>
      </w:r>
      <w:r w:rsidR="00F748A7" w:rsidRPr="004B03F6">
        <w:rPr>
          <w:rFonts w:ascii="Century Gothic" w:hAnsi="Century Gothic"/>
          <w:bCs/>
        </w:rPr>
        <w:t xml:space="preserve"> de </w:t>
      </w:r>
      <w:r w:rsidR="00CA01DF">
        <w:rPr>
          <w:rFonts w:ascii="Century Gothic" w:hAnsi="Century Gothic"/>
          <w:bCs/>
        </w:rPr>
        <w:t xml:space="preserve">septiembre de </w:t>
      </w:r>
      <w:r w:rsidR="00F748A7" w:rsidRPr="004B03F6">
        <w:rPr>
          <w:rFonts w:ascii="Century Gothic" w:hAnsi="Century Gothic"/>
          <w:bCs/>
        </w:rPr>
        <w:t>20</w:t>
      </w:r>
      <w:r w:rsidR="00CA01DF">
        <w:rPr>
          <w:rFonts w:ascii="Century Gothic" w:hAnsi="Century Gothic"/>
          <w:bCs/>
        </w:rPr>
        <w:t>21</w:t>
      </w:r>
      <w:r w:rsidRPr="004B03F6">
        <w:rPr>
          <w:rFonts w:ascii="Century Gothic" w:hAnsi="Century Gothic"/>
          <w:bCs/>
        </w:rPr>
        <w:t xml:space="preserve"> y el </w:t>
      </w:r>
      <w:r w:rsidR="00CA01DF">
        <w:rPr>
          <w:rFonts w:ascii="Century Gothic" w:hAnsi="Century Gothic"/>
          <w:bCs/>
        </w:rPr>
        <w:t>31</w:t>
      </w:r>
      <w:r w:rsidR="00F748A7" w:rsidRPr="004B03F6">
        <w:rPr>
          <w:rFonts w:ascii="Century Gothic" w:hAnsi="Century Gothic"/>
          <w:bCs/>
        </w:rPr>
        <w:t xml:space="preserve"> de </w:t>
      </w:r>
      <w:r w:rsidR="00CA01DF">
        <w:rPr>
          <w:rFonts w:ascii="Century Gothic" w:hAnsi="Century Gothic"/>
          <w:bCs/>
        </w:rPr>
        <w:t xml:space="preserve">diciembre </w:t>
      </w:r>
      <w:r w:rsidR="00F748A7" w:rsidRPr="004B03F6">
        <w:rPr>
          <w:rFonts w:ascii="Century Gothic" w:hAnsi="Century Gothic"/>
          <w:bCs/>
        </w:rPr>
        <w:t>de 202</w:t>
      </w:r>
      <w:r w:rsidR="00CA01DF">
        <w:rPr>
          <w:rFonts w:ascii="Century Gothic" w:hAnsi="Century Gothic"/>
          <w:bCs/>
        </w:rPr>
        <w:t>2</w:t>
      </w:r>
      <w:r w:rsidRPr="004B03F6">
        <w:rPr>
          <w:rFonts w:ascii="Century Gothic" w:hAnsi="Century Gothic"/>
          <w:bCs/>
        </w:rPr>
        <w:t>. Aunado a ello, presta cobertura material en tanto ampara la responsabilidad civil profesional médica, pretensión que se le endilga al asegurado.</w:t>
      </w:r>
    </w:p>
    <w:p w14:paraId="3C34D1D3" w14:textId="07B1480B" w:rsidR="007B524E" w:rsidRPr="004B03F6" w:rsidRDefault="00AA0275" w:rsidP="00072E80">
      <w:pPr>
        <w:spacing w:line="360" w:lineRule="auto"/>
        <w:jc w:val="both"/>
        <w:rPr>
          <w:rFonts w:ascii="Century Gothic" w:hAnsi="Century Gothic"/>
          <w:bCs/>
        </w:rPr>
      </w:pPr>
      <w:r w:rsidRPr="004B03F6">
        <w:rPr>
          <w:rFonts w:ascii="Century Gothic" w:hAnsi="Century Gothic"/>
          <w:bCs/>
        </w:rPr>
        <w:t xml:space="preserve">Por otro lado, frente a la responsabilidad del asegurado, debe decirse que existen elementos de prueba que deberán ser valorados por el juez a fin de determinar si hubo o no responsabilidad </w:t>
      </w:r>
      <w:r w:rsidR="00E10DCE">
        <w:rPr>
          <w:rFonts w:ascii="Century Gothic" w:hAnsi="Century Gothic"/>
          <w:bCs/>
        </w:rPr>
        <w:t>médica</w:t>
      </w:r>
      <w:r w:rsidRPr="004B03F6">
        <w:rPr>
          <w:rFonts w:ascii="Century Gothic" w:hAnsi="Century Gothic"/>
          <w:bCs/>
        </w:rPr>
        <w:t xml:space="preserve"> de la </w:t>
      </w:r>
      <w:r w:rsidR="00CA01DF">
        <w:rPr>
          <w:rFonts w:ascii="Century Gothic" w:hAnsi="Century Gothic"/>
          <w:bCs/>
        </w:rPr>
        <w:t xml:space="preserve">CRUZ ROJA COLOMBIANA, </w:t>
      </w:r>
      <w:r w:rsidR="00A207C1">
        <w:rPr>
          <w:rFonts w:ascii="Century Gothic" w:hAnsi="Century Gothic"/>
          <w:bCs/>
        </w:rPr>
        <w:t xml:space="preserve">como institución prestadora de servicios adscrita a la red de </w:t>
      </w:r>
      <w:r w:rsidRPr="004B03F6">
        <w:rPr>
          <w:rFonts w:ascii="Century Gothic" w:hAnsi="Century Gothic"/>
          <w:bCs/>
        </w:rPr>
        <w:t>COMPENSAR E.P.S.</w:t>
      </w:r>
      <w:r w:rsidR="00A207C1">
        <w:rPr>
          <w:rFonts w:ascii="Century Gothic" w:hAnsi="Century Gothic"/>
          <w:bCs/>
        </w:rPr>
        <w:t xml:space="preserve">, lo anterior porque aunque se indica que la señora Ana Nieto tenía síntomas de preclamsia para el 7 y 8 de mayo de 2014 cuando acudió por atención médica que no fue tratada y evolucionó una eclampsia para el 11 de mayo siguiente, lo que conllevó a ser sometida a una cesárea en un estado del feto muy prematuro, de todas maneras </w:t>
      </w:r>
      <w:r w:rsidRPr="004B03F6">
        <w:rPr>
          <w:rFonts w:ascii="Century Gothic" w:hAnsi="Century Gothic"/>
          <w:bCs/>
        </w:rPr>
        <w:t>debe</w:t>
      </w:r>
      <w:r w:rsidR="00A207C1">
        <w:rPr>
          <w:rFonts w:ascii="Century Gothic" w:hAnsi="Century Gothic"/>
          <w:bCs/>
        </w:rPr>
        <w:t xml:space="preserve"> </w:t>
      </w:r>
      <w:r w:rsidRPr="004B03F6">
        <w:rPr>
          <w:rFonts w:ascii="Century Gothic" w:hAnsi="Century Gothic"/>
          <w:bCs/>
        </w:rPr>
        <w:t xml:space="preserve">tenerse en cuenta que, </w:t>
      </w:r>
      <w:r w:rsidR="00A207C1">
        <w:rPr>
          <w:rFonts w:ascii="Century Gothic" w:hAnsi="Century Gothic"/>
          <w:bCs/>
        </w:rPr>
        <w:t>en esta instancia no está acreditada la</w:t>
      </w:r>
      <w:r w:rsidR="00A10CBF" w:rsidRPr="004B03F6">
        <w:rPr>
          <w:rFonts w:ascii="Century Gothic" w:hAnsi="Century Gothic"/>
          <w:bCs/>
        </w:rPr>
        <w:t xml:space="preserve"> relación causa – efecto entre </w:t>
      </w:r>
      <w:r w:rsidR="00E10DCE">
        <w:rPr>
          <w:rFonts w:ascii="Century Gothic" w:hAnsi="Century Gothic"/>
          <w:bCs/>
        </w:rPr>
        <w:t>la falta de</w:t>
      </w:r>
      <w:r w:rsidR="00A10CBF" w:rsidRPr="004B03F6">
        <w:rPr>
          <w:rFonts w:ascii="Century Gothic" w:hAnsi="Century Gothic"/>
          <w:bCs/>
        </w:rPr>
        <w:t xml:space="preserve"> diagnóstico de </w:t>
      </w:r>
      <w:r w:rsidR="00E10DCE">
        <w:rPr>
          <w:rFonts w:ascii="Century Gothic" w:hAnsi="Century Gothic"/>
          <w:bCs/>
        </w:rPr>
        <w:t>preeclampsia</w:t>
      </w:r>
      <w:r w:rsidR="00A207C1">
        <w:rPr>
          <w:rFonts w:ascii="Century Gothic" w:hAnsi="Century Gothic"/>
          <w:bCs/>
        </w:rPr>
        <w:t xml:space="preserve">, </w:t>
      </w:r>
      <w:r w:rsidR="00E10DCE">
        <w:rPr>
          <w:rFonts w:ascii="Century Gothic" w:hAnsi="Century Gothic"/>
          <w:bCs/>
        </w:rPr>
        <w:t>el nacimiento prematuro del menor</w:t>
      </w:r>
      <w:r w:rsidR="00A10CBF" w:rsidRPr="004B03F6">
        <w:rPr>
          <w:rFonts w:ascii="Century Gothic" w:hAnsi="Century Gothic"/>
          <w:bCs/>
        </w:rPr>
        <w:t>,</w:t>
      </w:r>
      <w:r w:rsidR="00A207C1">
        <w:rPr>
          <w:rFonts w:ascii="Century Gothic" w:hAnsi="Century Gothic"/>
          <w:bCs/>
        </w:rPr>
        <w:t xml:space="preserve"> y el deficiente desarrollo del menor Juan José Bonilla, pues</w:t>
      </w:r>
      <w:r w:rsidR="00A10CBF" w:rsidRPr="004B03F6">
        <w:rPr>
          <w:rFonts w:ascii="Century Gothic" w:hAnsi="Century Gothic"/>
          <w:bCs/>
        </w:rPr>
        <w:t xml:space="preserve"> lo cierto es que </w:t>
      </w:r>
      <w:r w:rsidR="00E10DCE">
        <w:rPr>
          <w:rFonts w:ascii="Century Gothic" w:hAnsi="Century Gothic"/>
          <w:bCs/>
        </w:rPr>
        <w:t>la madre</w:t>
      </w:r>
      <w:r w:rsidR="00A10CBF" w:rsidRPr="004B03F6">
        <w:rPr>
          <w:rFonts w:ascii="Century Gothic" w:hAnsi="Century Gothic"/>
          <w:bCs/>
        </w:rPr>
        <w:t xml:space="preserve"> ingresó al centro médico</w:t>
      </w:r>
      <w:r w:rsidR="00A207C1">
        <w:rPr>
          <w:rFonts w:ascii="Century Gothic" w:hAnsi="Century Gothic"/>
          <w:bCs/>
        </w:rPr>
        <w:t xml:space="preserve"> cuando </w:t>
      </w:r>
      <w:r w:rsidR="00A10CBF" w:rsidRPr="004B03F6">
        <w:rPr>
          <w:rFonts w:ascii="Century Gothic" w:hAnsi="Century Gothic"/>
          <w:bCs/>
        </w:rPr>
        <w:t xml:space="preserve">presentaba un cuadro clínico inespecífico </w:t>
      </w:r>
      <w:r w:rsidR="00E10DCE">
        <w:rPr>
          <w:rFonts w:ascii="Century Gothic" w:hAnsi="Century Gothic"/>
          <w:bCs/>
        </w:rPr>
        <w:t>poco</w:t>
      </w:r>
      <w:r w:rsidR="00A10CBF" w:rsidRPr="004B03F6">
        <w:rPr>
          <w:rFonts w:ascii="Century Gothic" w:hAnsi="Century Gothic"/>
          <w:bCs/>
        </w:rPr>
        <w:t xml:space="preserve"> compatible con el diagnóstico de </w:t>
      </w:r>
      <w:r w:rsidR="00E10DCE">
        <w:rPr>
          <w:rFonts w:ascii="Century Gothic" w:hAnsi="Century Gothic"/>
          <w:bCs/>
        </w:rPr>
        <w:t>preeclampsia</w:t>
      </w:r>
      <w:bookmarkStart w:id="2" w:name="_Hlk142585491"/>
      <w:r w:rsidR="00A207C1">
        <w:rPr>
          <w:rFonts w:ascii="Century Gothic" w:hAnsi="Century Gothic"/>
          <w:bCs/>
        </w:rPr>
        <w:t xml:space="preserve">, </w:t>
      </w:r>
      <w:r w:rsidR="00CB1F95">
        <w:rPr>
          <w:rFonts w:ascii="Century Gothic" w:hAnsi="Century Gothic"/>
          <w:bCs/>
        </w:rPr>
        <w:t>además proceder a desembarazar a la paciente es</w:t>
      </w:r>
      <w:r w:rsidR="00A207C1">
        <w:rPr>
          <w:rFonts w:ascii="Century Gothic" w:hAnsi="Century Gothic"/>
          <w:bCs/>
        </w:rPr>
        <w:t xml:space="preserve"> la pr</w:t>
      </w:r>
      <w:r w:rsidR="00CB1F95">
        <w:rPr>
          <w:rFonts w:ascii="Century Gothic" w:hAnsi="Century Gothic"/>
          <w:bCs/>
        </w:rPr>
        <w:t>á</w:t>
      </w:r>
      <w:r w:rsidR="00A207C1">
        <w:rPr>
          <w:rFonts w:ascii="Century Gothic" w:hAnsi="Century Gothic"/>
          <w:bCs/>
        </w:rPr>
        <w:t xml:space="preserve">ctica </w:t>
      </w:r>
      <w:r w:rsidR="00CB1F95">
        <w:rPr>
          <w:rFonts w:ascii="Century Gothic" w:hAnsi="Century Gothic"/>
          <w:bCs/>
        </w:rPr>
        <w:t xml:space="preserve">adecuada para tratar la eclampsia y </w:t>
      </w:r>
      <w:r w:rsidR="00940514">
        <w:rPr>
          <w:rFonts w:ascii="Century Gothic" w:hAnsi="Century Gothic"/>
          <w:bCs/>
        </w:rPr>
        <w:t>sobre todo</w:t>
      </w:r>
      <w:r w:rsidR="00CB1F95">
        <w:rPr>
          <w:rFonts w:ascii="Century Gothic" w:hAnsi="Century Gothic"/>
          <w:bCs/>
        </w:rPr>
        <w:t xml:space="preserve"> que existe un concepto medico aportado por la asegurada en donde se especifica que el desafortunado estado de salud del menor </w:t>
      </w:r>
      <w:r w:rsidR="00CB1F95" w:rsidRPr="00CB1F95">
        <w:rPr>
          <w:rFonts w:ascii="Century Gothic" w:hAnsi="Century Gothic"/>
          <w:bCs/>
        </w:rPr>
        <w:t>no guarda nexo causal con el nacimiento prematuro pues aquel presenta lisencefalia, fenotipo inusual, agenesia de cuerpo calloso, todas estas particularidades están relacionadas con una malformación de origen congénita</w:t>
      </w:r>
      <w:r w:rsidR="00CB1F95">
        <w:rPr>
          <w:rFonts w:ascii="Century Gothic" w:hAnsi="Century Gothic"/>
          <w:bCs/>
        </w:rPr>
        <w:t>, luego no es posible tribuir responsabilidad al asegurado por afecciones propias del feto que no fueron causadas por su nacimiento prematuro y la eclampsia que sufrió la madre.</w:t>
      </w:r>
    </w:p>
    <w:bookmarkEnd w:id="2"/>
    <w:p w14:paraId="7D1B98E9" w14:textId="3318A31F" w:rsidR="00DB1B28" w:rsidRPr="004B03F6" w:rsidRDefault="00F8146E" w:rsidP="00072E80">
      <w:pPr>
        <w:spacing w:line="360" w:lineRule="auto"/>
        <w:jc w:val="both"/>
        <w:rPr>
          <w:rFonts w:ascii="Century Gothic" w:hAnsi="Century Gothic"/>
          <w:bCs/>
        </w:rPr>
      </w:pPr>
      <w:r w:rsidRPr="004B03F6">
        <w:rPr>
          <w:rFonts w:ascii="Century Gothic" w:hAnsi="Century Gothic"/>
          <w:bCs/>
        </w:rPr>
        <w:t>Todo l</w:t>
      </w:r>
      <w:r w:rsidR="00072E80" w:rsidRPr="004B03F6">
        <w:rPr>
          <w:rFonts w:ascii="Century Gothic" w:hAnsi="Century Gothic"/>
          <w:bCs/>
        </w:rPr>
        <w:t xml:space="preserve">o anterior, sin perjuicio del carácter contingente del proceso. </w:t>
      </w:r>
      <w:bookmarkStart w:id="3" w:name="_Hlk142487052"/>
      <w:bookmarkEnd w:id="1"/>
    </w:p>
    <w:bookmarkEnd w:id="3"/>
    <w:p w14:paraId="49EDDE08" w14:textId="3E4A64DC" w:rsidR="00906282" w:rsidRPr="004B03F6" w:rsidRDefault="00906282" w:rsidP="00DB1B28">
      <w:pPr>
        <w:spacing w:line="360" w:lineRule="auto"/>
        <w:jc w:val="both"/>
        <w:rPr>
          <w:rFonts w:ascii="Century Gothic" w:hAnsi="Century Gothic"/>
          <w:bCs/>
        </w:rPr>
      </w:pPr>
      <w:r w:rsidRPr="004B03F6">
        <w:rPr>
          <w:rFonts w:ascii="Century Gothic" w:hAnsi="Century Gothic"/>
          <w:b/>
          <w:bCs/>
        </w:rPr>
        <w:t>Solicitud Autorización</w:t>
      </w:r>
      <w:r w:rsidR="00AC00CB" w:rsidRPr="004B03F6">
        <w:rPr>
          <w:rFonts w:ascii="Century Gothic" w:hAnsi="Century Gothic"/>
          <w:b/>
          <w:bCs/>
        </w:rPr>
        <w:t xml:space="preserve">: </w:t>
      </w:r>
      <w:r w:rsidRPr="004B03F6">
        <w:rPr>
          <w:rFonts w:ascii="Century Gothic" w:hAnsi="Century Gothic"/>
          <w:b/>
          <w:bCs/>
        </w:rPr>
        <w:t>Se deben indicar los argumentos que justifican la solicitud</w:t>
      </w:r>
    </w:p>
    <w:p w14:paraId="0F9D0826" w14:textId="1A99954C" w:rsidR="003F3828" w:rsidRPr="004B03F6" w:rsidRDefault="00236A83" w:rsidP="003F3828">
      <w:pPr>
        <w:spacing w:line="360" w:lineRule="auto"/>
        <w:jc w:val="both"/>
        <w:rPr>
          <w:rFonts w:ascii="Century Gothic" w:hAnsi="Century Gothic" w:cs="Arial"/>
          <w:bCs/>
        </w:rPr>
      </w:pPr>
      <w:r w:rsidRPr="004B03F6">
        <w:rPr>
          <w:rFonts w:ascii="Century Gothic" w:hAnsi="Century Gothic" w:cs="Arial"/>
          <w:bCs/>
        </w:rPr>
        <w:t xml:space="preserve">Firma: </w:t>
      </w:r>
    </w:p>
    <w:p w14:paraId="06526756" w14:textId="1A9442C8" w:rsidR="000F0821" w:rsidRPr="004B03F6" w:rsidRDefault="00236A83" w:rsidP="003F3828">
      <w:pPr>
        <w:spacing w:line="360" w:lineRule="auto"/>
        <w:jc w:val="both"/>
        <w:rPr>
          <w:rFonts w:ascii="Century Gothic" w:eastAsia="Times New Roman" w:hAnsi="Century Gothic"/>
          <w:color w:val="000000"/>
        </w:rPr>
      </w:pPr>
      <w:r w:rsidRPr="004B03F6">
        <w:rPr>
          <w:rFonts w:ascii="Century Gothic" w:hAnsi="Century Gothic" w:cs="Arial"/>
          <w:bCs/>
        </w:rPr>
        <w:lastRenderedPageBreak/>
        <w:t>GHA Abogados &amp; Asociados</w:t>
      </w:r>
    </w:p>
    <w:sectPr w:rsidR="000F0821" w:rsidRPr="004B03F6"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CE135" w14:textId="77777777" w:rsidR="00E0342B" w:rsidRDefault="00E0342B" w:rsidP="00F361C1">
      <w:pPr>
        <w:spacing w:after="0" w:line="240" w:lineRule="auto"/>
      </w:pPr>
      <w:r>
        <w:separator/>
      </w:r>
    </w:p>
  </w:endnote>
  <w:endnote w:type="continuationSeparator" w:id="0">
    <w:p w14:paraId="1B85EF5D" w14:textId="77777777" w:rsidR="00E0342B" w:rsidRDefault="00E0342B"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0EA8A" w14:textId="77777777" w:rsidR="00E0342B" w:rsidRDefault="00E0342B" w:rsidP="00F361C1">
      <w:pPr>
        <w:spacing w:after="0" w:line="240" w:lineRule="auto"/>
      </w:pPr>
      <w:r>
        <w:separator/>
      </w:r>
    </w:p>
  </w:footnote>
  <w:footnote w:type="continuationSeparator" w:id="0">
    <w:p w14:paraId="28D789D9" w14:textId="77777777" w:rsidR="00E0342B" w:rsidRDefault="00E0342B"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6D41016"/>
    <w:multiLevelType w:val="multilevel"/>
    <w:tmpl w:val="969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5"/>
  </w:num>
  <w:num w:numId="4" w16cid:durableId="1610237111">
    <w:abstractNumId w:val="0"/>
  </w:num>
  <w:num w:numId="5" w16cid:durableId="1828281680">
    <w:abstractNumId w:val="2"/>
  </w:num>
  <w:num w:numId="6" w16cid:durableId="1549876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0B30"/>
    <w:rsid w:val="00023CF4"/>
    <w:rsid w:val="00062C49"/>
    <w:rsid w:val="00072E80"/>
    <w:rsid w:val="000910AC"/>
    <w:rsid w:val="000978C5"/>
    <w:rsid w:val="000B291C"/>
    <w:rsid w:val="000B3887"/>
    <w:rsid w:val="000C63A1"/>
    <w:rsid w:val="000F0821"/>
    <w:rsid w:val="00110599"/>
    <w:rsid w:val="001450DF"/>
    <w:rsid w:val="00147B0A"/>
    <w:rsid w:val="00174384"/>
    <w:rsid w:val="0019597E"/>
    <w:rsid w:val="001B384C"/>
    <w:rsid w:val="001E1AC1"/>
    <w:rsid w:val="001F3A28"/>
    <w:rsid w:val="0020620F"/>
    <w:rsid w:val="00211D25"/>
    <w:rsid w:val="002136A2"/>
    <w:rsid w:val="00217259"/>
    <w:rsid w:val="00217582"/>
    <w:rsid w:val="00225AC7"/>
    <w:rsid w:val="00236A83"/>
    <w:rsid w:val="0028429C"/>
    <w:rsid w:val="0029437D"/>
    <w:rsid w:val="002B032F"/>
    <w:rsid w:val="002B795C"/>
    <w:rsid w:val="002D381D"/>
    <w:rsid w:val="002E4D87"/>
    <w:rsid w:val="002E6DB4"/>
    <w:rsid w:val="003076D3"/>
    <w:rsid w:val="0031273C"/>
    <w:rsid w:val="003362DE"/>
    <w:rsid w:val="0033734E"/>
    <w:rsid w:val="003377F2"/>
    <w:rsid w:val="00375DE6"/>
    <w:rsid w:val="0038500F"/>
    <w:rsid w:val="003B13FD"/>
    <w:rsid w:val="003D7618"/>
    <w:rsid w:val="003F3828"/>
    <w:rsid w:val="004268F1"/>
    <w:rsid w:val="00480D56"/>
    <w:rsid w:val="004A2149"/>
    <w:rsid w:val="004B03F6"/>
    <w:rsid w:val="004C7AF3"/>
    <w:rsid w:val="004E1A80"/>
    <w:rsid w:val="005100C7"/>
    <w:rsid w:val="005167D8"/>
    <w:rsid w:val="005206D1"/>
    <w:rsid w:val="00551CEE"/>
    <w:rsid w:val="00552784"/>
    <w:rsid w:val="00573E1F"/>
    <w:rsid w:val="0057518D"/>
    <w:rsid w:val="00587596"/>
    <w:rsid w:val="0059648E"/>
    <w:rsid w:val="005D4092"/>
    <w:rsid w:val="00613028"/>
    <w:rsid w:val="00616398"/>
    <w:rsid w:val="00640DB9"/>
    <w:rsid w:val="0066727F"/>
    <w:rsid w:val="006723EA"/>
    <w:rsid w:val="00675022"/>
    <w:rsid w:val="006C2256"/>
    <w:rsid w:val="006D5EBD"/>
    <w:rsid w:val="006E4066"/>
    <w:rsid w:val="00714849"/>
    <w:rsid w:val="00726FDE"/>
    <w:rsid w:val="00730BF7"/>
    <w:rsid w:val="007749E5"/>
    <w:rsid w:val="00777CB6"/>
    <w:rsid w:val="007B524E"/>
    <w:rsid w:val="007C6B4B"/>
    <w:rsid w:val="007F5E92"/>
    <w:rsid w:val="00806862"/>
    <w:rsid w:val="008122C9"/>
    <w:rsid w:val="00815589"/>
    <w:rsid w:val="0085543A"/>
    <w:rsid w:val="00877C4E"/>
    <w:rsid w:val="00877CAA"/>
    <w:rsid w:val="00895DC8"/>
    <w:rsid w:val="008A0005"/>
    <w:rsid w:val="008B5F1E"/>
    <w:rsid w:val="008B7F80"/>
    <w:rsid w:val="008D11A0"/>
    <w:rsid w:val="008F1A57"/>
    <w:rsid w:val="008F542E"/>
    <w:rsid w:val="00904357"/>
    <w:rsid w:val="00906282"/>
    <w:rsid w:val="00920A35"/>
    <w:rsid w:val="00921216"/>
    <w:rsid w:val="00940514"/>
    <w:rsid w:val="00954E3C"/>
    <w:rsid w:val="00970CC7"/>
    <w:rsid w:val="00980383"/>
    <w:rsid w:val="00993B48"/>
    <w:rsid w:val="009B0641"/>
    <w:rsid w:val="009B3811"/>
    <w:rsid w:val="009C7C02"/>
    <w:rsid w:val="00A0393C"/>
    <w:rsid w:val="00A10CBF"/>
    <w:rsid w:val="00A207C1"/>
    <w:rsid w:val="00A41226"/>
    <w:rsid w:val="00A47ECC"/>
    <w:rsid w:val="00A62BDF"/>
    <w:rsid w:val="00A71964"/>
    <w:rsid w:val="00A866C9"/>
    <w:rsid w:val="00A93689"/>
    <w:rsid w:val="00AA0275"/>
    <w:rsid w:val="00AA07D6"/>
    <w:rsid w:val="00AC00CB"/>
    <w:rsid w:val="00AE44A2"/>
    <w:rsid w:val="00AF2A13"/>
    <w:rsid w:val="00AF5457"/>
    <w:rsid w:val="00B13FD3"/>
    <w:rsid w:val="00B3609D"/>
    <w:rsid w:val="00B4416D"/>
    <w:rsid w:val="00B56B85"/>
    <w:rsid w:val="00B77384"/>
    <w:rsid w:val="00B84BF0"/>
    <w:rsid w:val="00B92724"/>
    <w:rsid w:val="00B92756"/>
    <w:rsid w:val="00B936EC"/>
    <w:rsid w:val="00B95E36"/>
    <w:rsid w:val="00BD610E"/>
    <w:rsid w:val="00BE3AA7"/>
    <w:rsid w:val="00BF7F49"/>
    <w:rsid w:val="00C07DCC"/>
    <w:rsid w:val="00C12439"/>
    <w:rsid w:val="00C16A9C"/>
    <w:rsid w:val="00C239D6"/>
    <w:rsid w:val="00C4220D"/>
    <w:rsid w:val="00C900F5"/>
    <w:rsid w:val="00C93FC4"/>
    <w:rsid w:val="00CA01DF"/>
    <w:rsid w:val="00CA757D"/>
    <w:rsid w:val="00CB1F95"/>
    <w:rsid w:val="00D1036E"/>
    <w:rsid w:val="00D149A0"/>
    <w:rsid w:val="00D229A5"/>
    <w:rsid w:val="00D33C99"/>
    <w:rsid w:val="00D472EF"/>
    <w:rsid w:val="00D5468D"/>
    <w:rsid w:val="00D635E5"/>
    <w:rsid w:val="00D81C6B"/>
    <w:rsid w:val="00D87C88"/>
    <w:rsid w:val="00D95CDC"/>
    <w:rsid w:val="00DB0797"/>
    <w:rsid w:val="00DB1B28"/>
    <w:rsid w:val="00DE485D"/>
    <w:rsid w:val="00E0342B"/>
    <w:rsid w:val="00E10DCE"/>
    <w:rsid w:val="00E20E95"/>
    <w:rsid w:val="00E241DB"/>
    <w:rsid w:val="00E37E0B"/>
    <w:rsid w:val="00E63391"/>
    <w:rsid w:val="00E657A3"/>
    <w:rsid w:val="00E67101"/>
    <w:rsid w:val="00E8277F"/>
    <w:rsid w:val="00F361C1"/>
    <w:rsid w:val="00F64FB0"/>
    <w:rsid w:val="00F748A7"/>
    <w:rsid w:val="00F8146E"/>
    <w:rsid w:val="00F92584"/>
    <w:rsid w:val="00FA477F"/>
    <w:rsid w:val="00FD07C5"/>
    <w:rsid w:val="00FD2B92"/>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paragraph" w:styleId="Ttulo2">
    <w:name w:val="heading 2"/>
    <w:basedOn w:val="Normal"/>
    <w:next w:val="Normal"/>
    <w:link w:val="Ttulo2Car"/>
    <w:uiPriority w:val="9"/>
    <w:semiHidden/>
    <w:unhideWhenUsed/>
    <w:qFormat/>
    <w:rsid w:val="0059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character" w:customStyle="1" w:styleId="Ttulo2Car">
    <w:name w:val="Título 2 Car"/>
    <w:basedOn w:val="Fuentedeprrafopredeter"/>
    <w:link w:val="Ttulo2"/>
    <w:uiPriority w:val="9"/>
    <w:semiHidden/>
    <w:rsid w:val="0059648E"/>
    <w:rPr>
      <w:rFonts w:asciiTheme="majorHAnsi" w:eastAsiaTheme="majorEastAsia" w:hAnsiTheme="majorHAnsi" w:cstheme="majorBidi"/>
      <w:color w:val="2E74B5" w:themeColor="accent1" w:themeShade="BF"/>
      <w:sz w:val="26"/>
      <w:szCs w:val="2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26438866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11787278">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913007569">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43126987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265E71"/>
    <w:rsid w:val="00297ED0"/>
    <w:rsid w:val="002F214A"/>
    <w:rsid w:val="002F791F"/>
    <w:rsid w:val="00401B74"/>
    <w:rsid w:val="004D658F"/>
    <w:rsid w:val="00545D98"/>
    <w:rsid w:val="00573E1F"/>
    <w:rsid w:val="005C624E"/>
    <w:rsid w:val="006B33D7"/>
    <w:rsid w:val="006C1F61"/>
    <w:rsid w:val="00736B2E"/>
    <w:rsid w:val="0079412A"/>
    <w:rsid w:val="007B2D1A"/>
    <w:rsid w:val="00855753"/>
    <w:rsid w:val="008C07CD"/>
    <w:rsid w:val="008C27DC"/>
    <w:rsid w:val="008D4DF9"/>
    <w:rsid w:val="009C56BA"/>
    <w:rsid w:val="00A5325A"/>
    <w:rsid w:val="00A61C2C"/>
    <w:rsid w:val="00B77384"/>
    <w:rsid w:val="00B9159B"/>
    <w:rsid w:val="00BC19FF"/>
    <w:rsid w:val="00BE5B91"/>
    <w:rsid w:val="00BF6074"/>
    <w:rsid w:val="00C371EC"/>
    <w:rsid w:val="00C574C9"/>
    <w:rsid w:val="00CD0526"/>
    <w:rsid w:val="00D262C4"/>
    <w:rsid w:val="00D819F2"/>
    <w:rsid w:val="00DC42C0"/>
    <w:rsid w:val="00E37E0B"/>
    <w:rsid w:val="00E6057A"/>
    <w:rsid w:val="00E738C3"/>
    <w:rsid w:val="00E73B5E"/>
    <w:rsid w:val="00F83AF3"/>
    <w:rsid w:val="00FD2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2055</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2024-07-16T15:38:00Z</dcterms:created>
  <dcterms:modified xsi:type="dcterms:W3CDTF">2024-07-16T15:38:00Z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