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322BB" w14:textId="77777777" w:rsidR="0057097F" w:rsidRPr="002636A6" w:rsidRDefault="000B7A27">
      <w:pPr>
        <w:jc w:val="center"/>
        <w:rPr>
          <w:rFonts w:ascii="Arial" w:hAnsi="Arial" w:cs="Arial"/>
          <w:b/>
          <w:sz w:val="20"/>
          <w:szCs w:val="20"/>
        </w:rPr>
      </w:pPr>
      <w:r w:rsidRPr="002636A6">
        <w:rPr>
          <w:rFonts w:ascii="Arial" w:hAnsi="Arial" w:cs="Arial"/>
          <w:b/>
          <w:sz w:val="20"/>
          <w:szCs w:val="20"/>
        </w:rPr>
        <w:t>INFORME INICIAL DEL PROCESO</w:t>
      </w:r>
    </w:p>
    <w:tbl>
      <w:tblPr>
        <w:tblStyle w:val="a"/>
        <w:tblW w:w="10709" w:type="dxa"/>
        <w:tblInd w:w="-7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71"/>
        <w:gridCol w:w="7938"/>
      </w:tblGrid>
      <w:tr w:rsidR="002636A6" w:rsidRPr="002636A6" w14:paraId="500322BE" w14:textId="77777777" w:rsidTr="00C80DA3">
        <w:tc>
          <w:tcPr>
            <w:tcW w:w="2771" w:type="dxa"/>
            <w:shd w:val="clear" w:color="auto" w:fill="D9D9D9" w:themeFill="background1" w:themeFillShade="D9"/>
          </w:tcPr>
          <w:p w14:paraId="500322BC" w14:textId="77777777" w:rsidR="0057097F" w:rsidRPr="002636A6" w:rsidRDefault="000B7A27">
            <w:pPr>
              <w:rPr>
                <w:rFonts w:ascii="Arial" w:hAnsi="Arial" w:cs="Arial"/>
                <w:b/>
                <w:sz w:val="20"/>
                <w:szCs w:val="20"/>
              </w:rPr>
            </w:pPr>
            <w:r w:rsidRPr="002636A6">
              <w:rPr>
                <w:rFonts w:ascii="Arial" w:hAnsi="Arial" w:cs="Arial"/>
                <w:b/>
                <w:sz w:val="20"/>
                <w:szCs w:val="20"/>
              </w:rPr>
              <w:t>Apoderado:</w:t>
            </w:r>
          </w:p>
        </w:tc>
        <w:tc>
          <w:tcPr>
            <w:tcW w:w="7938" w:type="dxa"/>
          </w:tcPr>
          <w:p w14:paraId="500322BD" w14:textId="77777777" w:rsidR="0057097F" w:rsidRPr="002636A6" w:rsidRDefault="000B7A27">
            <w:pPr>
              <w:jc w:val="both"/>
              <w:rPr>
                <w:rFonts w:ascii="Arial" w:hAnsi="Arial" w:cs="Arial"/>
                <w:sz w:val="20"/>
                <w:szCs w:val="20"/>
              </w:rPr>
            </w:pPr>
            <w:r w:rsidRPr="002636A6">
              <w:rPr>
                <w:rFonts w:ascii="Arial" w:hAnsi="Arial" w:cs="Arial"/>
                <w:sz w:val="20"/>
                <w:szCs w:val="20"/>
              </w:rPr>
              <w:t>GUSTAVO ALBERTO HERRERA ÁVILA</w:t>
            </w:r>
          </w:p>
        </w:tc>
      </w:tr>
      <w:tr w:rsidR="002636A6" w:rsidRPr="002636A6" w14:paraId="500322C1" w14:textId="77777777" w:rsidTr="00C80DA3">
        <w:tc>
          <w:tcPr>
            <w:tcW w:w="2771" w:type="dxa"/>
            <w:shd w:val="clear" w:color="auto" w:fill="D9D9D9" w:themeFill="background1" w:themeFillShade="D9"/>
          </w:tcPr>
          <w:p w14:paraId="500322BF" w14:textId="77777777" w:rsidR="0057097F" w:rsidRPr="002636A6" w:rsidRDefault="000B7A27">
            <w:pPr>
              <w:rPr>
                <w:rFonts w:ascii="Arial" w:hAnsi="Arial" w:cs="Arial"/>
                <w:b/>
                <w:sz w:val="20"/>
                <w:szCs w:val="20"/>
              </w:rPr>
            </w:pPr>
            <w:r w:rsidRPr="002636A6">
              <w:rPr>
                <w:rFonts w:ascii="Arial" w:hAnsi="Arial" w:cs="Arial"/>
                <w:b/>
                <w:sz w:val="20"/>
                <w:szCs w:val="20"/>
              </w:rPr>
              <w:t>Tipo y # de Póliza:</w:t>
            </w:r>
          </w:p>
        </w:tc>
        <w:tc>
          <w:tcPr>
            <w:tcW w:w="7938" w:type="dxa"/>
          </w:tcPr>
          <w:p w14:paraId="500322C0" w14:textId="72356790" w:rsidR="0057097F" w:rsidRPr="002636A6" w:rsidRDefault="00917DA3" w:rsidP="00917DA3">
            <w:pPr>
              <w:spacing w:line="312" w:lineRule="auto"/>
              <w:jc w:val="both"/>
              <w:rPr>
                <w:rFonts w:ascii="Arial" w:hAnsi="Arial" w:cs="Arial"/>
                <w:b/>
                <w:bCs/>
                <w:sz w:val="20"/>
                <w:szCs w:val="20"/>
              </w:rPr>
            </w:pPr>
            <w:bookmarkStart w:id="0" w:name="_Hlk160445516"/>
            <w:bookmarkStart w:id="1" w:name="_Hlk160445403"/>
            <w:r w:rsidRPr="002636A6">
              <w:rPr>
                <w:rFonts w:ascii="Arial" w:hAnsi="Arial" w:cs="Arial"/>
                <w:b/>
                <w:bCs/>
                <w:sz w:val="20"/>
                <w:szCs w:val="20"/>
              </w:rPr>
              <w:t xml:space="preserve">Póliza Seguro de Automóviles No. 396016 </w:t>
            </w:r>
            <w:bookmarkEnd w:id="0"/>
            <w:r w:rsidRPr="002636A6">
              <w:rPr>
                <w:rFonts w:ascii="Arial" w:hAnsi="Arial" w:cs="Arial"/>
                <w:b/>
                <w:bCs/>
                <w:sz w:val="20"/>
                <w:szCs w:val="20"/>
              </w:rPr>
              <w:t>cuya vigencia corrió desde el 14 de junio de 2021 al 14 de junio de 2022</w:t>
            </w:r>
            <w:bookmarkEnd w:id="1"/>
          </w:p>
        </w:tc>
      </w:tr>
      <w:tr w:rsidR="002636A6" w:rsidRPr="002636A6" w14:paraId="500322C4" w14:textId="77777777" w:rsidTr="00C80DA3">
        <w:tc>
          <w:tcPr>
            <w:tcW w:w="2771" w:type="dxa"/>
            <w:shd w:val="clear" w:color="auto" w:fill="D9D9D9" w:themeFill="background1" w:themeFillShade="D9"/>
          </w:tcPr>
          <w:p w14:paraId="500322C2" w14:textId="77777777" w:rsidR="0057097F" w:rsidRPr="002636A6" w:rsidRDefault="000B7A27">
            <w:pPr>
              <w:rPr>
                <w:rFonts w:ascii="Arial" w:hAnsi="Arial" w:cs="Arial"/>
                <w:b/>
                <w:sz w:val="20"/>
                <w:szCs w:val="20"/>
              </w:rPr>
            </w:pPr>
            <w:r w:rsidRPr="002636A6">
              <w:rPr>
                <w:rFonts w:ascii="Arial" w:hAnsi="Arial" w:cs="Arial"/>
                <w:b/>
                <w:sz w:val="20"/>
                <w:szCs w:val="20"/>
              </w:rPr>
              <w:t>Amparos afectados:</w:t>
            </w:r>
          </w:p>
        </w:tc>
        <w:tc>
          <w:tcPr>
            <w:tcW w:w="7938" w:type="dxa"/>
          </w:tcPr>
          <w:p w14:paraId="500322C3" w14:textId="379C685D" w:rsidR="0057097F" w:rsidRPr="002636A6" w:rsidRDefault="008E05A7">
            <w:pPr>
              <w:jc w:val="both"/>
              <w:rPr>
                <w:rFonts w:ascii="Arial" w:hAnsi="Arial" w:cs="Arial"/>
                <w:sz w:val="20"/>
                <w:szCs w:val="20"/>
              </w:rPr>
            </w:pPr>
            <w:r w:rsidRPr="002636A6">
              <w:rPr>
                <w:rFonts w:ascii="Arial" w:hAnsi="Arial" w:cs="Arial"/>
                <w:sz w:val="20"/>
                <w:szCs w:val="20"/>
              </w:rPr>
              <w:t xml:space="preserve">Lesiones </w:t>
            </w:r>
            <w:r w:rsidR="00B900CA" w:rsidRPr="002636A6">
              <w:rPr>
                <w:rFonts w:ascii="Arial" w:hAnsi="Arial" w:cs="Arial"/>
                <w:sz w:val="20"/>
                <w:szCs w:val="20"/>
              </w:rPr>
              <w:t xml:space="preserve">o muerte a </w:t>
            </w:r>
            <w:r w:rsidR="00231E70" w:rsidRPr="002636A6">
              <w:rPr>
                <w:rFonts w:ascii="Arial" w:hAnsi="Arial" w:cs="Arial"/>
                <w:sz w:val="20"/>
                <w:szCs w:val="20"/>
              </w:rPr>
              <w:t>más</w:t>
            </w:r>
            <w:r w:rsidR="00B900CA" w:rsidRPr="002636A6">
              <w:rPr>
                <w:rFonts w:ascii="Arial" w:hAnsi="Arial" w:cs="Arial"/>
                <w:sz w:val="20"/>
                <w:szCs w:val="20"/>
              </w:rPr>
              <w:t xml:space="preserve"> de una persona</w:t>
            </w:r>
            <w:r w:rsidR="008C40E2" w:rsidRPr="002636A6">
              <w:rPr>
                <w:rFonts w:ascii="Arial" w:hAnsi="Arial" w:cs="Arial"/>
                <w:sz w:val="20"/>
                <w:szCs w:val="20"/>
              </w:rPr>
              <w:t>.</w:t>
            </w:r>
          </w:p>
        </w:tc>
      </w:tr>
      <w:tr w:rsidR="002636A6" w:rsidRPr="002636A6" w14:paraId="500322C7" w14:textId="77777777" w:rsidTr="00C80DA3">
        <w:tc>
          <w:tcPr>
            <w:tcW w:w="2771" w:type="dxa"/>
            <w:shd w:val="clear" w:color="auto" w:fill="D9D9D9" w:themeFill="background1" w:themeFillShade="D9"/>
          </w:tcPr>
          <w:p w14:paraId="500322C5" w14:textId="77777777" w:rsidR="0057097F" w:rsidRPr="002636A6" w:rsidRDefault="000B7A27">
            <w:pPr>
              <w:rPr>
                <w:rFonts w:ascii="Arial" w:hAnsi="Arial" w:cs="Arial"/>
                <w:b/>
                <w:sz w:val="20"/>
                <w:szCs w:val="20"/>
              </w:rPr>
            </w:pPr>
            <w:r w:rsidRPr="002636A6">
              <w:rPr>
                <w:rFonts w:ascii="Arial" w:hAnsi="Arial" w:cs="Arial"/>
                <w:b/>
                <w:sz w:val="20"/>
                <w:szCs w:val="20"/>
              </w:rPr>
              <w:t>Tomador:</w:t>
            </w:r>
          </w:p>
        </w:tc>
        <w:tc>
          <w:tcPr>
            <w:tcW w:w="7938" w:type="dxa"/>
          </w:tcPr>
          <w:p w14:paraId="500322C6" w14:textId="4D91EE3B" w:rsidR="0057097F" w:rsidRPr="002636A6" w:rsidRDefault="008C40E2" w:rsidP="00003EB6">
            <w:pPr>
              <w:spacing w:line="312" w:lineRule="auto"/>
              <w:jc w:val="both"/>
              <w:rPr>
                <w:rFonts w:ascii="Arial" w:hAnsi="Arial" w:cs="Arial"/>
                <w:sz w:val="20"/>
                <w:szCs w:val="20"/>
              </w:rPr>
            </w:pPr>
            <w:bookmarkStart w:id="2" w:name="_Hlk149926881"/>
            <w:r w:rsidRPr="002636A6">
              <w:rPr>
                <w:rFonts w:ascii="Arial" w:hAnsi="Arial" w:cs="Arial"/>
                <w:b/>
                <w:bCs/>
                <w:sz w:val="20"/>
                <w:szCs w:val="20"/>
              </w:rPr>
              <w:t>CORSA VIAL ASOCIADOS S.A.S.</w:t>
            </w:r>
            <w:r w:rsidR="00003EB6" w:rsidRPr="002636A6">
              <w:rPr>
                <w:rFonts w:ascii="Arial" w:hAnsi="Arial" w:cs="Arial"/>
                <w:b/>
                <w:bCs/>
                <w:sz w:val="20"/>
                <w:szCs w:val="20"/>
              </w:rPr>
              <w:t xml:space="preserve"> </w:t>
            </w:r>
            <w:bookmarkEnd w:id="2"/>
          </w:p>
        </w:tc>
      </w:tr>
      <w:tr w:rsidR="002636A6" w:rsidRPr="002636A6" w14:paraId="500322CA" w14:textId="77777777" w:rsidTr="00C80DA3">
        <w:tc>
          <w:tcPr>
            <w:tcW w:w="2771" w:type="dxa"/>
            <w:shd w:val="clear" w:color="auto" w:fill="D9D9D9" w:themeFill="background1" w:themeFillShade="D9"/>
          </w:tcPr>
          <w:p w14:paraId="500322C8" w14:textId="77777777" w:rsidR="0057097F" w:rsidRPr="002636A6" w:rsidRDefault="000B7A27">
            <w:pPr>
              <w:rPr>
                <w:rFonts w:ascii="Arial" w:hAnsi="Arial" w:cs="Arial"/>
                <w:b/>
                <w:sz w:val="20"/>
                <w:szCs w:val="20"/>
              </w:rPr>
            </w:pPr>
            <w:r w:rsidRPr="002636A6">
              <w:rPr>
                <w:rFonts w:ascii="Arial" w:hAnsi="Arial" w:cs="Arial"/>
                <w:b/>
                <w:sz w:val="20"/>
                <w:szCs w:val="20"/>
              </w:rPr>
              <w:t>Asegurado:</w:t>
            </w:r>
          </w:p>
        </w:tc>
        <w:tc>
          <w:tcPr>
            <w:tcW w:w="7938" w:type="dxa"/>
          </w:tcPr>
          <w:p w14:paraId="500322C9" w14:textId="31E1CFFB" w:rsidR="0057097F" w:rsidRPr="002636A6" w:rsidRDefault="008C40E2" w:rsidP="0031378B">
            <w:pPr>
              <w:spacing w:line="312" w:lineRule="auto"/>
              <w:jc w:val="both"/>
              <w:rPr>
                <w:rFonts w:ascii="Arial" w:hAnsi="Arial" w:cs="Arial"/>
                <w:sz w:val="20"/>
                <w:szCs w:val="20"/>
              </w:rPr>
            </w:pPr>
            <w:r w:rsidRPr="002636A6">
              <w:rPr>
                <w:rFonts w:ascii="Arial" w:hAnsi="Arial" w:cs="Arial"/>
                <w:b/>
                <w:bCs/>
                <w:sz w:val="20"/>
                <w:szCs w:val="20"/>
              </w:rPr>
              <w:t>BANCO DE BOGOTA</w:t>
            </w:r>
            <w:r w:rsidR="0031378B" w:rsidRPr="002636A6">
              <w:rPr>
                <w:rFonts w:ascii="Arial" w:hAnsi="Arial" w:cs="Arial"/>
                <w:b/>
                <w:bCs/>
                <w:sz w:val="20"/>
                <w:szCs w:val="20"/>
              </w:rPr>
              <w:t xml:space="preserve"> </w:t>
            </w:r>
          </w:p>
        </w:tc>
      </w:tr>
      <w:tr w:rsidR="002636A6" w:rsidRPr="002636A6" w14:paraId="500322CD" w14:textId="77777777" w:rsidTr="00C80DA3">
        <w:tc>
          <w:tcPr>
            <w:tcW w:w="2771" w:type="dxa"/>
            <w:shd w:val="clear" w:color="auto" w:fill="D9D9D9" w:themeFill="background1" w:themeFillShade="D9"/>
          </w:tcPr>
          <w:p w14:paraId="500322CB" w14:textId="77777777" w:rsidR="0057097F" w:rsidRPr="002636A6" w:rsidRDefault="000B7A27">
            <w:pPr>
              <w:rPr>
                <w:rFonts w:ascii="Arial" w:hAnsi="Arial" w:cs="Arial"/>
                <w:b/>
                <w:sz w:val="20"/>
                <w:szCs w:val="20"/>
              </w:rPr>
            </w:pPr>
            <w:r w:rsidRPr="002636A6">
              <w:rPr>
                <w:rFonts w:ascii="Arial" w:hAnsi="Arial" w:cs="Arial"/>
                <w:b/>
                <w:sz w:val="20"/>
                <w:szCs w:val="20"/>
              </w:rPr>
              <w:t>Tipo de Proceso:</w:t>
            </w:r>
          </w:p>
        </w:tc>
        <w:tc>
          <w:tcPr>
            <w:tcW w:w="7938" w:type="dxa"/>
          </w:tcPr>
          <w:p w14:paraId="500322CC" w14:textId="25C7654B" w:rsidR="0057097F" w:rsidRPr="002636A6" w:rsidRDefault="0031378B">
            <w:pPr>
              <w:jc w:val="both"/>
              <w:rPr>
                <w:rFonts w:ascii="Arial" w:hAnsi="Arial" w:cs="Arial"/>
                <w:sz w:val="20"/>
                <w:szCs w:val="20"/>
              </w:rPr>
            </w:pPr>
            <w:r w:rsidRPr="002636A6">
              <w:rPr>
                <w:rFonts w:ascii="Arial" w:hAnsi="Arial" w:cs="Arial"/>
                <w:sz w:val="20"/>
                <w:szCs w:val="20"/>
              </w:rPr>
              <w:t>Reparación Directa</w:t>
            </w:r>
          </w:p>
        </w:tc>
      </w:tr>
      <w:tr w:rsidR="002636A6" w:rsidRPr="002636A6" w14:paraId="500322D0" w14:textId="77777777" w:rsidTr="00C80DA3">
        <w:tc>
          <w:tcPr>
            <w:tcW w:w="2771" w:type="dxa"/>
            <w:shd w:val="clear" w:color="auto" w:fill="D9D9D9" w:themeFill="background1" w:themeFillShade="D9"/>
          </w:tcPr>
          <w:p w14:paraId="500322CE" w14:textId="77777777" w:rsidR="0057097F" w:rsidRPr="002636A6" w:rsidRDefault="000B7A27">
            <w:pPr>
              <w:rPr>
                <w:rFonts w:ascii="Arial" w:hAnsi="Arial" w:cs="Arial"/>
                <w:b/>
                <w:sz w:val="20"/>
                <w:szCs w:val="20"/>
              </w:rPr>
            </w:pPr>
            <w:r w:rsidRPr="002636A6">
              <w:rPr>
                <w:rFonts w:ascii="Arial" w:hAnsi="Arial" w:cs="Arial"/>
                <w:b/>
                <w:sz w:val="20"/>
                <w:szCs w:val="20"/>
              </w:rPr>
              <w:t>Jurisdicción:</w:t>
            </w:r>
          </w:p>
        </w:tc>
        <w:tc>
          <w:tcPr>
            <w:tcW w:w="7938" w:type="dxa"/>
          </w:tcPr>
          <w:p w14:paraId="500322CF" w14:textId="55634B6F" w:rsidR="0057097F" w:rsidRPr="002636A6" w:rsidRDefault="0031378B">
            <w:pPr>
              <w:jc w:val="both"/>
              <w:rPr>
                <w:rFonts w:ascii="Arial" w:hAnsi="Arial" w:cs="Arial"/>
                <w:sz w:val="20"/>
                <w:szCs w:val="20"/>
              </w:rPr>
            </w:pPr>
            <w:r w:rsidRPr="002636A6">
              <w:rPr>
                <w:rFonts w:ascii="Arial" w:hAnsi="Arial" w:cs="Arial"/>
                <w:sz w:val="20"/>
                <w:szCs w:val="20"/>
              </w:rPr>
              <w:t xml:space="preserve">Contenciosa Administrativa </w:t>
            </w:r>
          </w:p>
        </w:tc>
      </w:tr>
      <w:tr w:rsidR="002636A6" w:rsidRPr="002636A6" w14:paraId="500322D3" w14:textId="77777777" w:rsidTr="00C80DA3">
        <w:tc>
          <w:tcPr>
            <w:tcW w:w="2771" w:type="dxa"/>
            <w:shd w:val="clear" w:color="auto" w:fill="D9D9D9" w:themeFill="background1" w:themeFillShade="D9"/>
          </w:tcPr>
          <w:p w14:paraId="500322D1" w14:textId="77777777" w:rsidR="0057097F" w:rsidRPr="002636A6" w:rsidRDefault="000B7A27">
            <w:pPr>
              <w:rPr>
                <w:rFonts w:ascii="Arial" w:hAnsi="Arial" w:cs="Arial"/>
                <w:b/>
                <w:sz w:val="20"/>
                <w:szCs w:val="20"/>
              </w:rPr>
            </w:pPr>
            <w:r w:rsidRPr="002636A6">
              <w:rPr>
                <w:rFonts w:ascii="Arial" w:hAnsi="Arial" w:cs="Arial"/>
                <w:b/>
                <w:sz w:val="20"/>
                <w:szCs w:val="20"/>
              </w:rPr>
              <w:t>Despacho:</w:t>
            </w:r>
          </w:p>
        </w:tc>
        <w:tc>
          <w:tcPr>
            <w:tcW w:w="7938" w:type="dxa"/>
          </w:tcPr>
          <w:p w14:paraId="500322D2" w14:textId="62985B0F" w:rsidR="0057097F" w:rsidRPr="002636A6" w:rsidRDefault="0031378B">
            <w:pPr>
              <w:jc w:val="both"/>
              <w:rPr>
                <w:rFonts w:ascii="Arial" w:hAnsi="Arial" w:cs="Arial"/>
                <w:sz w:val="20"/>
                <w:szCs w:val="20"/>
              </w:rPr>
            </w:pPr>
            <w:r w:rsidRPr="002636A6">
              <w:rPr>
                <w:rFonts w:ascii="Arial" w:hAnsi="Arial" w:cs="Arial"/>
                <w:sz w:val="20"/>
                <w:szCs w:val="20"/>
              </w:rPr>
              <w:t xml:space="preserve">Juzgado </w:t>
            </w:r>
            <w:r w:rsidR="00ED216D" w:rsidRPr="002636A6">
              <w:rPr>
                <w:rFonts w:ascii="Arial" w:hAnsi="Arial" w:cs="Arial"/>
                <w:sz w:val="20"/>
                <w:szCs w:val="20"/>
              </w:rPr>
              <w:t>Primero</w:t>
            </w:r>
            <w:r w:rsidRPr="002636A6">
              <w:rPr>
                <w:rFonts w:ascii="Arial" w:hAnsi="Arial" w:cs="Arial"/>
                <w:sz w:val="20"/>
                <w:szCs w:val="20"/>
              </w:rPr>
              <w:t xml:space="preserve"> Administrativo</w:t>
            </w:r>
          </w:p>
        </w:tc>
      </w:tr>
      <w:tr w:rsidR="002636A6" w:rsidRPr="002636A6" w14:paraId="500322D6" w14:textId="77777777" w:rsidTr="00C80DA3">
        <w:tc>
          <w:tcPr>
            <w:tcW w:w="2771" w:type="dxa"/>
            <w:shd w:val="clear" w:color="auto" w:fill="D9D9D9" w:themeFill="background1" w:themeFillShade="D9"/>
          </w:tcPr>
          <w:p w14:paraId="500322D4" w14:textId="77777777" w:rsidR="0057097F" w:rsidRPr="002636A6" w:rsidRDefault="000B7A27">
            <w:pPr>
              <w:rPr>
                <w:rFonts w:ascii="Arial" w:hAnsi="Arial" w:cs="Arial"/>
                <w:b/>
                <w:sz w:val="20"/>
                <w:szCs w:val="20"/>
              </w:rPr>
            </w:pPr>
            <w:r w:rsidRPr="002636A6">
              <w:rPr>
                <w:rFonts w:ascii="Arial" w:hAnsi="Arial" w:cs="Arial"/>
                <w:b/>
                <w:sz w:val="20"/>
                <w:szCs w:val="20"/>
              </w:rPr>
              <w:t>Ciudad:</w:t>
            </w:r>
          </w:p>
        </w:tc>
        <w:tc>
          <w:tcPr>
            <w:tcW w:w="7938" w:type="dxa"/>
          </w:tcPr>
          <w:p w14:paraId="500322D5" w14:textId="708FFA78" w:rsidR="0057097F" w:rsidRPr="002636A6" w:rsidRDefault="00F8535F">
            <w:pPr>
              <w:jc w:val="both"/>
              <w:rPr>
                <w:rFonts w:ascii="Arial" w:hAnsi="Arial" w:cs="Arial"/>
                <w:sz w:val="20"/>
                <w:szCs w:val="20"/>
              </w:rPr>
            </w:pPr>
            <w:r w:rsidRPr="002636A6">
              <w:rPr>
                <w:rFonts w:ascii="Arial" w:hAnsi="Arial" w:cs="Arial"/>
                <w:sz w:val="20"/>
                <w:szCs w:val="20"/>
              </w:rPr>
              <w:t>Cali</w:t>
            </w:r>
          </w:p>
        </w:tc>
      </w:tr>
      <w:tr w:rsidR="002636A6" w:rsidRPr="002636A6" w14:paraId="500322D9" w14:textId="77777777" w:rsidTr="00C80DA3">
        <w:tc>
          <w:tcPr>
            <w:tcW w:w="2771" w:type="dxa"/>
            <w:shd w:val="clear" w:color="auto" w:fill="D9D9D9" w:themeFill="background1" w:themeFillShade="D9"/>
          </w:tcPr>
          <w:p w14:paraId="500322D7" w14:textId="77777777" w:rsidR="0057097F" w:rsidRPr="002636A6" w:rsidRDefault="000B7A27">
            <w:pPr>
              <w:rPr>
                <w:rFonts w:ascii="Arial" w:hAnsi="Arial" w:cs="Arial"/>
                <w:b/>
                <w:sz w:val="20"/>
                <w:szCs w:val="20"/>
              </w:rPr>
            </w:pPr>
            <w:r w:rsidRPr="002636A6">
              <w:rPr>
                <w:rFonts w:ascii="Arial" w:hAnsi="Arial" w:cs="Arial"/>
                <w:b/>
                <w:sz w:val="20"/>
                <w:szCs w:val="20"/>
              </w:rPr>
              <w:t>Radicado (23 dígitos):</w:t>
            </w:r>
          </w:p>
        </w:tc>
        <w:tc>
          <w:tcPr>
            <w:tcW w:w="7938" w:type="dxa"/>
          </w:tcPr>
          <w:p w14:paraId="500322D8" w14:textId="673BA5D1" w:rsidR="0057097F" w:rsidRPr="002636A6" w:rsidRDefault="00ED216D">
            <w:pPr>
              <w:rPr>
                <w:rFonts w:ascii="Arial" w:hAnsi="Arial" w:cs="Arial"/>
                <w:sz w:val="20"/>
                <w:szCs w:val="20"/>
              </w:rPr>
            </w:pPr>
            <w:r w:rsidRPr="002636A6">
              <w:rPr>
                <w:rFonts w:ascii="Arial" w:eastAsia="Times New Roman" w:hAnsi="Arial" w:cs="Arial"/>
                <w:sz w:val="20"/>
                <w:szCs w:val="20"/>
                <w:bdr w:val="none" w:sz="0" w:space="0" w:color="auto" w:frame="1"/>
                <w:lang w:eastAsia="es-CO"/>
              </w:rPr>
              <w:t>76001-33-33-001-</w:t>
            </w:r>
            <w:r w:rsidRPr="002636A6">
              <w:rPr>
                <w:rFonts w:ascii="Arial" w:eastAsia="Times New Roman" w:hAnsi="Arial" w:cs="Arial"/>
                <w:b/>
                <w:bCs/>
                <w:sz w:val="20"/>
                <w:szCs w:val="20"/>
                <w:bdr w:val="none" w:sz="0" w:space="0" w:color="auto" w:frame="1"/>
                <w:lang w:eastAsia="es-CO"/>
              </w:rPr>
              <w:t>2023</w:t>
            </w:r>
            <w:r w:rsidRPr="002636A6">
              <w:rPr>
                <w:rFonts w:ascii="Arial" w:eastAsia="Times New Roman" w:hAnsi="Arial" w:cs="Arial"/>
                <w:sz w:val="20"/>
                <w:szCs w:val="20"/>
                <w:bdr w:val="none" w:sz="0" w:space="0" w:color="auto" w:frame="1"/>
                <w:lang w:eastAsia="es-CO"/>
              </w:rPr>
              <w:t>-00</w:t>
            </w:r>
            <w:r w:rsidRPr="002636A6">
              <w:rPr>
                <w:rFonts w:ascii="Arial" w:eastAsia="Times New Roman" w:hAnsi="Arial" w:cs="Arial"/>
                <w:b/>
                <w:bCs/>
                <w:sz w:val="20"/>
                <w:szCs w:val="20"/>
                <w:bdr w:val="none" w:sz="0" w:space="0" w:color="auto" w:frame="1"/>
                <w:lang w:eastAsia="es-CO"/>
              </w:rPr>
              <w:t>250</w:t>
            </w:r>
            <w:r w:rsidRPr="002636A6">
              <w:rPr>
                <w:rFonts w:ascii="Arial" w:eastAsia="Times New Roman" w:hAnsi="Arial" w:cs="Arial"/>
                <w:sz w:val="20"/>
                <w:szCs w:val="20"/>
                <w:bdr w:val="none" w:sz="0" w:space="0" w:color="auto" w:frame="1"/>
                <w:lang w:eastAsia="es-CO"/>
              </w:rPr>
              <w:t>-00</w:t>
            </w:r>
          </w:p>
        </w:tc>
      </w:tr>
      <w:tr w:rsidR="002636A6" w:rsidRPr="002636A6" w14:paraId="500322DC" w14:textId="77777777" w:rsidTr="00C80DA3">
        <w:tc>
          <w:tcPr>
            <w:tcW w:w="2771" w:type="dxa"/>
            <w:shd w:val="clear" w:color="auto" w:fill="D9D9D9" w:themeFill="background1" w:themeFillShade="D9"/>
          </w:tcPr>
          <w:p w14:paraId="500322DA" w14:textId="77777777" w:rsidR="00A751C2" w:rsidRPr="002636A6" w:rsidRDefault="00A751C2" w:rsidP="00A751C2">
            <w:pPr>
              <w:rPr>
                <w:rFonts w:ascii="Arial" w:hAnsi="Arial" w:cs="Arial"/>
                <w:b/>
                <w:sz w:val="20"/>
                <w:szCs w:val="20"/>
              </w:rPr>
            </w:pPr>
            <w:r w:rsidRPr="002636A6">
              <w:rPr>
                <w:rFonts w:ascii="Arial" w:hAnsi="Arial" w:cs="Arial"/>
                <w:b/>
                <w:sz w:val="20"/>
                <w:szCs w:val="20"/>
              </w:rPr>
              <w:t>Demandantes:</w:t>
            </w:r>
          </w:p>
        </w:tc>
        <w:tc>
          <w:tcPr>
            <w:tcW w:w="7938" w:type="dxa"/>
            <w:vAlign w:val="bottom"/>
          </w:tcPr>
          <w:p w14:paraId="1582E5EE" w14:textId="77777777" w:rsidR="00231E70" w:rsidRPr="002636A6" w:rsidRDefault="00231E70" w:rsidP="00231E70">
            <w:pPr>
              <w:textAlignment w:val="baseline"/>
              <w:rPr>
                <w:rFonts w:ascii="Arial" w:eastAsia="Times New Roman" w:hAnsi="Arial" w:cs="Arial"/>
                <w:sz w:val="20"/>
                <w:szCs w:val="20"/>
                <w:lang w:eastAsia="es-CO"/>
              </w:rPr>
            </w:pPr>
            <w:r w:rsidRPr="002636A6">
              <w:rPr>
                <w:rFonts w:ascii="Arial" w:eastAsia="Times New Roman" w:hAnsi="Arial" w:cs="Arial"/>
                <w:sz w:val="20"/>
                <w:szCs w:val="20"/>
                <w:bdr w:val="none" w:sz="0" w:space="0" w:color="auto" w:frame="1"/>
                <w:lang w:eastAsia="es-CO"/>
              </w:rPr>
              <w:t>Andrés Felipe Viveros Jiménez (hijo)</w:t>
            </w:r>
          </w:p>
          <w:p w14:paraId="59BBA68A" w14:textId="77777777" w:rsidR="00231E70" w:rsidRPr="002636A6" w:rsidRDefault="00231E70" w:rsidP="00231E70">
            <w:pPr>
              <w:textAlignment w:val="baseline"/>
              <w:rPr>
                <w:rFonts w:ascii="Arial" w:eastAsia="Times New Roman" w:hAnsi="Arial" w:cs="Arial"/>
                <w:sz w:val="20"/>
                <w:szCs w:val="20"/>
                <w:lang w:eastAsia="es-CO"/>
              </w:rPr>
            </w:pPr>
            <w:r w:rsidRPr="002636A6">
              <w:rPr>
                <w:rFonts w:ascii="Arial" w:eastAsia="Times New Roman" w:hAnsi="Arial" w:cs="Arial"/>
                <w:sz w:val="20"/>
                <w:szCs w:val="20"/>
                <w:bdr w:val="none" w:sz="0" w:space="0" w:color="auto" w:frame="1"/>
                <w:lang w:eastAsia="es-CO"/>
              </w:rPr>
              <w:t>Catalina Camilo (madre)</w:t>
            </w:r>
          </w:p>
          <w:p w14:paraId="0EF0D620" w14:textId="77777777" w:rsidR="00231E70" w:rsidRPr="002636A6" w:rsidRDefault="00231E70" w:rsidP="00231E70">
            <w:pPr>
              <w:textAlignment w:val="baseline"/>
              <w:rPr>
                <w:rFonts w:ascii="Arial" w:eastAsia="Times New Roman" w:hAnsi="Arial" w:cs="Arial"/>
                <w:sz w:val="20"/>
                <w:szCs w:val="20"/>
                <w:lang w:eastAsia="es-CO"/>
              </w:rPr>
            </w:pPr>
            <w:r w:rsidRPr="002636A6">
              <w:rPr>
                <w:rFonts w:ascii="Arial" w:eastAsia="Times New Roman" w:hAnsi="Arial" w:cs="Arial"/>
                <w:sz w:val="20"/>
                <w:szCs w:val="20"/>
                <w:bdr w:val="none" w:sz="0" w:space="0" w:color="auto" w:frame="1"/>
                <w:lang w:eastAsia="es-CO"/>
              </w:rPr>
              <w:t>Lider Vidal Camilo (hermano)</w:t>
            </w:r>
          </w:p>
          <w:p w14:paraId="485342DF" w14:textId="77777777" w:rsidR="00231E70" w:rsidRPr="002636A6" w:rsidRDefault="00231E70" w:rsidP="00231E70">
            <w:pPr>
              <w:textAlignment w:val="baseline"/>
              <w:rPr>
                <w:rFonts w:ascii="Arial" w:eastAsia="Times New Roman" w:hAnsi="Arial" w:cs="Arial"/>
                <w:sz w:val="20"/>
                <w:szCs w:val="20"/>
                <w:lang w:eastAsia="es-CO"/>
              </w:rPr>
            </w:pPr>
            <w:r w:rsidRPr="002636A6">
              <w:rPr>
                <w:rFonts w:ascii="Arial" w:eastAsia="Times New Roman" w:hAnsi="Arial" w:cs="Arial"/>
                <w:sz w:val="20"/>
                <w:szCs w:val="20"/>
                <w:bdr w:val="none" w:sz="0" w:space="0" w:color="auto" w:frame="1"/>
                <w:lang w:eastAsia="es-CO"/>
              </w:rPr>
              <w:t>Myriam Vidal Camilo (hermana)</w:t>
            </w:r>
          </w:p>
          <w:p w14:paraId="3D393629" w14:textId="77777777" w:rsidR="00231E70" w:rsidRPr="002636A6" w:rsidRDefault="00231E70" w:rsidP="00231E70">
            <w:pPr>
              <w:textAlignment w:val="baseline"/>
              <w:rPr>
                <w:rFonts w:ascii="Arial" w:eastAsia="Times New Roman" w:hAnsi="Arial" w:cs="Arial"/>
                <w:sz w:val="20"/>
                <w:szCs w:val="20"/>
                <w:lang w:eastAsia="es-CO"/>
              </w:rPr>
            </w:pPr>
            <w:r w:rsidRPr="002636A6">
              <w:rPr>
                <w:rFonts w:ascii="Arial" w:eastAsia="Times New Roman" w:hAnsi="Arial" w:cs="Arial"/>
                <w:sz w:val="20"/>
                <w:szCs w:val="20"/>
                <w:bdr w:val="none" w:sz="0" w:space="0" w:color="auto" w:frame="1"/>
                <w:lang w:eastAsia="es-CO"/>
              </w:rPr>
              <w:t>Fortunato Camilo (hermano)</w:t>
            </w:r>
          </w:p>
          <w:p w14:paraId="56DF91DE" w14:textId="77777777" w:rsidR="00231E70" w:rsidRPr="002636A6" w:rsidRDefault="00231E70" w:rsidP="00231E70">
            <w:pPr>
              <w:textAlignment w:val="baseline"/>
              <w:rPr>
                <w:rFonts w:ascii="Arial" w:eastAsia="Times New Roman" w:hAnsi="Arial" w:cs="Arial"/>
                <w:sz w:val="20"/>
                <w:szCs w:val="20"/>
                <w:lang w:eastAsia="es-CO"/>
              </w:rPr>
            </w:pPr>
            <w:r w:rsidRPr="002636A6">
              <w:rPr>
                <w:rFonts w:ascii="Arial" w:eastAsia="Times New Roman" w:hAnsi="Arial" w:cs="Arial"/>
                <w:sz w:val="20"/>
                <w:szCs w:val="20"/>
                <w:bdr w:val="none" w:sz="0" w:space="0" w:color="auto" w:frame="1"/>
                <w:lang w:eastAsia="es-CO"/>
              </w:rPr>
              <w:t>Jesús Alfonso Camilo (hermano)</w:t>
            </w:r>
          </w:p>
          <w:p w14:paraId="59EBDCB8" w14:textId="77777777" w:rsidR="00231E70" w:rsidRPr="002636A6" w:rsidRDefault="00231E70" w:rsidP="00231E70">
            <w:pPr>
              <w:textAlignment w:val="baseline"/>
              <w:rPr>
                <w:rFonts w:ascii="Arial" w:eastAsia="Times New Roman" w:hAnsi="Arial" w:cs="Arial"/>
                <w:sz w:val="20"/>
                <w:szCs w:val="20"/>
                <w:lang w:eastAsia="es-CO"/>
              </w:rPr>
            </w:pPr>
            <w:r w:rsidRPr="002636A6">
              <w:rPr>
                <w:rFonts w:ascii="Arial" w:eastAsia="Times New Roman" w:hAnsi="Arial" w:cs="Arial"/>
                <w:sz w:val="20"/>
                <w:szCs w:val="20"/>
                <w:bdr w:val="none" w:sz="0" w:space="0" w:color="auto" w:frame="1"/>
                <w:lang w:eastAsia="es-CO"/>
              </w:rPr>
              <w:t>Nelly Vidal Camilo (hermana)</w:t>
            </w:r>
          </w:p>
          <w:p w14:paraId="487F6E56" w14:textId="77777777" w:rsidR="00231E70" w:rsidRPr="002636A6" w:rsidRDefault="00231E70" w:rsidP="00231E70">
            <w:pPr>
              <w:textAlignment w:val="baseline"/>
              <w:rPr>
                <w:rFonts w:ascii="Arial" w:eastAsia="Times New Roman" w:hAnsi="Arial" w:cs="Arial"/>
                <w:sz w:val="20"/>
                <w:szCs w:val="20"/>
                <w:lang w:eastAsia="es-CO"/>
              </w:rPr>
            </w:pPr>
            <w:r w:rsidRPr="002636A6">
              <w:rPr>
                <w:rFonts w:ascii="Arial" w:eastAsia="Times New Roman" w:hAnsi="Arial" w:cs="Arial"/>
                <w:sz w:val="20"/>
                <w:szCs w:val="20"/>
                <w:bdr w:val="none" w:sz="0" w:space="0" w:color="auto" w:frame="1"/>
                <w:lang w:eastAsia="es-CO"/>
              </w:rPr>
              <w:t>Norelia Vidal Camilo (hermana)</w:t>
            </w:r>
          </w:p>
          <w:p w14:paraId="5BB8BDDF" w14:textId="77777777" w:rsidR="00231E70" w:rsidRPr="002636A6" w:rsidRDefault="00231E70" w:rsidP="00231E70">
            <w:pPr>
              <w:textAlignment w:val="baseline"/>
              <w:rPr>
                <w:rFonts w:ascii="Arial" w:eastAsia="Times New Roman" w:hAnsi="Arial" w:cs="Arial"/>
                <w:sz w:val="20"/>
                <w:szCs w:val="20"/>
                <w:lang w:eastAsia="es-CO"/>
              </w:rPr>
            </w:pPr>
            <w:r w:rsidRPr="002636A6">
              <w:rPr>
                <w:rFonts w:ascii="Arial" w:eastAsia="Times New Roman" w:hAnsi="Arial" w:cs="Arial"/>
                <w:sz w:val="20"/>
                <w:szCs w:val="20"/>
                <w:bdr w:val="none" w:sz="0" w:space="0" w:color="auto" w:frame="1"/>
                <w:lang w:eastAsia="es-CO"/>
              </w:rPr>
              <w:t>Jesús Eider Vidal Camilo (hermano)</w:t>
            </w:r>
          </w:p>
          <w:p w14:paraId="500322DB" w14:textId="02DCBBC9" w:rsidR="00A751C2" w:rsidRPr="002636A6" w:rsidRDefault="00231E70" w:rsidP="00231E70">
            <w:pPr>
              <w:jc w:val="both"/>
              <w:rPr>
                <w:rFonts w:ascii="Arial" w:hAnsi="Arial" w:cs="Arial"/>
                <w:sz w:val="20"/>
                <w:szCs w:val="20"/>
                <w:lang w:val="es-419"/>
              </w:rPr>
            </w:pPr>
            <w:r w:rsidRPr="002636A6">
              <w:rPr>
                <w:rFonts w:ascii="Arial" w:eastAsia="Times New Roman" w:hAnsi="Arial" w:cs="Arial"/>
                <w:sz w:val="20"/>
                <w:szCs w:val="20"/>
                <w:bdr w:val="none" w:sz="0" w:space="0" w:color="auto" w:frame="1"/>
                <w:lang w:eastAsia="es-CO"/>
              </w:rPr>
              <w:t>Parménides Vidal Camilo (hermano)</w:t>
            </w:r>
          </w:p>
        </w:tc>
      </w:tr>
      <w:tr w:rsidR="002636A6" w:rsidRPr="002636A6" w14:paraId="500322DF" w14:textId="77777777" w:rsidTr="00C80DA3">
        <w:tc>
          <w:tcPr>
            <w:tcW w:w="2771" w:type="dxa"/>
            <w:shd w:val="clear" w:color="auto" w:fill="D9D9D9" w:themeFill="background1" w:themeFillShade="D9"/>
          </w:tcPr>
          <w:p w14:paraId="500322DD" w14:textId="77777777" w:rsidR="00A751C2" w:rsidRPr="002636A6" w:rsidRDefault="00A751C2" w:rsidP="00A751C2">
            <w:pPr>
              <w:rPr>
                <w:rFonts w:ascii="Arial" w:hAnsi="Arial" w:cs="Arial"/>
                <w:b/>
                <w:sz w:val="20"/>
                <w:szCs w:val="20"/>
              </w:rPr>
            </w:pPr>
            <w:r w:rsidRPr="002636A6">
              <w:rPr>
                <w:rFonts w:ascii="Arial" w:hAnsi="Arial" w:cs="Arial"/>
                <w:b/>
                <w:sz w:val="20"/>
                <w:szCs w:val="20"/>
              </w:rPr>
              <w:t>Demandados:</w:t>
            </w:r>
          </w:p>
        </w:tc>
        <w:tc>
          <w:tcPr>
            <w:tcW w:w="7938" w:type="dxa"/>
          </w:tcPr>
          <w:p w14:paraId="48FB9A5B" w14:textId="77777777" w:rsidR="00AC5542" w:rsidRPr="002636A6" w:rsidRDefault="00AC5542" w:rsidP="00AC5542">
            <w:pPr>
              <w:textAlignment w:val="baseline"/>
              <w:rPr>
                <w:rFonts w:ascii="Arial" w:eastAsia="Times New Roman" w:hAnsi="Arial" w:cs="Arial"/>
                <w:sz w:val="20"/>
                <w:szCs w:val="20"/>
                <w:lang w:eastAsia="es-CO"/>
              </w:rPr>
            </w:pPr>
            <w:r w:rsidRPr="002636A6">
              <w:rPr>
                <w:rFonts w:ascii="Arial" w:eastAsia="Times New Roman" w:hAnsi="Arial" w:cs="Arial"/>
                <w:sz w:val="20"/>
                <w:szCs w:val="20"/>
                <w:bdr w:val="none" w:sz="0" w:space="0" w:color="auto" w:frame="1"/>
                <w:lang w:eastAsia="es-CO"/>
              </w:rPr>
              <w:t>Metrocali S.A. </w:t>
            </w:r>
          </w:p>
          <w:p w14:paraId="775D708B" w14:textId="77777777" w:rsidR="00AC5542" w:rsidRPr="002636A6" w:rsidRDefault="00AC5542" w:rsidP="00AC5542">
            <w:pPr>
              <w:textAlignment w:val="baseline"/>
              <w:rPr>
                <w:rFonts w:ascii="Arial" w:eastAsia="Times New Roman" w:hAnsi="Arial" w:cs="Arial"/>
                <w:sz w:val="20"/>
                <w:szCs w:val="20"/>
                <w:lang w:eastAsia="es-CO"/>
              </w:rPr>
            </w:pPr>
            <w:r w:rsidRPr="002636A6">
              <w:rPr>
                <w:rFonts w:ascii="Arial" w:eastAsia="Times New Roman" w:hAnsi="Arial" w:cs="Arial"/>
                <w:sz w:val="20"/>
                <w:szCs w:val="20"/>
                <w:bdr w:val="none" w:sz="0" w:space="0" w:color="auto" w:frame="1"/>
                <w:lang w:eastAsia="es-CO"/>
              </w:rPr>
              <w:t>Consorcio MIO TCU-HB</w:t>
            </w:r>
          </w:p>
          <w:p w14:paraId="56B37C61" w14:textId="77777777" w:rsidR="00AC5542" w:rsidRPr="002636A6" w:rsidRDefault="00AC5542" w:rsidP="00AC5542">
            <w:pPr>
              <w:textAlignment w:val="baseline"/>
              <w:rPr>
                <w:rFonts w:ascii="Arial" w:eastAsia="Times New Roman" w:hAnsi="Arial" w:cs="Arial"/>
                <w:sz w:val="20"/>
                <w:szCs w:val="20"/>
                <w:lang w:eastAsia="es-CO"/>
              </w:rPr>
            </w:pPr>
            <w:r w:rsidRPr="002636A6">
              <w:rPr>
                <w:rFonts w:ascii="Arial" w:eastAsia="Times New Roman" w:hAnsi="Arial" w:cs="Arial"/>
                <w:sz w:val="20"/>
                <w:szCs w:val="20"/>
                <w:bdr w:val="none" w:sz="0" w:space="0" w:color="auto" w:frame="1"/>
                <w:lang w:eastAsia="es-CO"/>
              </w:rPr>
              <w:t>Banco de Bogotá</w:t>
            </w:r>
          </w:p>
          <w:p w14:paraId="3EB7870E" w14:textId="77777777" w:rsidR="00AC5542" w:rsidRPr="002636A6" w:rsidRDefault="00AC5542" w:rsidP="00AC5542">
            <w:pPr>
              <w:textAlignment w:val="baseline"/>
              <w:rPr>
                <w:rFonts w:ascii="Arial" w:eastAsia="Times New Roman" w:hAnsi="Arial" w:cs="Arial"/>
                <w:sz w:val="20"/>
                <w:szCs w:val="20"/>
                <w:lang w:eastAsia="es-CO"/>
              </w:rPr>
            </w:pPr>
            <w:r w:rsidRPr="002636A6">
              <w:rPr>
                <w:rFonts w:ascii="Arial" w:eastAsia="Times New Roman" w:hAnsi="Arial" w:cs="Arial"/>
                <w:sz w:val="20"/>
                <w:szCs w:val="20"/>
                <w:bdr w:val="none" w:sz="0" w:space="0" w:color="auto" w:frame="1"/>
                <w:lang w:eastAsia="es-CO"/>
              </w:rPr>
              <w:t>Gonzalo De Jesús Rios Correa</w:t>
            </w:r>
          </w:p>
          <w:p w14:paraId="21C4FA8E" w14:textId="77777777" w:rsidR="00AC5542" w:rsidRPr="002636A6" w:rsidRDefault="00AC5542" w:rsidP="00AC5542">
            <w:pPr>
              <w:textAlignment w:val="baseline"/>
              <w:rPr>
                <w:rFonts w:ascii="Arial" w:eastAsia="Times New Roman" w:hAnsi="Arial" w:cs="Arial"/>
                <w:sz w:val="20"/>
                <w:szCs w:val="20"/>
                <w:lang w:eastAsia="es-CO"/>
              </w:rPr>
            </w:pPr>
            <w:r w:rsidRPr="002636A6">
              <w:rPr>
                <w:rFonts w:ascii="Arial" w:eastAsia="Times New Roman" w:hAnsi="Arial" w:cs="Arial"/>
                <w:sz w:val="20"/>
                <w:szCs w:val="20"/>
                <w:bdr w:val="none" w:sz="0" w:space="0" w:color="auto" w:frame="1"/>
                <w:lang w:eastAsia="es-CO"/>
              </w:rPr>
              <w:t>Liberty Seguros </w:t>
            </w:r>
          </w:p>
          <w:p w14:paraId="500322DE" w14:textId="1CCCE497" w:rsidR="00A751C2" w:rsidRPr="002636A6" w:rsidRDefault="00AC5542" w:rsidP="00AC5542">
            <w:pPr>
              <w:jc w:val="both"/>
              <w:rPr>
                <w:rFonts w:ascii="Arial" w:hAnsi="Arial" w:cs="Arial"/>
                <w:sz w:val="20"/>
                <w:szCs w:val="20"/>
              </w:rPr>
            </w:pPr>
            <w:r w:rsidRPr="002636A6">
              <w:rPr>
                <w:rFonts w:ascii="Arial" w:eastAsia="Times New Roman" w:hAnsi="Arial" w:cs="Arial"/>
                <w:sz w:val="20"/>
                <w:szCs w:val="20"/>
                <w:bdr w:val="none" w:sz="0" w:space="0" w:color="auto" w:frame="1"/>
                <w:lang w:eastAsia="es-CO"/>
              </w:rPr>
              <w:t>Suramericana de Seguros </w:t>
            </w:r>
          </w:p>
        </w:tc>
      </w:tr>
      <w:tr w:rsidR="002636A6" w:rsidRPr="002636A6" w14:paraId="500322E2" w14:textId="77777777" w:rsidTr="00C80DA3">
        <w:tc>
          <w:tcPr>
            <w:tcW w:w="2771" w:type="dxa"/>
            <w:shd w:val="clear" w:color="auto" w:fill="D9D9D9" w:themeFill="background1" w:themeFillShade="D9"/>
          </w:tcPr>
          <w:p w14:paraId="500322E0" w14:textId="77777777" w:rsidR="00A751C2" w:rsidRPr="002636A6" w:rsidRDefault="00A751C2" w:rsidP="00A751C2">
            <w:pPr>
              <w:rPr>
                <w:rFonts w:ascii="Arial" w:hAnsi="Arial" w:cs="Arial"/>
                <w:b/>
                <w:sz w:val="20"/>
                <w:szCs w:val="20"/>
              </w:rPr>
            </w:pPr>
            <w:r w:rsidRPr="002636A6">
              <w:rPr>
                <w:rFonts w:ascii="Arial" w:hAnsi="Arial" w:cs="Arial"/>
                <w:b/>
                <w:sz w:val="20"/>
                <w:szCs w:val="20"/>
              </w:rPr>
              <w:t>Tipo de vinculación de Liberty (directa, llamamiento en garantía, litisconsorte):</w:t>
            </w:r>
          </w:p>
        </w:tc>
        <w:tc>
          <w:tcPr>
            <w:tcW w:w="7938" w:type="dxa"/>
          </w:tcPr>
          <w:p w14:paraId="500322E1" w14:textId="6C73BE79" w:rsidR="00A751C2" w:rsidRPr="002636A6" w:rsidRDefault="00AC5542" w:rsidP="00A751C2">
            <w:pPr>
              <w:jc w:val="both"/>
              <w:rPr>
                <w:rFonts w:ascii="Arial" w:hAnsi="Arial" w:cs="Arial"/>
                <w:sz w:val="20"/>
                <w:szCs w:val="20"/>
              </w:rPr>
            </w:pPr>
            <w:r w:rsidRPr="002636A6">
              <w:rPr>
                <w:rFonts w:ascii="Arial" w:hAnsi="Arial" w:cs="Arial"/>
                <w:sz w:val="20"/>
                <w:szCs w:val="20"/>
              </w:rPr>
              <w:t>Directa</w:t>
            </w:r>
            <w:r w:rsidR="00A751C2" w:rsidRPr="002636A6">
              <w:rPr>
                <w:rFonts w:ascii="Arial" w:hAnsi="Arial" w:cs="Arial"/>
                <w:sz w:val="20"/>
                <w:szCs w:val="20"/>
              </w:rPr>
              <w:t xml:space="preserve"> </w:t>
            </w:r>
          </w:p>
        </w:tc>
      </w:tr>
      <w:tr w:rsidR="002636A6" w:rsidRPr="002636A6" w14:paraId="500322E5" w14:textId="77777777" w:rsidTr="00C80DA3">
        <w:tc>
          <w:tcPr>
            <w:tcW w:w="2771" w:type="dxa"/>
            <w:shd w:val="clear" w:color="auto" w:fill="D9D9D9" w:themeFill="background1" w:themeFillShade="D9"/>
          </w:tcPr>
          <w:p w14:paraId="500322E3" w14:textId="77777777" w:rsidR="00A751C2" w:rsidRPr="002636A6" w:rsidRDefault="00A751C2" w:rsidP="00A751C2">
            <w:pPr>
              <w:rPr>
                <w:rFonts w:ascii="Arial" w:hAnsi="Arial" w:cs="Arial"/>
                <w:b/>
                <w:sz w:val="20"/>
                <w:szCs w:val="20"/>
              </w:rPr>
            </w:pPr>
            <w:r w:rsidRPr="002636A6">
              <w:rPr>
                <w:rFonts w:ascii="Arial" w:hAnsi="Arial" w:cs="Arial"/>
                <w:b/>
                <w:sz w:val="20"/>
                <w:szCs w:val="20"/>
              </w:rPr>
              <w:t>Resumen de los hechos:</w:t>
            </w:r>
          </w:p>
        </w:tc>
        <w:tc>
          <w:tcPr>
            <w:tcW w:w="7938" w:type="dxa"/>
          </w:tcPr>
          <w:p w14:paraId="500322E4" w14:textId="1B450AC1" w:rsidR="00A751C2" w:rsidRPr="002636A6" w:rsidRDefault="00AC5542" w:rsidP="00A751C2">
            <w:pPr>
              <w:jc w:val="both"/>
              <w:rPr>
                <w:rFonts w:ascii="Arial" w:hAnsi="Arial" w:cs="Arial"/>
                <w:sz w:val="20"/>
                <w:szCs w:val="20"/>
              </w:rPr>
            </w:pPr>
            <w:r w:rsidRPr="002636A6">
              <w:rPr>
                <w:rFonts w:ascii="Arial" w:eastAsia="Times New Roman" w:hAnsi="Arial" w:cs="Arial"/>
                <w:sz w:val="20"/>
                <w:szCs w:val="20"/>
                <w:bdr w:val="none" w:sz="0" w:space="0" w:color="auto" w:frame="1"/>
                <w:lang w:eastAsia="es-CO"/>
              </w:rPr>
              <w:t>De acuerdo a los hechos de la demanda, el día 19 de octubre de 2021 el señor Andrés Felipe Viveros Jiménez conducía la motocicleta de placas RBN 59E y como parrillera se encontraba la señora Emitela Jiménez. A la altura de la Calle 70 con Carrera 26L de la ciudad de Cali y cerca de la 1:40 pm, los mencionados sufrieron un volcamiento debido a un presunto material de construcción que se encontraba invadiendo la vía. Inmediatamente al volcarse, el vehículo tipo volqueta identificado con placas TVJ 859 y conducido por el señor Gonzalo De Jesús Ríos Correa arrolló a la señora Emitela Jiménez. </w:t>
            </w:r>
          </w:p>
        </w:tc>
      </w:tr>
      <w:tr w:rsidR="002636A6" w:rsidRPr="002636A6" w14:paraId="500322E8" w14:textId="77777777" w:rsidTr="00C80DA3">
        <w:tc>
          <w:tcPr>
            <w:tcW w:w="2771" w:type="dxa"/>
            <w:shd w:val="clear" w:color="auto" w:fill="D9D9D9" w:themeFill="background1" w:themeFillShade="D9"/>
          </w:tcPr>
          <w:p w14:paraId="500322E6" w14:textId="77777777" w:rsidR="00A751C2" w:rsidRPr="002636A6" w:rsidRDefault="00A751C2" w:rsidP="00A751C2">
            <w:pPr>
              <w:rPr>
                <w:rFonts w:ascii="Arial" w:hAnsi="Arial" w:cs="Arial"/>
                <w:b/>
                <w:sz w:val="20"/>
                <w:szCs w:val="20"/>
              </w:rPr>
            </w:pPr>
            <w:r w:rsidRPr="002636A6">
              <w:rPr>
                <w:rFonts w:ascii="Arial" w:hAnsi="Arial" w:cs="Arial"/>
                <w:b/>
                <w:sz w:val="20"/>
                <w:szCs w:val="20"/>
              </w:rPr>
              <w:t>Descripción de las pretensiones:</w:t>
            </w:r>
          </w:p>
        </w:tc>
        <w:tc>
          <w:tcPr>
            <w:tcW w:w="7938" w:type="dxa"/>
          </w:tcPr>
          <w:p w14:paraId="22F62423" w14:textId="15605808" w:rsidR="003874E9" w:rsidRPr="002636A6" w:rsidRDefault="003874E9" w:rsidP="003874E9">
            <w:pPr>
              <w:spacing w:line="276" w:lineRule="auto"/>
              <w:jc w:val="both"/>
              <w:rPr>
                <w:rFonts w:ascii="Arial" w:hAnsi="Arial" w:cs="Arial"/>
                <w:sz w:val="20"/>
                <w:szCs w:val="20"/>
              </w:rPr>
            </w:pPr>
            <w:r w:rsidRPr="002636A6">
              <w:rPr>
                <w:rFonts w:ascii="Arial" w:hAnsi="Arial" w:cs="Arial"/>
                <w:sz w:val="20"/>
                <w:szCs w:val="20"/>
              </w:rPr>
              <w:t>Las pretensiones se encuentran encaminadas al reconocimiento y pago de</w:t>
            </w:r>
            <w:r w:rsidR="00B21373" w:rsidRPr="002636A6">
              <w:rPr>
                <w:rFonts w:ascii="Arial" w:hAnsi="Arial" w:cs="Arial"/>
                <w:sz w:val="20"/>
                <w:szCs w:val="20"/>
              </w:rPr>
              <w:t xml:space="preserve"> 600SMLMV</w:t>
            </w:r>
            <w:r w:rsidR="00EB0D00" w:rsidRPr="002636A6">
              <w:rPr>
                <w:rFonts w:ascii="Arial" w:hAnsi="Arial" w:cs="Arial"/>
                <w:sz w:val="20"/>
                <w:szCs w:val="20"/>
              </w:rPr>
              <w:t xml:space="preserve">: </w:t>
            </w:r>
            <w:r w:rsidRPr="002636A6">
              <w:rPr>
                <w:rFonts w:ascii="Arial" w:hAnsi="Arial" w:cs="Arial"/>
                <w:sz w:val="20"/>
                <w:szCs w:val="20"/>
              </w:rPr>
              <w:t xml:space="preserve">Discriminada de la siguiente forma: </w:t>
            </w:r>
          </w:p>
          <w:p w14:paraId="57D51B05" w14:textId="77777777" w:rsidR="003874E9" w:rsidRPr="002636A6" w:rsidRDefault="003874E9" w:rsidP="003874E9">
            <w:pPr>
              <w:spacing w:line="276" w:lineRule="auto"/>
              <w:jc w:val="both"/>
              <w:rPr>
                <w:rFonts w:ascii="Arial" w:hAnsi="Arial" w:cs="Arial"/>
                <w:sz w:val="20"/>
                <w:szCs w:val="20"/>
              </w:rPr>
            </w:pPr>
          </w:p>
          <w:p w14:paraId="29AD08E4" w14:textId="4C933E4F" w:rsidR="00A751C2" w:rsidRPr="002636A6" w:rsidRDefault="001A6306" w:rsidP="00A751C2">
            <w:pPr>
              <w:jc w:val="both"/>
              <w:rPr>
                <w:rFonts w:ascii="Arial" w:hAnsi="Arial" w:cs="Arial"/>
                <w:sz w:val="20"/>
                <w:szCs w:val="20"/>
              </w:rPr>
            </w:pPr>
            <w:r w:rsidRPr="002636A6">
              <w:rPr>
                <w:rFonts w:ascii="Arial" w:hAnsi="Arial" w:cs="Arial"/>
                <w:sz w:val="20"/>
                <w:szCs w:val="20"/>
              </w:rPr>
              <w:t xml:space="preserve">Daños Morales: </w:t>
            </w:r>
            <w:r w:rsidR="00EB0D00" w:rsidRPr="002636A6">
              <w:rPr>
                <w:rFonts w:ascii="Arial" w:hAnsi="Arial" w:cs="Arial"/>
                <w:sz w:val="20"/>
                <w:szCs w:val="20"/>
              </w:rPr>
              <w:t>600 SMLMV equivalentes a $780.000.000 salario año 2024.</w:t>
            </w:r>
          </w:p>
          <w:p w14:paraId="500322E7" w14:textId="6EC8037E" w:rsidR="003E5A08" w:rsidRPr="002636A6" w:rsidRDefault="003E5A08" w:rsidP="00EB0D00">
            <w:pPr>
              <w:jc w:val="both"/>
              <w:rPr>
                <w:rFonts w:ascii="Arial" w:hAnsi="Arial" w:cs="Arial"/>
                <w:sz w:val="20"/>
                <w:szCs w:val="20"/>
              </w:rPr>
            </w:pPr>
          </w:p>
        </w:tc>
      </w:tr>
      <w:tr w:rsidR="002636A6" w:rsidRPr="002636A6" w14:paraId="500322EB" w14:textId="77777777" w:rsidTr="00C80DA3">
        <w:tc>
          <w:tcPr>
            <w:tcW w:w="2771" w:type="dxa"/>
            <w:shd w:val="clear" w:color="auto" w:fill="D9D9D9" w:themeFill="background1" w:themeFillShade="D9"/>
          </w:tcPr>
          <w:p w14:paraId="500322E9" w14:textId="77777777" w:rsidR="00A751C2" w:rsidRPr="002636A6" w:rsidRDefault="00A751C2" w:rsidP="00A751C2">
            <w:pPr>
              <w:rPr>
                <w:rFonts w:ascii="Arial" w:hAnsi="Arial" w:cs="Arial"/>
                <w:b/>
                <w:sz w:val="20"/>
                <w:szCs w:val="20"/>
              </w:rPr>
            </w:pPr>
            <w:r w:rsidRPr="002636A6">
              <w:rPr>
                <w:rFonts w:ascii="Arial" w:hAnsi="Arial" w:cs="Arial"/>
                <w:b/>
                <w:sz w:val="20"/>
                <w:szCs w:val="20"/>
              </w:rPr>
              <w:t>Pretensiones cuantificadas ($):</w:t>
            </w:r>
          </w:p>
        </w:tc>
        <w:tc>
          <w:tcPr>
            <w:tcW w:w="7938" w:type="dxa"/>
          </w:tcPr>
          <w:p w14:paraId="500322EA" w14:textId="292EFCB4" w:rsidR="00BC454C" w:rsidRPr="002636A6" w:rsidRDefault="00BC454C" w:rsidP="00A751C2">
            <w:pPr>
              <w:jc w:val="both"/>
              <w:rPr>
                <w:rFonts w:ascii="Arial" w:hAnsi="Arial" w:cs="Arial"/>
                <w:sz w:val="20"/>
                <w:szCs w:val="20"/>
              </w:rPr>
            </w:pPr>
            <w:r w:rsidRPr="002636A6">
              <w:rPr>
                <w:rFonts w:ascii="Arial" w:hAnsi="Arial" w:cs="Arial"/>
                <w:sz w:val="20"/>
                <w:szCs w:val="20"/>
              </w:rPr>
              <w:t>$</w:t>
            </w:r>
            <w:r w:rsidR="00802057" w:rsidRPr="002636A6">
              <w:rPr>
                <w:rFonts w:ascii="Arial" w:hAnsi="Arial" w:cs="Arial"/>
                <w:sz w:val="20"/>
                <w:szCs w:val="20"/>
              </w:rPr>
              <w:t>780.000.000</w:t>
            </w:r>
          </w:p>
        </w:tc>
      </w:tr>
      <w:tr w:rsidR="002636A6" w:rsidRPr="002636A6" w14:paraId="500322EE" w14:textId="77777777" w:rsidTr="00C80DA3">
        <w:tc>
          <w:tcPr>
            <w:tcW w:w="2771" w:type="dxa"/>
            <w:shd w:val="clear" w:color="auto" w:fill="D9D9D9" w:themeFill="background1" w:themeFillShade="D9"/>
          </w:tcPr>
          <w:p w14:paraId="500322EC" w14:textId="77777777" w:rsidR="00A751C2" w:rsidRPr="002636A6" w:rsidRDefault="00A751C2" w:rsidP="00A751C2">
            <w:pPr>
              <w:rPr>
                <w:rFonts w:ascii="Arial" w:hAnsi="Arial" w:cs="Arial"/>
                <w:b/>
                <w:sz w:val="20"/>
                <w:szCs w:val="20"/>
              </w:rPr>
            </w:pPr>
            <w:r w:rsidRPr="002636A6">
              <w:rPr>
                <w:rFonts w:ascii="Arial" w:hAnsi="Arial" w:cs="Arial"/>
                <w:b/>
                <w:sz w:val="20"/>
                <w:szCs w:val="20"/>
              </w:rPr>
              <w:t>Valor asegurado amparos afectados:</w:t>
            </w:r>
          </w:p>
        </w:tc>
        <w:tc>
          <w:tcPr>
            <w:tcW w:w="7938" w:type="dxa"/>
          </w:tcPr>
          <w:p w14:paraId="500322ED" w14:textId="2644C336" w:rsidR="00A751C2" w:rsidRPr="002636A6" w:rsidRDefault="00A31F75" w:rsidP="00A751C2">
            <w:pPr>
              <w:rPr>
                <w:rFonts w:ascii="Arial" w:hAnsi="Arial" w:cs="Arial"/>
                <w:b/>
                <w:bCs/>
                <w:sz w:val="20"/>
                <w:szCs w:val="20"/>
              </w:rPr>
            </w:pPr>
            <w:r w:rsidRPr="002636A6">
              <w:rPr>
                <w:rFonts w:ascii="Arial" w:hAnsi="Arial" w:cs="Arial"/>
                <w:b/>
                <w:bCs/>
                <w:sz w:val="20"/>
                <w:szCs w:val="20"/>
              </w:rPr>
              <w:t>$</w:t>
            </w:r>
            <w:r w:rsidR="00F00329" w:rsidRPr="002636A6">
              <w:rPr>
                <w:rFonts w:ascii="Arial" w:hAnsi="Arial" w:cs="Arial"/>
                <w:b/>
                <w:bCs/>
                <w:sz w:val="20"/>
                <w:szCs w:val="20"/>
              </w:rPr>
              <w:t>2.000.000.000</w:t>
            </w:r>
          </w:p>
        </w:tc>
      </w:tr>
      <w:tr w:rsidR="002636A6" w:rsidRPr="002636A6" w14:paraId="500322F1" w14:textId="77777777" w:rsidTr="00C80DA3">
        <w:tc>
          <w:tcPr>
            <w:tcW w:w="2771" w:type="dxa"/>
            <w:shd w:val="clear" w:color="auto" w:fill="D9D9D9" w:themeFill="background1" w:themeFillShade="D9"/>
          </w:tcPr>
          <w:p w14:paraId="500322EF" w14:textId="77777777" w:rsidR="00A751C2" w:rsidRPr="002636A6" w:rsidRDefault="00A751C2" w:rsidP="00A751C2">
            <w:pPr>
              <w:rPr>
                <w:rFonts w:ascii="Arial" w:hAnsi="Arial" w:cs="Arial"/>
                <w:b/>
                <w:sz w:val="20"/>
                <w:szCs w:val="20"/>
              </w:rPr>
            </w:pPr>
            <w:r w:rsidRPr="002636A6">
              <w:rPr>
                <w:rFonts w:ascii="Arial" w:hAnsi="Arial" w:cs="Arial"/>
                <w:b/>
                <w:sz w:val="20"/>
                <w:szCs w:val="20"/>
              </w:rPr>
              <w:t>Valoración objetiva de las pretensiones:</w:t>
            </w:r>
          </w:p>
        </w:tc>
        <w:tc>
          <w:tcPr>
            <w:tcW w:w="7938" w:type="dxa"/>
          </w:tcPr>
          <w:p w14:paraId="7860CE0E" w14:textId="77777777" w:rsidR="00F00329" w:rsidRPr="002636A6" w:rsidRDefault="00F00329" w:rsidP="00F00329">
            <w:pPr>
              <w:spacing w:line="312" w:lineRule="auto"/>
              <w:jc w:val="both"/>
              <w:rPr>
                <w:rFonts w:ascii="Arial" w:hAnsi="Arial" w:cs="Arial"/>
                <w:sz w:val="20"/>
                <w:szCs w:val="20"/>
              </w:rPr>
            </w:pPr>
            <w:r w:rsidRPr="002636A6">
              <w:rPr>
                <w:rFonts w:ascii="Arial" w:hAnsi="Arial" w:cs="Arial"/>
                <w:b/>
                <w:bCs/>
                <w:sz w:val="20"/>
                <w:szCs w:val="20"/>
              </w:rPr>
              <w:t>LIQUIDACIÓN OBJETIVA:</w:t>
            </w:r>
            <w:r w:rsidRPr="002636A6">
              <w:rPr>
                <w:rFonts w:ascii="Arial" w:hAnsi="Arial" w:cs="Arial"/>
                <w:sz w:val="20"/>
                <w:szCs w:val="20"/>
              </w:rPr>
              <w:t xml:space="preserve"> </w:t>
            </w:r>
            <w:r w:rsidRPr="002636A6">
              <w:rPr>
                <w:rFonts w:ascii="Arial" w:hAnsi="Arial" w:cs="Arial"/>
                <w:b/>
                <w:bCs/>
                <w:sz w:val="20"/>
                <w:szCs w:val="20"/>
                <w:u w:val="single"/>
              </w:rPr>
              <w:t>$793.000.000.</w:t>
            </w:r>
            <w:r w:rsidRPr="002636A6">
              <w:rPr>
                <w:rFonts w:ascii="Arial" w:hAnsi="Arial" w:cs="Arial"/>
                <w:sz w:val="20"/>
                <w:szCs w:val="20"/>
              </w:rPr>
              <w:t xml:space="preserve"> A este valor se llega de la siguiente manera:</w:t>
            </w:r>
          </w:p>
          <w:p w14:paraId="34CDE4F3" w14:textId="77777777" w:rsidR="00F00329" w:rsidRPr="002636A6" w:rsidRDefault="00F00329" w:rsidP="00F00329">
            <w:pPr>
              <w:spacing w:line="312" w:lineRule="auto"/>
              <w:jc w:val="both"/>
              <w:rPr>
                <w:rFonts w:ascii="Arial" w:hAnsi="Arial" w:cs="Arial"/>
                <w:sz w:val="20"/>
                <w:szCs w:val="20"/>
              </w:rPr>
            </w:pPr>
          </w:p>
          <w:p w14:paraId="59D50D7A" w14:textId="77777777" w:rsidR="00F00329" w:rsidRPr="002636A6" w:rsidRDefault="00F00329" w:rsidP="00F00329">
            <w:pPr>
              <w:spacing w:line="312" w:lineRule="auto"/>
              <w:jc w:val="both"/>
              <w:rPr>
                <w:rFonts w:ascii="Arial" w:hAnsi="Arial" w:cs="Arial"/>
                <w:b/>
                <w:bCs/>
                <w:sz w:val="20"/>
                <w:szCs w:val="20"/>
              </w:rPr>
            </w:pPr>
            <w:r w:rsidRPr="002636A6">
              <w:rPr>
                <w:rFonts w:ascii="Arial" w:hAnsi="Arial" w:cs="Arial"/>
                <w:b/>
                <w:bCs/>
                <w:sz w:val="20"/>
                <w:szCs w:val="20"/>
              </w:rPr>
              <w:t>Perjuicios morales: $793.000.000</w:t>
            </w:r>
          </w:p>
          <w:p w14:paraId="5D72DAEF" w14:textId="77777777" w:rsidR="00F00329" w:rsidRPr="002636A6" w:rsidRDefault="00F00329" w:rsidP="00F00329">
            <w:pPr>
              <w:spacing w:line="312" w:lineRule="auto"/>
              <w:jc w:val="both"/>
              <w:rPr>
                <w:rFonts w:ascii="Arial" w:hAnsi="Arial" w:cs="Arial"/>
                <w:sz w:val="20"/>
                <w:szCs w:val="20"/>
              </w:rPr>
            </w:pPr>
          </w:p>
          <w:p w14:paraId="1A45E5F5" w14:textId="77777777" w:rsidR="00F00329" w:rsidRPr="002636A6" w:rsidRDefault="00F00329" w:rsidP="00F00329">
            <w:pPr>
              <w:pStyle w:val="Prrafodelista"/>
              <w:numPr>
                <w:ilvl w:val="0"/>
                <w:numId w:val="5"/>
              </w:numPr>
              <w:spacing w:line="312" w:lineRule="auto"/>
              <w:jc w:val="both"/>
              <w:rPr>
                <w:rFonts w:ascii="Arial" w:hAnsi="Arial" w:cs="Arial"/>
                <w:sz w:val="20"/>
                <w:szCs w:val="20"/>
              </w:rPr>
            </w:pPr>
            <w:r w:rsidRPr="002636A6">
              <w:rPr>
                <w:rFonts w:ascii="Arial" w:hAnsi="Arial" w:cs="Arial"/>
                <w:sz w:val="20"/>
                <w:szCs w:val="20"/>
              </w:rPr>
              <w:t xml:space="preserve">Lesiones del señor Andrés Felipe Viveros Jiménez: </w:t>
            </w:r>
            <w:r w:rsidRPr="002636A6">
              <w:rPr>
                <w:rFonts w:ascii="Arial" w:hAnsi="Arial" w:cs="Arial"/>
                <w:b/>
                <w:bCs/>
                <w:sz w:val="20"/>
                <w:szCs w:val="20"/>
              </w:rPr>
              <w:t>$13.000.000</w:t>
            </w:r>
          </w:p>
          <w:p w14:paraId="0693A766" w14:textId="77777777" w:rsidR="00F00329" w:rsidRPr="002636A6" w:rsidRDefault="00F00329" w:rsidP="00F00329">
            <w:pPr>
              <w:spacing w:line="312" w:lineRule="auto"/>
              <w:jc w:val="both"/>
              <w:rPr>
                <w:rFonts w:ascii="Arial" w:hAnsi="Arial" w:cs="Arial"/>
                <w:sz w:val="20"/>
                <w:szCs w:val="20"/>
              </w:rPr>
            </w:pPr>
          </w:p>
          <w:p w14:paraId="69899ACA" w14:textId="77777777" w:rsidR="00F00329" w:rsidRPr="002636A6" w:rsidRDefault="00F00329" w:rsidP="00F00329">
            <w:pPr>
              <w:spacing w:line="312" w:lineRule="auto"/>
              <w:jc w:val="both"/>
              <w:rPr>
                <w:rFonts w:ascii="Arial" w:hAnsi="Arial" w:cs="Arial"/>
                <w:sz w:val="20"/>
                <w:szCs w:val="20"/>
              </w:rPr>
            </w:pPr>
            <w:r w:rsidRPr="002636A6">
              <w:rPr>
                <w:rFonts w:ascii="Arial" w:hAnsi="Arial" w:cs="Arial"/>
                <w:sz w:val="20"/>
                <w:szCs w:val="20"/>
              </w:rPr>
              <w:t xml:space="preserve">La suma de $13.000.000. Solo para el señor Andrés Felipe Viveros Jiménez tal y como fue solicitado en el escrito de la demanda. </w:t>
            </w:r>
            <w:r w:rsidRPr="002636A6">
              <w:rPr>
                <w:rFonts w:ascii="Arial" w:hAnsi="Arial" w:cs="Arial"/>
                <w:sz w:val="20"/>
                <w:szCs w:val="20"/>
                <w:bdr w:val="none" w:sz="0" w:space="0" w:color="auto" w:frame="1"/>
              </w:rPr>
              <w:t xml:space="preserve">Se liquida el valor que de acuerdo a la sentencia de unificación del H. Consejo de Estado se ha reconocido por daño moral en los casos de lesiones personales con porcentaje del 1% al 10%, toda vez que a la fecha no existe dictamen pericial que determine porcentaje de PCl, como tampoco dictamen de Medicina Legal que establezca secuelas permanentes o transitorias causadas al señor </w:t>
            </w:r>
            <w:r w:rsidRPr="002636A6">
              <w:rPr>
                <w:rFonts w:ascii="Arial" w:hAnsi="Arial" w:cs="Arial"/>
                <w:sz w:val="20"/>
                <w:szCs w:val="20"/>
              </w:rPr>
              <w:t xml:space="preserve">Andrés Felipe Viveros Jiménez por sus aparentes lesiones, </w:t>
            </w:r>
            <w:r w:rsidRPr="002636A6">
              <w:rPr>
                <w:rFonts w:ascii="Arial" w:hAnsi="Arial" w:cs="Arial"/>
                <w:sz w:val="20"/>
                <w:szCs w:val="20"/>
                <w:bdr w:val="none" w:sz="0" w:space="0" w:color="auto" w:frame="1"/>
              </w:rPr>
              <w:t>el cual asciende a 10 smmlv para la víctima directa y aquellos en el primer grado de consanguinidad (1 demandante –víctima directa) equivalentes a $13.000.000 (año 2024). </w:t>
            </w:r>
          </w:p>
          <w:p w14:paraId="5F043410" w14:textId="77777777" w:rsidR="00F00329" w:rsidRPr="002636A6" w:rsidRDefault="00F00329" w:rsidP="00F00329">
            <w:pPr>
              <w:pStyle w:val="NormalWeb"/>
              <w:shd w:val="clear" w:color="auto" w:fill="FFFFFF"/>
              <w:spacing w:before="0" w:beforeAutospacing="0" w:after="0" w:afterAutospacing="0" w:line="312" w:lineRule="atLeast"/>
              <w:jc w:val="both"/>
              <w:rPr>
                <w:rFonts w:ascii="Arial" w:hAnsi="Arial" w:cs="Arial"/>
                <w:sz w:val="20"/>
                <w:szCs w:val="20"/>
              </w:rPr>
            </w:pPr>
            <w:r w:rsidRPr="002636A6">
              <w:rPr>
                <w:rFonts w:ascii="Arial" w:hAnsi="Arial" w:cs="Arial"/>
                <w:sz w:val="20"/>
                <w:szCs w:val="20"/>
                <w:bdr w:val="none" w:sz="0" w:space="0" w:color="auto" w:frame="1"/>
              </w:rPr>
              <w:t>  </w:t>
            </w:r>
          </w:p>
          <w:p w14:paraId="3F4E2D3E" w14:textId="77777777" w:rsidR="00F00329" w:rsidRPr="002636A6" w:rsidRDefault="00F00329" w:rsidP="00F00329">
            <w:pPr>
              <w:pStyle w:val="Prrafodelista"/>
              <w:numPr>
                <w:ilvl w:val="0"/>
                <w:numId w:val="5"/>
              </w:numPr>
              <w:spacing w:line="312" w:lineRule="auto"/>
              <w:jc w:val="both"/>
              <w:rPr>
                <w:rFonts w:ascii="Arial" w:hAnsi="Arial" w:cs="Arial"/>
                <w:b/>
                <w:bCs/>
                <w:sz w:val="20"/>
                <w:szCs w:val="20"/>
                <w:u w:val="single"/>
              </w:rPr>
            </w:pPr>
            <w:r w:rsidRPr="002636A6">
              <w:rPr>
                <w:rFonts w:ascii="Arial" w:hAnsi="Arial" w:cs="Arial"/>
                <w:sz w:val="20"/>
                <w:szCs w:val="20"/>
                <w:bdr w:val="none" w:sz="0" w:space="0" w:color="auto" w:frame="1"/>
              </w:rPr>
              <w:t xml:space="preserve">Fallecimiento de la señora </w:t>
            </w:r>
            <w:r w:rsidRPr="002636A6">
              <w:rPr>
                <w:rFonts w:ascii="Arial" w:hAnsi="Arial" w:cs="Arial"/>
                <w:sz w:val="20"/>
                <w:szCs w:val="20"/>
              </w:rPr>
              <w:t xml:space="preserve">Emitelia Jiménez Camilo q.e.p.d.: </w:t>
            </w:r>
            <w:r w:rsidRPr="002636A6">
              <w:rPr>
                <w:rFonts w:ascii="Arial" w:hAnsi="Arial" w:cs="Arial"/>
                <w:b/>
                <w:bCs/>
                <w:sz w:val="20"/>
                <w:szCs w:val="20"/>
              </w:rPr>
              <w:t>$780.000.000</w:t>
            </w:r>
          </w:p>
          <w:p w14:paraId="352A7EC9" w14:textId="77777777" w:rsidR="00F00329" w:rsidRPr="002636A6" w:rsidRDefault="00F00329" w:rsidP="00F00329">
            <w:pPr>
              <w:spacing w:line="312" w:lineRule="auto"/>
              <w:jc w:val="both"/>
              <w:rPr>
                <w:rFonts w:ascii="Arial" w:hAnsi="Arial" w:cs="Arial"/>
                <w:sz w:val="20"/>
                <w:szCs w:val="20"/>
                <w:bdr w:val="none" w:sz="0" w:space="0" w:color="auto" w:frame="1"/>
              </w:rPr>
            </w:pPr>
          </w:p>
          <w:p w14:paraId="3A4EC800" w14:textId="77777777" w:rsidR="00F00329" w:rsidRPr="002636A6" w:rsidRDefault="00F00329" w:rsidP="00F00329">
            <w:pPr>
              <w:spacing w:line="312" w:lineRule="auto"/>
              <w:jc w:val="both"/>
              <w:rPr>
                <w:rFonts w:ascii="Arial" w:hAnsi="Arial" w:cs="Arial"/>
                <w:sz w:val="20"/>
                <w:szCs w:val="20"/>
                <w:bdr w:val="none" w:sz="0" w:space="0" w:color="auto" w:frame="1"/>
                <w:shd w:val="clear" w:color="auto" w:fill="FFFFFF"/>
              </w:rPr>
            </w:pPr>
            <w:r w:rsidRPr="002636A6">
              <w:rPr>
                <w:rFonts w:ascii="Arial" w:hAnsi="Arial" w:cs="Arial"/>
                <w:sz w:val="20"/>
                <w:szCs w:val="20"/>
                <w:bdr w:val="none" w:sz="0" w:space="0" w:color="auto" w:frame="1"/>
              </w:rPr>
              <w:t>La suma de $</w:t>
            </w:r>
            <w:r w:rsidRPr="002636A6">
              <w:rPr>
                <w:rFonts w:ascii="Arial" w:hAnsi="Arial" w:cs="Arial"/>
                <w:sz w:val="20"/>
                <w:szCs w:val="20"/>
                <w:bdr w:val="none" w:sz="0" w:space="0" w:color="auto" w:frame="1"/>
                <w:shd w:val="clear" w:color="auto" w:fill="FFFFFF"/>
              </w:rPr>
              <w:t>Se liquida el valor que de acuerdo a la sentencia de unificación del H. Consejo de Estado se ha reconocido por daño moral en los casos de muerte la suma de 100 SMLMV para aquellos en el primer grado de consanguinidad (2 demandantes – hijo y madre) equivalentes a 200SMLMV, igual a $260.000.000 (año 2024) y 50SMLMV para aquellos en segundo grado de consanguinidad (8 demandantes – 8 hermanos) equivalente a 400SMLMV igual a $520.000.000 (año 2024).</w:t>
            </w:r>
          </w:p>
          <w:p w14:paraId="7B5B7FD0" w14:textId="77777777" w:rsidR="00F00329" w:rsidRPr="002636A6" w:rsidRDefault="00F00329" w:rsidP="00F00329">
            <w:pPr>
              <w:spacing w:line="312" w:lineRule="auto"/>
              <w:jc w:val="both"/>
              <w:rPr>
                <w:rFonts w:ascii="Arial" w:hAnsi="Arial" w:cs="Arial"/>
                <w:sz w:val="20"/>
                <w:szCs w:val="20"/>
                <w:bdr w:val="none" w:sz="0" w:space="0" w:color="auto" w:frame="1"/>
                <w:shd w:val="clear" w:color="auto" w:fill="FFFFFF"/>
              </w:rPr>
            </w:pPr>
          </w:p>
          <w:p w14:paraId="00434A46" w14:textId="77777777" w:rsidR="00F00329" w:rsidRPr="002636A6" w:rsidRDefault="00F00329" w:rsidP="00F00329">
            <w:pPr>
              <w:spacing w:line="312" w:lineRule="auto"/>
              <w:jc w:val="both"/>
              <w:rPr>
                <w:rFonts w:ascii="Arial" w:hAnsi="Arial" w:cs="Arial"/>
                <w:sz w:val="20"/>
                <w:szCs w:val="20"/>
                <w:bdr w:val="none" w:sz="0" w:space="0" w:color="auto" w:frame="1"/>
                <w:shd w:val="clear" w:color="auto" w:fill="FFFFFF"/>
              </w:rPr>
            </w:pPr>
            <w:r w:rsidRPr="002636A6">
              <w:rPr>
                <w:rFonts w:ascii="Arial" w:hAnsi="Arial" w:cs="Arial"/>
                <w:b/>
                <w:bCs/>
                <w:sz w:val="20"/>
                <w:szCs w:val="20"/>
                <w:bdr w:val="none" w:sz="0" w:space="0" w:color="auto" w:frame="1"/>
                <w:shd w:val="clear" w:color="auto" w:fill="FFFFFF"/>
              </w:rPr>
              <w:t>Deducible:</w:t>
            </w:r>
            <w:r w:rsidRPr="002636A6">
              <w:rPr>
                <w:rFonts w:ascii="Arial" w:hAnsi="Arial" w:cs="Arial"/>
                <w:sz w:val="20"/>
                <w:szCs w:val="20"/>
                <w:bdr w:val="none" w:sz="0" w:space="0" w:color="auto" w:frame="1"/>
                <w:shd w:val="clear" w:color="auto" w:fill="FFFFFF"/>
              </w:rPr>
              <w:t xml:space="preserve"> No hay</w:t>
            </w:r>
          </w:p>
          <w:p w14:paraId="30850EB6" w14:textId="77777777" w:rsidR="00F00329" w:rsidRPr="002636A6" w:rsidRDefault="00F00329" w:rsidP="00F00329">
            <w:pPr>
              <w:spacing w:line="312" w:lineRule="auto"/>
              <w:jc w:val="both"/>
              <w:rPr>
                <w:rFonts w:ascii="Arial" w:hAnsi="Arial" w:cs="Arial"/>
                <w:sz w:val="20"/>
                <w:szCs w:val="20"/>
                <w:bdr w:val="none" w:sz="0" w:space="0" w:color="auto" w:frame="1"/>
                <w:shd w:val="clear" w:color="auto" w:fill="FFFFFF"/>
              </w:rPr>
            </w:pPr>
            <w:r w:rsidRPr="002636A6">
              <w:rPr>
                <w:rFonts w:ascii="Arial" w:hAnsi="Arial" w:cs="Arial"/>
                <w:b/>
                <w:bCs/>
                <w:sz w:val="20"/>
                <w:szCs w:val="20"/>
                <w:bdr w:val="none" w:sz="0" w:space="0" w:color="auto" w:frame="1"/>
                <w:shd w:val="clear" w:color="auto" w:fill="FFFFFF"/>
              </w:rPr>
              <w:t>Coaseguro:</w:t>
            </w:r>
            <w:r w:rsidRPr="002636A6">
              <w:rPr>
                <w:rFonts w:ascii="Arial" w:hAnsi="Arial" w:cs="Arial"/>
                <w:sz w:val="20"/>
                <w:szCs w:val="20"/>
                <w:bdr w:val="none" w:sz="0" w:space="0" w:color="auto" w:frame="1"/>
                <w:shd w:val="clear" w:color="auto" w:fill="FFFFFF"/>
              </w:rPr>
              <w:t xml:space="preserve"> No hay</w:t>
            </w:r>
          </w:p>
          <w:p w14:paraId="500322F0" w14:textId="602098DB" w:rsidR="00A751C2" w:rsidRPr="002636A6" w:rsidRDefault="00A751C2" w:rsidP="00A751C2">
            <w:pPr>
              <w:rPr>
                <w:rFonts w:ascii="Arial" w:hAnsi="Arial" w:cs="Arial"/>
                <w:sz w:val="20"/>
                <w:szCs w:val="20"/>
              </w:rPr>
            </w:pPr>
          </w:p>
        </w:tc>
      </w:tr>
      <w:tr w:rsidR="002636A6" w:rsidRPr="002636A6" w14:paraId="500322F4" w14:textId="77777777" w:rsidTr="00C80DA3">
        <w:tc>
          <w:tcPr>
            <w:tcW w:w="2771" w:type="dxa"/>
            <w:shd w:val="clear" w:color="auto" w:fill="D9D9D9" w:themeFill="background1" w:themeFillShade="D9"/>
          </w:tcPr>
          <w:p w14:paraId="500322F2" w14:textId="77777777" w:rsidR="00A751C2" w:rsidRPr="002636A6" w:rsidRDefault="00A751C2" w:rsidP="00A751C2">
            <w:pPr>
              <w:rPr>
                <w:rFonts w:ascii="Arial" w:hAnsi="Arial" w:cs="Arial"/>
                <w:b/>
                <w:sz w:val="20"/>
                <w:szCs w:val="20"/>
              </w:rPr>
            </w:pPr>
            <w:r w:rsidRPr="002636A6">
              <w:rPr>
                <w:rFonts w:ascii="Arial" w:hAnsi="Arial" w:cs="Arial"/>
                <w:b/>
                <w:sz w:val="20"/>
                <w:szCs w:val="20"/>
              </w:rPr>
              <w:lastRenderedPageBreak/>
              <w:t>Calificación de la contingencia:</w:t>
            </w:r>
          </w:p>
        </w:tc>
        <w:tc>
          <w:tcPr>
            <w:tcW w:w="7938" w:type="dxa"/>
          </w:tcPr>
          <w:p w14:paraId="500322F3" w14:textId="26D7399D" w:rsidR="00A751C2" w:rsidRPr="002636A6" w:rsidRDefault="00E06765" w:rsidP="00A751C2">
            <w:pPr>
              <w:jc w:val="both"/>
              <w:rPr>
                <w:rFonts w:ascii="Arial" w:hAnsi="Arial" w:cs="Arial"/>
                <w:sz w:val="20"/>
                <w:szCs w:val="20"/>
              </w:rPr>
            </w:pPr>
            <w:r w:rsidRPr="002636A6">
              <w:rPr>
                <w:rFonts w:ascii="Arial" w:hAnsi="Arial" w:cs="Arial"/>
                <w:sz w:val="20"/>
                <w:szCs w:val="20"/>
              </w:rPr>
              <w:t>REMOTA</w:t>
            </w:r>
          </w:p>
        </w:tc>
      </w:tr>
      <w:tr w:rsidR="002636A6" w:rsidRPr="002636A6" w14:paraId="500322F7" w14:textId="77777777" w:rsidTr="00C80DA3">
        <w:tc>
          <w:tcPr>
            <w:tcW w:w="2771" w:type="dxa"/>
            <w:shd w:val="clear" w:color="auto" w:fill="D9D9D9" w:themeFill="background1" w:themeFillShade="D9"/>
          </w:tcPr>
          <w:p w14:paraId="500322F5" w14:textId="77777777" w:rsidR="00A751C2" w:rsidRPr="002636A6" w:rsidRDefault="00A751C2" w:rsidP="00A751C2">
            <w:pPr>
              <w:rPr>
                <w:rFonts w:ascii="Arial" w:hAnsi="Arial" w:cs="Arial"/>
                <w:b/>
                <w:sz w:val="20"/>
                <w:szCs w:val="20"/>
              </w:rPr>
            </w:pPr>
            <w:r w:rsidRPr="002636A6">
              <w:rPr>
                <w:rFonts w:ascii="Arial" w:hAnsi="Arial" w:cs="Arial"/>
                <w:b/>
                <w:sz w:val="20"/>
                <w:szCs w:val="20"/>
              </w:rPr>
              <w:t>Motivos de la calificación:</w:t>
            </w:r>
          </w:p>
        </w:tc>
        <w:tc>
          <w:tcPr>
            <w:tcW w:w="7938" w:type="dxa"/>
          </w:tcPr>
          <w:p w14:paraId="4A532546" w14:textId="1635BF7A" w:rsidR="00E42B97" w:rsidRPr="002636A6" w:rsidRDefault="00E42B97" w:rsidP="00E42B97">
            <w:pPr>
              <w:spacing w:line="312" w:lineRule="auto"/>
              <w:jc w:val="both"/>
              <w:rPr>
                <w:rFonts w:ascii="Arial" w:hAnsi="Arial" w:cs="Arial"/>
                <w:sz w:val="20"/>
                <w:szCs w:val="20"/>
              </w:rPr>
            </w:pPr>
            <w:r w:rsidRPr="002636A6">
              <w:rPr>
                <w:rFonts w:ascii="Arial" w:hAnsi="Arial" w:cs="Arial"/>
                <w:sz w:val="20"/>
                <w:szCs w:val="20"/>
                <w:bdr w:val="none" w:sz="0" w:space="0" w:color="auto" w:frame="1"/>
                <w:shd w:val="clear" w:color="auto" w:fill="FFFFFF"/>
              </w:rPr>
              <w:t>La contingencia se</w:t>
            </w:r>
            <w:r w:rsidRPr="002636A6">
              <w:rPr>
                <w:rFonts w:ascii="Arial" w:hAnsi="Arial" w:cs="Arial"/>
                <w:sz w:val="20"/>
                <w:szCs w:val="20"/>
                <w:bdr w:val="none" w:sz="0" w:space="0" w:color="auto" w:frame="1"/>
                <w:shd w:val="clear" w:color="auto" w:fill="FFFFFF"/>
                <w:lang w:val="es-ES"/>
              </w:rPr>
              <w:t> califica como </w:t>
            </w:r>
            <w:r w:rsidRPr="002636A6">
              <w:rPr>
                <w:rFonts w:ascii="Arial" w:hAnsi="Arial" w:cs="Arial"/>
                <w:b/>
                <w:bCs/>
                <w:sz w:val="20"/>
                <w:szCs w:val="20"/>
                <w:bdr w:val="none" w:sz="0" w:space="0" w:color="auto" w:frame="1"/>
                <w:shd w:val="clear" w:color="auto" w:fill="FFFFFF"/>
                <w:lang w:val="es-ES"/>
              </w:rPr>
              <w:t>REMOTA,</w:t>
            </w:r>
            <w:r w:rsidRPr="002636A6">
              <w:rPr>
                <w:rFonts w:ascii="Arial" w:hAnsi="Arial" w:cs="Arial"/>
                <w:sz w:val="20"/>
                <w:szCs w:val="20"/>
                <w:bdr w:val="none" w:sz="0" w:space="0" w:color="auto" w:frame="1"/>
                <w:shd w:val="clear" w:color="auto" w:fill="FFFFFF"/>
                <w:lang w:val="es-ES"/>
              </w:rPr>
              <w:t xml:space="preserve"> toda vez que si bien es cierto el contrato de seguros presta cobertura material y temporal</w:t>
            </w:r>
            <w:r w:rsidRPr="002636A6">
              <w:rPr>
                <w:rFonts w:ascii="Arial" w:hAnsi="Arial" w:cs="Arial"/>
                <w:sz w:val="20"/>
                <w:szCs w:val="20"/>
                <w:bdr w:val="none" w:sz="0" w:space="0" w:color="auto" w:frame="1"/>
                <w:lang w:val="es-ES"/>
              </w:rPr>
              <w:t> la responsabilidad civil que se pretenden endilgar al asegurado no se encuentra acreditada. </w:t>
            </w:r>
            <w:r w:rsidRPr="002636A6">
              <w:rPr>
                <w:rFonts w:ascii="Arial" w:hAnsi="Arial" w:cs="Arial"/>
                <w:sz w:val="20"/>
                <w:szCs w:val="20"/>
                <w:bdr w:val="none" w:sz="0" w:space="0" w:color="auto" w:frame="1"/>
              </w:rPr>
              <w:t>  </w:t>
            </w:r>
          </w:p>
          <w:p w14:paraId="72C9C2B9" w14:textId="77777777" w:rsidR="00E42B97" w:rsidRPr="002636A6" w:rsidRDefault="00E42B97" w:rsidP="00E42B97">
            <w:pPr>
              <w:pStyle w:val="NormalWeb"/>
              <w:shd w:val="clear" w:color="auto" w:fill="FFFFFF"/>
              <w:spacing w:before="0" w:beforeAutospacing="0" w:after="0" w:afterAutospacing="0" w:line="312" w:lineRule="atLeast"/>
              <w:jc w:val="both"/>
              <w:rPr>
                <w:rFonts w:ascii="Arial" w:hAnsi="Arial" w:cs="Arial"/>
                <w:sz w:val="20"/>
                <w:szCs w:val="20"/>
              </w:rPr>
            </w:pPr>
            <w:r w:rsidRPr="002636A6">
              <w:rPr>
                <w:rFonts w:ascii="Arial" w:hAnsi="Arial" w:cs="Arial"/>
                <w:sz w:val="20"/>
                <w:szCs w:val="20"/>
                <w:bdr w:val="none" w:sz="0" w:space="0" w:color="auto" w:frame="1"/>
                <w:shd w:val="clear" w:color="auto" w:fill="FFFFFF"/>
                <w:lang w:val="es-ES"/>
              </w:rPr>
              <w:br/>
            </w:r>
            <w:r w:rsidRPr="002636A6">
              <w:rPr>
                <w:rFonts w:ascii="Arial" w:hAnsi="Arial" w:cs="Arial"/>
                <w:sz w:val="20"/>
                <w:szCs w:val="20"/>
                <w:bdr w:val="none" w:sz="0" w:space="0" w:color="auto" w:frame="1"/>
                <w:lang w:val="es-ES"/>
              </w:rPr>
              <w:t>Lo primero que debe tenerse en cuenta es que la</w:t>
            </w:r>
            <w:r w:rsidRPr="002636A6">
              <w:rPr>
                <w:rFonts w:ascii="Arial" w:hAnsi="Arial" w:cs="Arial"/>
                <w:sz w:val="20"/>
                <w:szCs w:val="20"/>
                <w:bdr w:val="none" w:sz="0" w:space="0" w:color="auto" w:frame="1"/>
              </w:rPr>
              <w:t> </w:t>
            </w:r>
            <w:r w:rsidRPr="002636A6">
              <w:rPr>
                <w:rFonts w:ascii="Arial" w:hAnsi="Arial" w:cs="Arial"/>
                <w:sz w:val="20"/>
                <w:szCs w:val="20"/>
              </w:rPr>
              <w:t>Póliza Seguro de Automóviles</w:t>
            </w:r>
            <w:r w:rsidRPr="002636A6">
              <w:rPr>
                <w:rFonts w:ascii="Arial" w:hAnsi="Arial" w:cs="Arial"/>
                <w:sz w:val="20"/>
                <w:szCs w:val="20"/>
                <w:bdr w:val="none" w:sz="0" w:space="0" w:color="auto" w:frame="1"/>
                <w:lang w:val="es-ES"/>
              </w:rPr>
              <w:t xml:space="preserve"> </w:t>
            </w:r>
            <w:r w:rsidRPr="002636A6">
              <w:rPr>
                <w:rFonts w:ascii="Arial" w:hAnsi="Arial" w:cs="Arial"/>
                <w:sz w:val="20"/>
                <w:szCs w:val="20"/>
              </w:rPr>
              <w:t>No. 396016</w:t>
            </w:r>
            <w:r w:rsidRPr="002636A6">
              <w:rPr>
                <w:rFonts w:ascii="Arial" w:hAnsi="Arial" w:cs="Arial"/>
                <w:b/>
                <w:bCs/>
                <w:sz w:val="20"/>
                <w:szCs w:val="20"/>
              </w:rPr>
              <w:t xml:space="preserve"> </w:t>
            </w:r>
            <w:r w:rsidRPr="002636A6">
              <w:rPr>
                <w:rFonts w:ascii="Arial" w:hAnsi="Arial" w:cs="Arial"/>
                <w:sz w:val="20"/>
                <w:szCs w:val="20"/>
                <w:bdr w:val="none" w:sz="0" w:space="0" w:color="auto" w:frame="1"/>
                <w:lang w:val="es-ES"/>
              </w:rPr>
              <w:t xml:space="preserve">cuyo asegurado es el Banco de Bogotá presta cobertura material y temporal de conformidad con los hechos y pretensiones expuestas en la demanda. Frente a la cobertura temporal, debe decirse que su modalidad es ocurrencia, la cual ampara la responsabilidad civil derivada de daños causados a terceros durante la vigencia de la póliza. En consecuencia, el contrato de seguro presta cobertura por su temporalidad, toda vez que, el hecho ocurrió el 19 de octubre de 2021 y la vigencia de la póliza comprende desde el </w:t>
            </w:r>
            <w:r w:rsidRPr="002636A6">
              <w:rPr>
                <w:rFonts w:ascii="Arial" w:hAnsi="Arial" w:cs="Arial"/>
                <w:sz w:val="20"/>
                <w:szCs w:val="20"/>
              </w:rPr>
              <w:t>14 de junio de 2021 al 14 de junio de 2022</w:t>
            </w:r>
            <w:r w:rsidRPr="002636A6">
              <w:rPr>
                <w:rFonts w:ascii="Arial" w:hAnsi="Arial" w:cs="Arial"/>
                <w:sz w:val="20"/>
                <w:szCs w:val="20"/>
                <w:bdr w:val="none" w:sz="0" w:space="0" w:color="auto" w:frame="1"/>
              </w:rPr>
              <w:t>. Aunado a ello, presta cobertura material toda vez que, ampara la responsabilidad civil por el riesgo que se encuentra trasladado por el amparo de lesiones o muerte a una o más personas.   </w:t>
            </w:r>
          </w:p>
          <w:p w14:paraId="41401A4F" w14:textId="77777777" w:rsidR="00E42B97" w:rsidRPr="002636A6" w:rsidRDefault="00E42B97" w:rsidP="00E42B97">
            <w:pPr>
              <w:pStyle w:val="NormalWeb"/>
              <w:shd w:val="clear" w:color="auto" w:fill="FFFFFF"/>
              <w:spacing w:before="0" w:beforeAutospacing="0" w:after="0" w:afterAutospacing="0" w:line="312" w:lineRule="atLeast"/>
              <w:jc w:val="both"/>
              <w:rPr>
                <w:rFonts w:ascii="Arial" w:hAnsi="Arial" w:cs="Arial"/>
                <w:sz w:val="20"/>
                <w:szCs w:val="20"/>
              </w:rPr>
            </w:pPr>
            <w:r w:rsidRPr="002636A6">
              <w:rPr>
                <w:rFonts w:ascii="Arial" w:hAnsi="Arial" w:cs="Arial"/>
                <w:sz w:val="20"/>
                <w:szCs w:val="20"/>
                <w:bdr w:val="none" w:sz="0" w:space="0" w:color="auto" w:frame="1"/>
                <w:shd w:val="clear" w:color="auto" w:fill="FFFFFF"/>
                <w:lang w:val="es-ES"/>
              </w:rPr>
              <w:t> </w:t>
            </w:r>
            <w:r w:rsidRPr="002636A6">
              <w:rPr>
                <w:rFonts w:ascii="Arial" w:hAnsi="Arial" w:cs="Arial"/>
                <w:sz w:val="20"/>
                <w:szCs w:val="20"/>
                <w:bdr w:val="none" w:sz="0" w:space="0" w:color="auto" w:frame="1"/>
              </w:rPr>
              <w:t> </w:t>
            </w:r>
          </w:p>
          <w:p w14:paraId="533E2024" w14:textId="76DF069D" w:rsidR="00E42B97" w:rsidRPr="002636A6" w:rsidRDefault="00E42B97" w:rsidP="00E42B97">
            <w:pPr>
              <w:pStyle w:val="NormalWeb"/>
              <w:shd w:val="clear" w:color="auto" w:fill="FFFFFF"/>
              <w:spacing w:before="0" w:beforeAutospacing="0" w:after="0" w:afterAutospacing="0" w:line="312" w:lineRule="atLeast"/>
              <w:jc w:val="both"/>
              <w:rPr>
                <w:rFonts w:ascii="Arial" w:hAnsi="Arial" w:cs="Arial"/>
                <w:sz w:val="20"/>
                <w:szCs w:val="20"/>
                <w:bdr w:val="none" w:sz="0" w:space="0" w:color="auto" w:frame="1"/>
              </w:rPr>
            </w:pPr>
            <w:r w:rsidRPr="002636A6">
              <w:rPr>
                <w:rStyle w:val="contentpasted1"/>
                <w:rFonts w:ascii="Arial" w:hAnsi="Arial" w:cs="Arial"/>
                <w:sz w:val="20"/>
                <w:szCs w:val="20"/>
                <w:bdr w:val="none" w:sz="0" w:space="0" w:color="auto" w:frame="1"/>
                <w:lang w:val="es-ES"/>
              </w:rPr>
              <w:lastRenderedPageBreak/>
              <w:t xml:space="preserve">Sin embargo, pese a que el contrato de seguros presta cobertura, la contingencia es remota toda vez que en este estado </w:t>
            </w:r>
            <w:r w:rsidR="008B2D00">
              <w:rPr>
                <w:rStyle w:val="contentpasted1"/>
                <w:rFonts w:ascii="Arial" w:hAnsi="Arial" w:cs="Arial"/>
                <w:sz w:val="20"/>
                <w:szCs w:val="20"/>
                <w:bdr w:val="none" w:sz="0" w:space="0" w:color="auto" w:frame="1"/>
                <w:lang w:val="es-ES"/>
              </w:rPr>
              <w:t xml:space="preserve">del proceso </w:t>
            </w:r>
            <w:r w:rsidRPr="002636A6">
              <w:rPr>
                <w:rStyle w:val="contentpasted1"/>
                <w:rFonts w:ascii="Arial" w:hAnsi="Arial" w:cs="Arial"/>
                <w:sz w:val="20"/>
                <w:szCs w:val="20"/>
                <w:bdr w:val="none" w:sz="0" w:space="0" w:color="auto" w:frame="1"/>
                <w:lang w:val="es-ES"/>
              </w:rPr>
              <w:t xml:space="preserve">no se ha acreditado la responsabilidad en cabeza del asegurado. </w:t>
            </w:r>
            <w:r w:rsidRPr="002636A6">
              <w:rPr>
                <w:rFonts w:ascii="Arial" w:hAnsi="Arial" w:cs="Arial"/>
                <w:sz w:val="20"/>
                <w:szCs w:val="20"/>
                <w:bdr w:val="none" w:sz="0" w:space="0" w:color="auto" w:frame="1"/>
                <w:shd w:val="clear" w:color="auto" w:fill="FFFFFF"/>
                <w:lang w:val="es-ES"/>
              </w:rPr>
              <w:t xml:space="preserve">Si bien es cierto, la conducción de vehículos automotores se erige como una “actividad peligrosa” </w:t>
            </w:r>
            <w:r w:rsidRPr="002636A6">
              <w:rPr>
                <w:rStyle w:val="normaltextrun"/>
                <w:rFonts w:ascii="Arial" w:hAnsi="Arial" w:cs="Arial"/>
                <w:sz w:val="20"/>
                <w:szCs w:val="20"/>
                <w:shd w:val="clear" w:color="auto" w:fill="FFFFFF"/>
              </w:rPr>
              <w:t>circunstancia que atribuye una presunción de culpabilidad en cabeza del transportador</w:t>
            </w:r>
            <w:r w:rsidRPr="002636A6">
              <w:rPr>
                <w:rFonts w:ascii="Arial" w:hAnsi="Arial" w:cs="Arial"/>
                <w:sz w:val="20"/>
                <w:szCs w:val="20"/>
                <w:bdr w:val="none" w:sz="0" w:space="0" w:color="auto" w:frame="1"/>
                <w:shd w:val="clear" w:color="auto" w:fill="FFFFFF"/>
                <w:lang w:val="es-ES"/>
              </w:rPr>
              <w:t>; es también cierto que,</w:t>
            </w:r>
            <w:r w:rsidRPr="002636A6">
              <w:rPr>
                <w:rStyle w:val="normaltextrun"/>
                <w:rFonts w:ascii="Arial" w:hAnsi="Arial" w:cs="Arial"/>
                <w:i/>
                <w:iCs/>
                <w:sz w:val="20"/>
                <w:szCs w:val="20"/>
                <w:shd w:val="clear" w:color="auto" w:fill="FFFFFF"/>
              </w:rPr>
              <w:t xml:space="preserve"> </w:t>
            </w:r>
            <w:r w:rsidRPr="002636A6">
              <w:rPr>
                <w:rFonts w:ascii="Arial" w:hAnsi="Arial" w:cs="Arial"/>
                <w:sz w:val="20"/>
                <w:szCs w:val="20"/>
                <w:bdr w:val="none" w:sz="0" w:space="0" w:color="auto" w:frame="1"/>
                <w:shd w:val="clear" w:color="auto" w:fill="FFFFFF"/>
                <w:lang w:val="es-ES"/>
              </w:rPr>
              <w:t xml:space="preserve">en el informe Policial de Accidente de Tránsito No. A001312860 se le atribuyó la hipótesis de causa probable a la víctima y conductor de la motocicleta de placas </w:t>
            </w:r>
            <w:r w:rsidRPr="002636A6">
              <w:rPr>
                <w:rFonts w:ascii="Arial" w:hAnsi="Arial" w:cs="Arial"/>
                <w:b/>
                <w:bCs/>
                <w:sz w:val="20"/>
                <w:szCs w:val="20"/>
              </w:rPr>
              <w:t>RBN59E</w:t>
            </w:r>
            <w:r w:rsidRPr="002636A6">
              <w:rPr>
                <w:rFonts w:ascii="Arial" w:hAnsi="Arial" w:cs="Arial"/>
                <w:sz w:val="20"/>
                <w:szCs w:val="20"/>
              </w:rPr>
              <w:t xml:space="preserve"> así </w:t>
            </w:r>
            <w:r w:rsidRPr="002636A6">
              <w:rPr>
                <w:rFonts w:ascii="Arial" w:hAnsi="Arial" w:cs="Arial"/>
                <w:i/>
                <w:iCs/>
                <w:sz w:val="20"/>
                <w:szCs w:val="20"/>
              </w:rPr>
              <w:t xml:space="preserve">“la hipótesis corresponde a una maniobra propia del conductor de la motocicleta, quien de manera imprudente transita por el mismo carril de la volqueta en zona de construcción, con material suelto sobre la casa asfáltica, sufriendo volcamiento de la motocicleta” </w:t>
            </w:r>
            <w:r w:rsidRPr="002636A6">
              <w:rPr>
                <w:rFonts w:ascii="Arial" w:hAnsi="Arial" w:cs="Arial"/>
                <w:sz w:val="20"/>
                <w:szCs w:val="20"/>
                <w:bdr w:val="none" w:sz="0" w:space="0" w:color="auto" w:frame="1"/>
                <w:shd w:val="clear" w:color="auto" w:fill="FFFFFF"/>
                <w:lang w:val="es-ES"/>
              </w:rPr>
              <w:t xml:space="preserve">razón por la cual existen elementos para determinar un hecho exclusivo de la víctima como eximente de responsabilidad frente a las lesiones del señor </w:t>
            </w:r>
            <w:r w:rsidRPr="002636A6">
              <w:rPr>
                <w:rFonts w:ascii="Arial" w:hAnsi="Arial" w:cs="Arial"/>
                <w:sz w:val="20"/>
                <w:szCs w:val="20"/>
              </w:rPr>
              <w:t xml:space="preserve">Andrés Felipe Viveros Jiménez y hecho de un tercero determinado frente al fallecimiento de la señora Emitelia Jiménez Camilo q.e.p.d., quien se desplazaba como pasajera de la mencionada motocicleta. Adicionalmente, en el evento que se llegare a determinar que el presunto volcamiento de la motocicleta se produjo por el material suelto que se encontraba en la vía, esta situación no es constitutiva de responsabilidad frente al manejo del vehículo automotor de placas </w:t>
            </w:r>
            <w:r w:rsidRPr="002636A6">
              <w:rPr>
                <w:rFonts w:ascii="Arial" w:hAnsi="Arial" w:cs="Arial"/>
                <w:b/>
                <w:bCs/>
                <w:sz w:val="20"/>
                <w:szCs w:val="20"/>
              </w:rPr>
              <w:t>TJV589</w:t>
            </w:r>
            <w:r w:rsidRPr="002636A6">
              <w:rPr>
                <w:rFonts w:ascii="Arial" w:hAnsi="Arial" w:cs="Arial"/>
                <w:sz w:val="20"/>
                <w:szCs w:val="20"/>
              </w:rPr>
              <w:t xml:space="preserve"> asegurado en la póliza Seguro de Automóviles</w:t>
            </w:r>
            <w:r w:rsidRPr="002636A6">
              <w:rPr>
                <w:rFonts w:ascii="Arial" w:hAnsi="Arial" w:cs="Arial"/>
                <w:sz w:val="20"/>
                <w:szCs w:val="20"/>
                <w:bdr w:val="none" w:sz="0" w:space="0" w:color="auto" w:frame="1"/>
                <w:lang w:val="es-ES"/>
              </w:rPr>
              <w:t xml:space="preserve"> </w:t>
            </w:r>
            <w:r w:rsidRPr="002636A6">
              <w:rPr>
                <w:rFonts w:ascii="Arial" w:hAnsi="Arial" w:cs="Arial"/>
                <w:sz w:val="20"/>
                <w:szCs w:val="20"/>
              </w:rPr>
              <w:t>No. 396016</w:t>
            </w:r>
            <w:r w:rsidRPr="002636A6">
              <w:rPr>
                <w:rFonts w:ascii="Arial" w:hAnsi="Arial" w:cs="Arial"/>
                <w:b/>
                <w:bCs/>
                <w:sz w:val="20"/>
                <w:szCs w:val="20"/>
              </w:rPr>
              <w:t xml:space="preserve"> </w:t>
            </w:r>
            <w:r w:rsidRPr="002636A6">
              <w:rPr>
                <w:rFonts w:ascii="Arial" w:hAnsi="Arial" w:cs="Arial"/>
                <w:sz w:val="20"/>
                <w:szCs w:val="20"/>
              </w:rPr>
              <w:t xml:space="preserve">sino eventualmente del contratante y/o contratista de la obra pública No. 915.104.8.03.2019 encargados de la ejecución de la obra adelantada en el lugar de los hechos. </w:t>
            </w:r>
            <w:r w:rsidRPr="002636A6">
              <w:rPr>
                <w:rFonts w:ascii="Arial" w:hAnsi="Arial" w:cs="Arial"/>
                <w:sz w:val="20"/>
                <w:szCs w:val="20"/>
                <w:bdr w:val="none" w:sz="0" w:space="0" w:color="auto" w:frame="1"/>
              </w:rPr>
              <w:t>Así las cosas, es poco probable que el operador judicial determine que existió responsabilidad del vehículo asegurado. Lo señalado, sin perjuicio del carácter contingente del proceso. </w:t>
            </w:r>
          </w:p>
          <w:p w14:paraId="500322F6" w14:textId="1635BF7A" w:rsidR="00A751C2" w:rsidRPr="002636A6" w:rsidRDefault="00A751C2" w:rsidP="00A751C2">
            <w:pPr>
              <w:spacing w:line="276" w:lineRule="auto"/>
              <w:jc w:val="both"/>
              <w:rPr>
                <w:rFonts w:ascii="Arial" w:eastAsia="Arial" w:hAnsi="Arial" w:cs="Arial"/>
                <w:sz w:val="20"/>
                <w:szCs w:val="20"/>
              </w:rPr>
            </w:pPr>
          </w:p>
        </w:tc>
      </w:tr>
      <w:tr w:rsidR="002636A6" w:rsidRPr="002636A6" w14:paraId="50032300" w14:textId="77777777" w:rsidTr="00C80DA3">
        <w:tc>
          <w:tcPr>
            <w:tcW w:w="2771" w:type="dxa"/>
            <w:shd w:val="clear" w:color="auto" w:fill="D9D9D9" w:themeFill="background1" w:themeFillShade="D9"/>
          </w:tcPr>
          <w:p w14:paraId="500322F8" w14:textId="77777777" w:rsidR="00A751C2" w:rsidRPr="002636A6" w:rsidRDefault="00A751C2" w:rsidP="00A751C2">
            <w:pPr>
              <w:rPr>
                <w:rFonts w:ascii="Arial" w:hAnsi="Arial" w:cs="Arial"/>
                <w:b/>
                <w:sz w:val="20"/>
                <w:szCs w:val="20"/>
              </w:rPr>
            </w:pPr>
            <w:r w:rsidRPr="002636A6">
              <w:rPr>
                <w:rFonts w:ascii="Arial" w:hAnsi="Arial" w:cs="Arial"/>
                <w:b/>
                <w:sz w:val="20"/>
                <w:szCs w:val="20"/>
              </w:rPr>
              <w:lastRenderedPageBreak/>
              <w:t>Excepciones propuestas:</w:t>
            </w:r>
          </w:p>
        </w:tc>
        <w:tc>
          <w:tcPr>
            <w:tcW w:w="7938" w:type="dxa"/>
          </w:tcPr>
          <w:p w14:paraId="68D52092" w14:textId="77777777" w:rsidR="00802057" w:rsidRPr="002636A6" w:rsidRDefault="00802057" w:rsidP="00802057">
            <w:pPr>
              <w:pStyle w:val="Prrafodelista"/>
              <w:numPr>
                <w:ilvl w:val="0"/>
                <w:numId w:val="6"/>
              </w:numPr>
              <w:spacing w:line="312" w:lineRule="auto"/>
              <w:ind w:left="567" w:hanging="283"/>
              <w:jc w:val="both"/>
              <w:rPr>
                <w:rFonts w:ascii="Arial" w:hAnsi="Arial" w:cs="Arial"/>
                <w:bCs/>
                <w:sz w:val="20"/>
                <w:szCs w:val="20"/>
              </w:rPr>
            </w:pPr>
            <w:r w:rsidRPr="002636A6">
              <w:rPr>
                <w:rFonts w:ascii="Arial" w:hAnsi="Arial" w:cs="Arial"/>
                <w:bCs/>
                <w:sz w:val="20"/>
                <w:szCs w:val="20"/>
              </w:rPr>
              <w:t xml:space="preserve">INEXISTENCIA DE RESPONSABILIDAD POR ENCONTRARSE CONFIGURADA LA CAUSAL DE EXIMENTE DE RESPONSABILIDAD DENOMINADA HECHO EXCLUSIVO DE LA VÍCTIMA - ANDRÉS FELIPE VIVEROS JIMÉNEZ - LO CUAL CONCLUYÓ TAMBIEN EL FALLECIMIENTO DE LA SEÑORA EMITELIA JIMÉNEZ CAMILO Q.E.P.D. </w:t>
            </w:r>
          </w:p>
          <w:p w14:paraId="534F70D5" w14:textId="77777777" w:rsidR="00802057" w:rsidRPr="002636A6" w:rsidRDefault="00802057" w:rsidP="00802057">
            <w:pPr>
              <w:pStyle w:val="Prrafodelista"/>
              <w:numPr>
                <w:ilvl w:val="0"/>
                <w:numId w:val="6"/>
              </w:numPr>
              <w:spacing w:line="312" w:lineRule="auto"/>
              <w:ind w:left="567" w:hanging="283"/>
              <w:jc w:val="both"/>
              <w:rPr>
                <w:rFonts w:ascii="Arial" w:hAnsi="Arial" w:cs="Arial"/>
                <w:bCs/>
                <w:sz w:val="20"/>
                <w:szCs w:val="20"/>
              </w:rPr>
            </w:pPr>
            <w:r w:rsidRPr="002636A6">
              <w:rPr>
                <w:rFonts w:ascii="Arial" w:hAnsi="Arial" w:cs="Arial"/>
                <w:bCs/>
                <w:sz w:val="20"/>
                <w:szCs w:val="20"/>
              </w:rPr>
              <w:t xml:space="preserve">AUSENCIA DE RESPONSABILIDAD POR LA CONFIGURACIÓN DEL HECHO DE UN TERCERO INDETERMINADO. </w:t>
            </w:r>
          </w:p>
          <w:p w14:paraId="29A87585" w14:textId="77777777" w:rsidR="00802057" w:rsidRPr="002636A6" w:rsidRDefault="00802057" w:rsidP="00802057">
            <w:pPr>
              <w:pStyle w:val="Prrafodelista"/>
              <w:numPr>
                <w:ilvl w:val="0"/>
                <w:numId w:val="6"/>
              </w:numPr>
              <w:spacing w:line="312" w:lineRule="auto"/>
              <w:ind w:left="567" w:hanging="283"/>
              <w:jc w:val="both"/>
              <w:rPr>
                <w:rFonts w:ascii="Arial" w:hAnsi="Arial" w:cs="Arial"/>
                <w:bCs/>
                <w:sz w:val="20"/>
                <w:szCs w:val="20"/>
              </w:rPr>
            </w:pPr>
            <w:r w:rsidRPr="002636A6">
              <w:rPr>
                <w:rFonts w:ascii="Arial" w:hAnsi="Arial" w:cs="Arial"/>
                <w:bCs/>
                <w:sz w:val="20"/>
                <w:szCs w:val="20"/>
              </w:rPr>
              <w:t>IMPROCEDENTE RECONOCIMIENTO DE PERJUICIOS MORALES.</w:t>
            </w:r>
          </w:p>
          <w:p w14:paraId="3EB13680" w14:textId="77777777" w:rsidR="00802057" w:rsidRPr="002636A6" w:rsidRDefault="00802057" w:rsidP="00802057">
            <w:pPr>
              <w:pStyle w:val="Prrafodelista"/>
              <w:numPr>
                <w:ilvl w:val="0"/>
                <w:numId w:val="6"/>
              </w:numPr>
              <w:tabs>
                <w:tab w:val="left" w:pos="142"/>
              </w:tabs>
              <w:spacing w:line="312" w:lineRule="auto"/>
              <w:ind w:left="567" w:hanging="283"/>
              <w:jc w:val="both"/>
              <w:rPr>
                <w:rFonts w:ascii="Arial" w:hAnsi="Arial" w:cs="Arial"/>
                <w:bCs/>
                <w:sz w:val="20"/>
                <w:szCs w:val="20"/>
              </w:rPr>
            </w:pPr>
            <w:r w:rsidRPr="002636A6">
              <w:rPr>
                <w:rFonts w:ascii="Arial" w:hAnsi="Arial" w:cs="Arial"/>
                <w:bCs/>
                <w:sz w:val="20"/>
                <w:szCs w:val="20"/>
              </w:rPr>
              <w:t>INEXIGIBILIDAD DE LA OBLIGACIÓN INDEMNIZATORIA A CARGO DE LIBERTY SEGUROS S.A. POR LA NO REALIZACIÓN DEL RIESGO ASEGURADO EN LA PÓLIZA SEGURO DE AUTOMOVILES No. 396016.</w:t>
            </w:r>
          </w:p>
          <w:p w14:paraId="2F849568" w14:textId="77777777" w:rsidR="00802057" w:rsidRPr="002636A6" w:rsidRDefault="00802057" w:rsidP="00802057">
            <w:pPr>
              <w:numPr>
                <w:ilvl w:val="0"/>
                <w:numId w:val="6"/>
              </w:numPr>
              <w:tabs>
                <w:tab w:val="left" w:pos="567"/>
              </w:tabs>
              <w:spacing w:line="312" w:lineRule="auto"/>
              <w:ind w:left="567" w:hanging="283"/>
              <w:jc w:val="both"/>
              <w:rPr>
                <w:rFonts w:ascii="Arial" w:hAnsi="Arial" w:cs="Arial"/>
                <w:bCs/>
                <w:sz w:val="20"/>
                <w:szCs w:val="20"/>
                <w:lang w:eastAsia="es-CO"/>
              </w:rPr>
            </w:pPr>
            <w:r w:rsidRPr="002636A6">
              <w:rPr>
                <w:rFonts w:ascii="Arial" w:hAnsi="Arial" w:cs="Arial"/>
                <w:bCs/>
                <w:sz w:val="20"/>
                <w:szCs w:val="20"/>
                <w:lang w:eastAsia="es-CO"/>
              </w:rPr>
              <w:t xml:space="preserve">LAS EXCLUSIONES DE AMPARO CONCERTADAS EN LA </w:t>
            </w:r>
            <w:r w:rsidRPr="002636A6">
              <w:rPr>
                <w:rFonts w:ascii="Arial" w:hAnsi="Arial" w:cs="Arial"/>
                <w:bCs/>
                <w:sz w:val="20"/>
                <w:szCs w:val="20"/>
              </w:rPr>
              <w:t>PÓLIZA SEGURO DE AUTOMÓVILES NO. 396016.</w:t>
            </w:r>
          </w:p>
          <w:p w14:paraId="0C648682" w14:textId="77777777" w:rsidR="00802057" w:rsidRPr="002636A6" w:rsidRDefault="00802057" w:rsidP="00802057">
            <w:pPr>
              <w:pStyle w:val="Prrafodelista"/>
              <w:numPr>
                <w:ilvl w:val="0"/>
                <w:numId w:val="6"/>
              </w:numPr>
              <w:spacing w:line="312" w:lineRule="auto"/>
              <w:ind w:left="567" w:right="115" w:hanging="283"/>
              <w:jc w:val="both"/>
              <w:rPr>
                <w:rFonts w:ascii="Arial" w:hAnsi="Arial" w:cs="Arial"/>
                <w:bCs/>
                <w:sz w:val="20"/>
                <w:szCs w:val="20"/>
                <w:lang w:val="es-ES_tradnl" w:eastAsia="es-ES"/>
              </w:rPr>
            </w:pPr>
            <w:r w:rsidRPr="002636A6">
              <w:rPr>
                <w:rFonts w:ascii="Arial" w:hAnsi="Arial" w:cs="Arial"/>
                <w:bCs/>
                <w:iCs/>
                <w:sz w:val="20"/>
                <w:szCs w:val="20"/>
              </w:rPr>
              <w:t>C</w:t>
            </w:r>
            <w:r w:rsidRPr="002636A6">
              <w:rPr>
                <w:rFonts w:ascii="Arial" w:hAnsi="Arial" w:cs="Arial"/>
                <w:bCs/>
                <w:sz w:val="20"/>
                <w:szCs w:val="20"/>
                <w:lang w:val="es-ES_tradnl" w:eastAsia="es-ES"/>
              </w:rPr>
              <w:t>ARÁCTER MERAMENTE INDEMNIZATORIO QUE REVISTEN LOS CONTRATOS DE SEGURO.</w:t>
            </w:r>
          </w:p>
          <w:p w14:paraId="0788E6E5" w14:textId="77777777" w:rsidR="00802057" w:rsidRPr="002636A6" w:rsidRDefault="00802057" w:rsidP="00802057">
            <w:pPr>
              <w:pStyle w:val="Estilo"/>
              <w:numPr>
                <w:ilvl w:val="0"/>
                <w:numId w:val="6"/>
              </w:numPr>
              <w:spacing w:line="312" w:lineRule="auto"/>
              <w:ind w:left="567" w:hanging="283"/>
              <w:jc w:val="both"/>
              <w:textAlignment w:val="baseline"/>
              <w:rPr>
                <w:bCs/>
                <w:iCs/>
                <w:sz w:val="20"/>
                <w:szCs w:val="20"/>
                <w:lang w:val="es-CO"/>
              </w:rPr>
            </w:pPr>
            <w:r w:rsidRPr="002636A6">
              <w:rPr>
                <w:rFonts w:eastAsia="Calibri"/>
                <w:bCs/>
                <w:iCs/>
                <w:sz w:val="20"/>
                <w:szCs w:val="20"/>
                <w:lang w:val="es-CO"/>
              </w:rPr>
              <w:t>LÍMITES MÁXIMOS DE RESPONSABILIDAD DEL ASEGURADOR</w:t>
            </w:r>
            <w:r w:rsidRPr="002636A6">
              <w:rPr>
                <w:rFonts w:eastAsia="Calibri"/>
                <w:bCs/>
                <w:sz w:val="20"/>
                <w:szCs w:val="20"/>
                <w:lang w:val="es-CO"/>
              </w:rPr>
              <w:t xml:space="preserve"> Y CONDICIONES </w:t>
            </w:r>
            <w:r w:rsidRPr="002636A6">
              <w:rPr>
                <w:bCs/>
                <w:sz w:val="20"/>
                <w:szCs w:val="20"/>
                <w:lang w:val="es-CO"/>
              </w:rPr>
              <w:t xml:space="preserve">PACTADOS EN EL CONTRATO DE SEGURO DOCUMENTADO EN </w:t>
            </w:r>
            <w:r w:rsidRPr="002636A6">
              <w:rPr>
                <w:bCs/>
                <w:sz w:val="20"/>
                <w:szCs w:val="20"/>
              </w:rPr>
              <w:t>PÓLIZA SEGURO DE AUTOMÓVILES No. 396016.</w:t>
            </w:r>
          </w:p>
          <w:p w14:paraId="2A0EA57A" w14:textId="77777777" w:rsidR="00802057" w:rsidRPr="002636A6" w:rsidRDefault="00802057" w:rsidP="00802057">
            <w:pPr>
              <w:pStyle w:val="Prrafodelista"/>
              <w:numPr>
                <w:ilvl w:val="0"/>
                <w:numId w:val="6"/>
              </w:numPr>
              <w:spacing w:line="312" w:lineRule="auto"/>
              <w:ind w:left="567" w:hanging="283"/>
              <w:jc w:val="both"/>
              <w:rPr>
                <w:rFonts w:ascii="Arial" w:hAnsi="Arial" w:cs="Arial"/>
                <w:bCs/>
                <w:sz w:val="20"/>
                <w:szCs w:val="20"/>
              </w:rPr>
            </w:pPr>
            <w:r w:rsidRPr="002636A6">
              <w:rPr>
                <w:rFonts w:ascii="Arial" w:hAnsi="Arial" w:cs="Arial"/>
                <w:bCs/>
                <w:sz w:val="20"/>
                <w:szCs w:val="20"/>
              </w:rPr>
              <w:lastRenderedPageBreak/>
              <w:t xml:space="preserve">DISPONIBILIDAD DEL VALOR ASEGURADO </w:t>
            </w:r>
          </w:p>
          <w:p w14:paraId="0EEEFB56" w14:textId="77777777" w:rsidR="00802057" w:rsidRPr="002636A6" w:rsidRDefault="00802057" w:rsidP="00802057">
            <w:pPr>
              <w:pStyle w:val="Prrafodelista"/>
              <w:numPr>
                <w:ilvl w:val="0"/>
                <w:numId w:val="6"/>
              </w:numPr>
              <w:tabs>
                <w:tab w:val="left" w:pos="851"/>
              </w:tabs>
              <w:spacing w:line="312" w:lineRule="auto"/>
              <w:ind w:left="567" w:hanging="284"/>
              <w:jc w:val="both"/>
              <w:rPr>
                <w:rFonts w:ascii="Arial" w:hAnsi="Arial" w:cs="Arial"/>
                <w:bCs/>
                <w:sz w:val="20"/>
                <w:szCs w:val="20"/>
              </w:rPr>
            </w:pPr>
            <w:r w:rsidRPr="002636A6">
              <w:rPr>
                <w:rFonts w:ascii="Arial" w:hAnsi="Arial" w:cs="Arial"/>
                <w:bCs/>
                <w:sz w:val="20"/>
                <w:szCs w:val="20"/>
              </w:rPr>
              <w:t xml:space="preserve">PRESCRIPCIÓN DE LAS ACCIONES DERIVADAS DEL CONTRATO DE SEGURO. </w:t>
            </w:r>
          </w:p>
          <w:p w14:paraId="012CC6B2" w14:textId="77777777" w:rsidR="00802057" w:rsidRPr="002636A6" w:rsidRDefault="00802057" w:rsidP="00802057">
            <w:pPr>
              <w:pStyle w:val="Prrafodelista"/>
              <w:numPr>
                <w:ilvl w:val="0"/>
                <w:numId w:val="6"/>
              </w:numPr>
              <w:spacing w:line="312" w:lineRule="auto"/>
              <w:ind w:left="567" w:hanging="283"/>
              <w:jc w:val="both"/>
              <w:rPr>
                <w:rFonts w:ascii="Arial" w:hAnsi="Arial" w:cs="Arial"/>
                <w:bCs/>
                <w:sz w:val="20"/>
                <w:szCs w:val="20"/>
              </w:rPr>
            </w:pPr>
            <w:r w:rsidRPr="002636A6">
              <w:rPr>
                <w:rFonts w:ascii="Arial" w:hAnsi="Arial" w:cs="Arial"/>
                <w:bCs/>
                <w:sz w:val="20"/>
                <w:szCs w:val="20"/>
              </w:rPr>
              <w:t>REDUCCIÓN DE LA EVENTUAL INDEMNIZACIÓN COMO CONSECUENCIA DE LA INCIDENCIA DE LA</w:t>
            </w:r>
            <w:r w:rsidRPr="002636A6">
              <w:rPr>
                <w:rFonts w:ascii="Arial" w:hAnsi="Arial" w:cs="Arial"/>
                <w:bCs/>
                <w:sz w:val="20"/>
                <w:szCs w:val="20"/>
                <w:lang w:val="es-ES_tradnl"/>
              </w:rPr>
              <w:t xml:space="preserve"> CONDUCTA DEL SEÑOR </w:t>
            </w:r>
            <w:r w:rsidRPr="002636A6">
              <w:rPr>
                <w:rFonts w:ascii="Arial" w:hAnsi="Arial" w:cs="Arial"/>
                <w:bCs/>
                <w:sz w:val="20"/>
                <w:szCs w:val="20"/>
              </w:rPr>
              <w:t>ANDRÉS FELIPE VIVEROS JIMÉNEZ</w:t>
            </w:r>
            <w:r w:rsidRPr="002636A6">
              <w:rPr>
                <w:rFonts w:ascii="Arial" w:hAnsi="Arial" w:cs="Arial"/>
                <w:bCs/>
                <w:sz w:val="20"/>
                <w:szCs w:val="20"/>
                <w:lang w:val="es-ES_tradnl"/>
              </w:rPr>
              <w:t xml:space="preserve"> EN LA PRODUCCIÓN DEL DAÑO.</w:t>
            </w:r>
          </w:p>
          <w:p w14:paraId="2DCF53D6" w14:textId="77777777" w:rsidR="00802057" w:rsidRPr="002636A6" w:rsidRDefault="00802057" w:rsidP="00802057">
            <w:pPr>
              <w:pStyle w:val="Prrafodelista"/>
              <w:numPr>
                <w:ilvl w:val="0"/>
                <w:numId w:val="6"/>
              </w:numPr>
              <w:spacing w:line="312" w:lineRule="auto"/>
              <w:ind w:left="567" w:hanging="283"/>
              <w:jc w:val="both"/>
              <w:rPr>
                <w:rFonts w:ascii="Arial" w:hAnsi="Arial" w:cs="Arial"/>
                <w:bCs/>
                <w:sz w:val="20"/>
                <w:szCs w:val="20"/>
              </w:rPr>
            </w:pPr>
            <w:r w:rsidRPr="002636A6">
              <w:rPr>
                <w:rFonts w:ascii="Arial" w:hAnsi="Arial" w:cs="Arial"/>
                <w:bCs/>
                <w:sz w:val="20"/>
                <w:szCs w:val="20"/>
              </w:rPr>
              <w:t xml:space="preserve">GENÉRICA O INNOMINADA </w:t>
            </w:r>
          </w:p>
          <w:p w14:paraId="500322FF" w14:textId="77777777" w:rsidR="00E06765" w:rsidRPr="002636A6" w:rsidRDefault="00E06765" w:rsidP="004828D6">
            <w:pPr>
              <w:spacing w:line="312" w:lineRule="auto"/>
              <w:jc w:val="both"/>
              <w:rPr>
                <w:rFonts w:ascii="Arial" w:hAnsi="Arial" w:cs="Arial"/>
                <w:sz w:val="20"/>
                <w:szCs w:val="20"/>
              </w:rPr>
            </w:pPr>
          </w:p>
        </w:tc>
      </w:tr>
      <w:tr w:rsidR="002636A6" w:rsidRPr="002636A6" w14:paraId="50032303" w14:textId="77777777" w:rsidTr="00C80DA3">
        <w:tc>
          <w:tcPr>
            <w:tcW w:w="2771" w:type="dxa"/>
            <w:shd w:val="clear" w:color="auto" w:fill="D9D9D9" w:themeFill="background1" w:themeFillShade="D9"/>
          </w:tcPr>
          <w:p w14:paraId="50032301" w14:textId="77777777" w:rsidR="00A751C2" w:rsidRPr="002636A6" w:rsidRDefault="00A751C2" w:rsidP="00A751C2">
            <w:pPr>
              <w:rPr>
                <w:rFonts w:ascii="Arial" w:hAnsi="Arial" w:cs="Arial"/>
                <w:b/>
                <w:sz w:val="20"/>
                <w:szCs w:val="20"/>
              </w:rPr>
            </w:pPr>
            <w:r w:rsidRPr="002636A6">
              <w:rPr>
                <w:rFonts w:ascii="Arial" w:hAnsi="Arial" w:cs="Arial"/>
                <w:b/>
                <w:sz w:val="20"/>
                <w:szCs w:val="20"/>
              </w:rPr>
              <w:lastRenderedPageBreak/>
              <w:t>Concepto del abogado sobre la posibilidad de conciliar el caso y valor de una propuesta conciliatoria:</w:t>
            </w:r>
          </w:p>
        </w:tc>
        <w:tc>
          <w:tcPr>
            <w:tcW w:w="7938" w:type="dxa"/>
          </w:tcPr>
          <w:p w14:paraId="50032302" w14:textId="4E6748FE" w:rsidR="00A751C2" w:rsidRPr="002636A6" w:rsidRDefault="00C80DA3" w:rsidP="00A751C2">
            <w:pPr>
              <w:jc w:val="both"/>
              <w:rPr>
                <w:rFonts w:ascii="Arial" w:hAnsi="Arial" w:cs="Arial"/>
                <w:bCs/>
                <w:sz w:val="20"/>
                <w:szCs w:val="20"/>
              </w:rPr>
            </w:pPr>
            <w:r w:rsidRPr="002636A6">
              <w:rPr>
                <w:rFonts w:ascii="Arial" w:hAnsi="Arial" w:cs="Arial"/>
                <w:bCs/>
                <w:sz w:val="20"/>
                <w:szCs w:val="20"/>
              </w:rPr>
              <w:t xml:space="preserve">No se sugiere conciliar en este estadio procesal. </w:t>
            </w:r>
          </w:p>
        </w:tc>
      </w:tr>
    </w:tbl>
    <w:p w14:paraId="50032304" w14:textId="77777777" w:rsidR="0057097F" w:rsidRPr="002636A6" w:rsidRDefault="0057097F">
      <w:pPr>
        <w:rPr>
          <w:rFonts w:ascii="Arial" w:hAnsi="Arial" w:cs="Arial"/>
          <w:b/>
          <w:sz w:val="20"/>
          <w:szCs w:val="20"/>
        </w:rPr>
      </w:pPr>
    </w:p>
    <w:p w14:paraId="50032305" w14:textId="77777777" w:rsidR="0057097F" w:rsidRPr="002636A6" w:rsidRDefault="0057097F">
      <w:pPr>
        <w:rPr>
          <w:rFonts w:ascii="Arial" w:hAnsi="Arial" w:cs="Arial"/>
          <w:b/>
          <w:sz w:val="20"/>
          <w:szCs w:val="20"/>
        </w:rPr>
      </w:pPr>
    </w:p>
    <w:p w14:paraId="50032306" w14:textId="77777777" w:rsidR="0057097F" w:rsidRPr="002636A6" w:rsidRDefault="000B7A27">
      <w:pPr>
        <w:rPr>
          <w:rFonts w:ascii="Arial" w:hAnsi="Arial" w:cs="Arial"/>
          <w:b/>
          <w:sz w:val="20"/>
          <w:szCs w:val="20"/>
        </w:rPr>
      </w:pPr>
      <w:r w:rsidRPr="002636A6">
        <w:rPr>
          <w:rFonts w:ascii="Arial" w:hAnsi="Arial" w:cs="Arial"/>
          <w:b/>
          <w:sz w:val="20"/>
          <w:szCs w:val="20"/>
        </w:rPr>
        <w:t>INFORMACIÓN PARA LA AUDIENCIA DE CONCILIACIÓN:</w:t>
      </w:r>
    </w:p>
    <w:tbl>
      <w:tblPr>
        <w:tblStyle w:val="a0"/>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2636A6" w:rsidRPr="002636A6" w14:paraId="50032309" w14:textId="77777777">
        <w:trPr>
          <w:trHeight w:val="238"/>
        </w:trPr>
        <w:tc>
          <w:tcPr>
            <w:tcW w:w="4414" w:type="dxa"/>
            <w:shd w:val="clear" w:color="auto" w:fill="D9D9D9"/>
          </w:tcPr>
          <w:p w14:paraId="50032307" w14:textId="77777777" w:rsidR="0057097F" w:rsidRPr="002636A6" w:rsidRDefault="000B7A27">
            <w:pPr>
              <w:rPr>
                <w:rFonts w:ascii="Arial" w:hAnsi="Arial" w:cs="Arial"/>
                <w:b/>
                <w:sz w:val="20"/>
                <w:szCs w:val="20"/>
              </w:rPr>
            </w:pPr>
            <w:r w:rsidRPr="002636A6">
              <w:rPr>
                <w:rFonts w:ascii="Arial" w:hAnsi="Arial" w:cs="Arial"/>
                <w:b/>
                <w:sz w:val="20"/>
                <w:szCs w:val="20"/>
              </w:rPr>
              <w:t>Fecha y hora de la diligencia:</w:t>
            </w:r>
          </w:p>
        </w:tc>
        <w:tc>
          <w:tcPr>
            <w:tcW w:w="4414" w:type="dxa"/>
          </w:tcPr>
          <w:p w14:paraId="50032308" w14:textId="77777777" w:rsidR="0057097F" w:rsidRPr="002636A6" w:rsidRDefault="0057097F">
            <w:pPr>
              <w:rPr>
                <w:rFonts w:ascii="Arial" w:hAnsi="Arial" w:cs="Arial"/>
                <w:b/>
                <w:sz w:val="20"/>
                <w:szCs w:val="20"/>
              </w:rPr>
            </w:pPr>
          </w:p>
        </w:tc>
      </w:tr>
      <w:tr w:rsidR="002636A6" w:rsidRPr="002636A6" w14:paraId="5003230C" w14:textId="77777777">
        <w:tc>
          <w:tcPr>
            <w:tcW w:w="4414" w:type="dxa"/>
            <w:shd w:val="clear" w:color="auto" w:fill="D9D9D9"/>
          </w:tcPr>
          <w:p w14:paraId="5003230A" w14:textId="77777777" w:rsidR="0057097F" w:rsidRPr="002636A6" w:rsidRDefault="000B7A27">
            <w:pPr>
              <w:rPr>
                <w:rFonts w:ascii="Arial" w:hAnsi="Arial" w:cs="Arial"/>
                <w:b/>
                <w:sz w:val="20"/>
                <w:szCs w:val="20"/>
              </w:rPr>
            </w:pPr>
            <w:r w:rsidRPr="002636A6">
              <w:rPr>
                <w:rFonts w:ascii="Arial" w:hAnsi="Arial" w:cs="Arial"/>
                <w:b/>
                <w:sz w:val="20"/>
                <w:szCs w:val="20"/>
              </w:rPr>
              <w:t>Síntesis de los argumentos de la Compañía:</w:t>
            </w:r>
          </w:p>
        </w:tc>
        <w:tc>
          <w:tcPr>
            <w:tcW w:w="4414" w:type="dxa"/>
          </w:tcPr>
          <w:p w14:paraId="5003230B" w14:textId="77777777" w:rsidR="0057097F" w:rsidRPr="002636A6" w:rsidRDefault="0057097F">
            <w:pPr>
              <w:pBdr>
                <w:top w:val="nil"/>
                <w:left w:val="nil"/>
                <w:bottom w:val="nil"/>
                <w:right w:val="nil"/>
                <w:between w:val="nil"/>
              </w:pBdr>
              <w:spacing w:after="160" w:line="259" w:lineRule="auto"/>
              <w:ind w:left="720"/>
              <w:jc w:val="both"/>
              <w:rPr>
                <w:rFonts w:ascii="Arial" w:hAnsi="Arial" w:cs="Arial"/>
                <w:sz w:val="20"/>
                <w:szCs w:val="20"/>
              </w:rPr>
            </w:pPr>
          </w:p>
        </w:tc>
      </w:tr>
      <w:tr w:rsidR="002636A6" w:rsidRPr="002636A6" w14:paraId="5003230F" w14:textId="77777777">
        <w:tc>
          <w:tcPr>
            <w:tcW w:w="4414" w:type="dxa"/>
            <w:shd w:val="clear" w:color="auto" w:fill="D9D9D9"/>
          </w:tcPr>
          <w:p w14:paraId="5003230D" w14:textId="77777777" w:rsidR="0057097F" w:rsidRPr="002636A6" w:rsidRDefault="000B7A27">
            <w:pPr>
              <w:rPr>
                <w:rFonts w:ascii="Arial" w:hAnsi="Arial" w:cs="Arial"/>
                <w:b/>
                <w:sz w:val="20"/>
                <w:szCs w:val="20"/>
              </w:rPr>
            </w:pPr>
            <w:r w:rsidRPr="002636A6">
              <w:rPr>
                <w:rFonts w:ascii="Arial" w:hAnsi="Arial" w:cs="Arial"/>
                <w:b/>
                <w:sz w:val="20"/>
                <w:szCs w:val="20"/>
              </w:rPr>
              <w:t>Recomendaciones para la diligencia:</w:t>
            </w:r>
          </w:p>
        </w:tc>
        <w:tc>
          <w:tcPr>
            <w:tcW w:w="4414" w:type="dxa"/>
          </w:tcPr>
          <w:p w14:paraId="5003230E" w14:textId="77777777" w:rsidR="0057097F" w:rsidRPr="002636A6" w:rsidRDefault="0057097F">
            <w:pPr>
              <w:jc w:val="both"/>
              <w:rPr>
                <w:rFonts w:ascii="Arial" w:hAnsi="Arial" w:cs="Arial"/>
                <w:sz w:val="20"/>
                <w:szCs w:val="20"/>
              </w:rPr>
            </w:pPr>
          </w:p>
        </w:tc>
      </w:tr>
    </w:tbl>
    <w:p w14:paraId="50032310" w14:textId="77777777" w:rsidR="0057097F" w:rsidRPr="002636A6" w:rsidRDefault="0057097F">
      <w:pPr>
        <w:rPr>
          <w:rFonts w:ascii="Arial" w:hAnsi="Arial" w:cs="Arial"/>
          <w:b/>
          <w:sz w:val="20"/>
          <w:szCs w:val="20"/>
        </w:rPr>
      </w:pPr>
    </w:p>
    <w:sectPr w:rsidR="0057097F" w:rsidRPr="002636A6">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76E60" w14:textId="77777777" w:rsidR="00B72E5B" w:rsidRDefault="00B72E5B">
      <w:pPr>
        <w:spacing w:after="0" w:line="240" w:lineRule="auto"/>
      </w:pPr>
      <w:r>
        <w:separator/>
      </w:r>
    </w:p>
  </w:endnote>
  <w:endnote w:type="continuationSeparator" w:id="0">
    <w:p w14:paraId="2F2442AF" w14:textId="77777777" w:rsidR="00B72E5B" w:rsidRDefault="00B72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32313" w14:textId="77777777" w:rsidR="0057097F" w:rsidRDefault="0057097F">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32314" w14:textId="77777777" w:rsidR="0057097F" w:rsidRDefault="0057097F">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32316" w14:textId="77777777" w:rsidR="0057097F" w:rsidRDefault="0057097F">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25468" w14:textId="77777777" w:rsidR="00B72E5B" w:rsidRDefault="00B72E5B">
      <w:pPr>
        <w:spacing w:after="0" w:line="240" w:lineRule="auto"/>
      </w:pPr>
      <w:r>
        <w:separator/>
      </w:r>
    </w:p>
  </w:footnote>
  <w:footnote w:type="continuationSeparator" w:id="0">
    <w:p w14:paraId="7D70EE63" w14:textId="77777777" w:rsidR="00B72E5B" w:rsidRDefault="00B72E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32311" w14:textId="77777777" w:rsidR="0057097F" w:rsidRDefault="0057097F">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32312" w14:textId="77777777" w:rsidR="0057097F" w:rsidRDefault="0057097F">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32315" w14:textId="77777777" w:rsidR="0057097F" w:rsidRDefault="0057097F">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E4097"/>
    <w:multiLevelType w:val="hybridMultilevel"/>
    <w:tmpl w:val="A7D293BE"/>
    <w:lvl w:ilvl="0" w:tplc="8B66726E">
      <w:start w:val="1"/>
      <w:numFmt w:val="upperLetter"/>
      <w:lvlText w:val="%1."/>
      <w:lvlJc w:val="left"/>
      <w:pPr>
        <w:ind w:left="735" w:hanging="375"/>
      </w:pPr>
      <w:rPr>
        <w:rFonts w:hint="default"/>
        <w:b/>
        <w:bCs/>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602E43"/>
    <w:multiLevelType w:val="hybridMultilevel"/>
    <w:tmpl w:val="5D782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C55E72"/>
    <w:multiLevelType w:val="hybridMultilevel"/>
    <w:tmpl w:val="A45CD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F03B96"/>
    <w:multiLevelType w:val="hybridMultilevel"/>
    <w:tmpl w:val="CBFAE8CC"/>
    <w:lvl w:ilvl="0" w:tplc="69DEEF48">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7862822"/>
    <w:multiLevelType w:val="hybridMultilevel"/>
    <w:tmpl w:val="D2989A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63993BBE"/>
    <w:multiLevelType w:val="hybridMultilevel"/>
    <w:tmpl w:val="37DEBB06"/>
    <w:lvl w:ilvl="0" w:tplc="52142EF4">
      <w:start w:val="1"/>
      <w:numFmt w:val="upperLetter"/>
      <w:lvlText w:val="%1."/>
      <w:lvlJc w:val="left"/>
      <w:pPr>
        <w:ind w:left="720" w:hanging="360"/>
      </w:pPr>
      <w:rPr>
        <w:rFonts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557593865">
    <w:abstractNumId w:val="2"/>
  </w:num>
  <w:num w:numId="2" w16cid:durableId="324867110">
    <w:abstractNumId w:val="1"/>
  </w:num>
  <w:num w:numId="3" w16cid:durableId="1809729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15646250">
    <w:abstractNumId w:val="5"/>
  </w:num>
  <w:num w:numId="5" w16cid:durableId="25569891">
    <w:abstractNumId w:val="4"/>
  </w:num>
  <w:num w:numId="6" w16cid:durableId="3885762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97F"/>
    <w:rsid w:val="00003EB6"/>
    <w:rsid w:val="000B7A27"/>
    <w:rsid w:val="001A6306"/>
    <w:rsid w:val="001B3C8D"/>
    <w:rsid w:val="00231E70"/>
    <w:rsid w:val="002636A6"/>
    <w:rsid w:val="0031378B"/>
    <w:rsid w:val="003874E9"/>
    <w:rsid w:val="003E5A08"/>
    <w:rsid w:val="004828D6"/>
    <w:rsid w:val="0053049D"/>
    <w:rsid w:val="0057097F"/>
    <w:rsid w:val="00587E91"/>
    <w:rsid w:val="005A4426"/>
    <w:rsid w:val="006E05C1"/>
    <w:rsid w:val="007824BD"/>
    <w:rsid w:val="00802057"/>
    <w:rsid w:val="008B2D00"/>
    <w:rsid w:val="008C40E2"/>
    <w:rsid w:val="008E05A7"/>
    <w:rsid w:val="00917DA3"/>
    <w:rsid w:val="00A00C89"/>
    <w:rsid w:val="00A31F75"/>
    <w:rsid w:val="00A751C2"/>
    <w:rsid w:val="00A87A53"/>
    <w:rsid w:val="00AC5542"/>
    <w:rsid w:val="00B21373"/>
    <w:rsid w:val="00B44380"/>
    <w:rsid w:val="00B72E5B"/>
    <w:rsid w:val="00B900CA"/>
    <w:rsid w:val="00BC454C"/>
    <w:rsid w:val="00C32999"/>
    <w:rsid w:val="00C80DA3"/>
    <w:rsid w:val="00DE7831"/>
    <w:rsid w:val="00E06765"/>
    <w:rsid w:val="00E42B97"/>
    <w:rsid w:val="00EB0D00"/>
    <w:rsid w:val="00ED216D"/>
    <w:rsid w:val="00F00329"/>
    <w:rsid w:val="00F8535F"/>
    <w:rsid w:val="0BAEC5E2"/>
    <w:rsid w:val="357EB3F4"/>
    <w:rsid w:val="581B405C"/>
    <w:rsid w:val="61A8F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322BB"/>
  <w15:docId w15:val="{8209F675-AF01-42B7-AC89-68E162901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table" w:styleId="Tablaconcuadrcula">
    <w:name w:val="Table Grid"/>
    <w:basedOn w:val="Tablanormal"/>
    <w:uiPriority w:val="39"/>
    <w:rsid w:val="00C44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1071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0714"/>
  </w:style>
  <w:style w:type="paragraph" w:styleId="Piedepgina">
    <w:name w:val="footer"/>
    <w:basedOn w:val="Normal"/>
    <w:link w:val="PiedepginaCar"/>
    <w:uiPriority w:val="99"/>
    <w:unhideWhenUsed/>
    <w:rsid w:val="0011071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0714"/>
  </w:style>
  <w:style w:type="paragraph" w:styleId="Prrafodelista">
    <w:name w:val="List Paragraph"/>
    <w:aliases w:val="Bullets,titulo 3,List Paragraph,Ha"/>
    <w:basedOn w:val="Normal"/>
    <w:link w:val="PrrafodelistaCar"/>
    <w:uiPriority w:val="1"/>
    <w:qFormat/>
    <w:rsid w:val="00D807C9"/>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pPr>
      <w:spacing w:after="0" w:line="240" w:lineRule="auto"/>
    </w:pPr>
    <w:tblPr>
      <w:tblStyleRowBandSize w:val="1"/>
      <w:tblStyleColBandSize w:val="1"/>
    </w:tblPr>
  </w:style>
  <w:style w:type="table" w:customStyle="1" w:styleId="a0">
    <w:basedOn w:val="Tablanormal"/>
    <w:pPr>
      <w:spacing w:after="0" w:line="240" w:lineRule="auto"/>
    </w:pPr>
    <w:tblPr>
      <w:tblStyleRowBandSize w:val="1"/>
      <w:tblStyleColBandSize w:val="1"/>
    </w:tblPr>
  </w:style>
  <w:style w:type="paragraph" w:styleId="NormalWeb">
    <w:name w:val="Normal (Web)"/>
    <w:basedOn w:val="Normal"/>
    <w:uiPriority w:val="99"/>
    <w:unhideWhenUsed/>
    <w:rsid w:val="00E0676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ontentpasted0">
    <w:name w:val="contentpasted0"/>
    <w:basedOn w:val="Fuentedeprrafopredeter"/>
    <w:rsid w:val="00E06765"/>
  </w:style>
  <w:style w:type="character" w:customStyle="1" w:styleId="PrrafodelistaCar">
    <w:name w:val="Párrafo de lista Car"/>
    <w:aliases w:val="Bullets Car,titulo 3 Car,List Paragraph Car,Ha Car"/>
    <w:link w:val="Prrafodelista"/>
    <w:uiPriority w:val="1"/>
    <w:locked/>
    <w:rsid w:val="00E06765"/>
  </w:style>
  <w:style w:type="character" w:customStyle="1" w:styleId="contentpasted1">
    <w:name w:val="contentpasted1"/>
    <w:basedOn w:val="Fuentedeprrafopredeter"/>
    <w:rsid w:val="00E42B97"/>
  </w:style>
  <w:style w:type="character" w:customStyle="1" w:styleId="normaltextrun">
    <w:name w:val="normaltextrun"/>
    <w:basedOn w:val="Fuentedeprrafopredeter"/>
    <w:rsid w:val="00E42B97"/>
  </w:style>
  <w:style w:type="paragraph" w:customStyle="1" w:styleId="Estilo">
    <w:name w:val="Estilo"/>
    <w:rsid w:val="00802057"/>
    <w:pPr>
      <w:widowControl w:val="0"/>
      <w:autoSpaceDE w:val="0"/>
      <w:autoSpaceDN w:val="0"/>
      <w:adjustRightInd w:val="0"/>
      <w:spacing w:after="0" w:line="240" w:lineRule="auto"/>
    </w:pPr>
    <w:rPr>
      <w:rFonts w:ascii="Arial" w:eastAsia="Times New Roman" w:hAnsi="Arial" w:cs="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7" ma:contentTypeDescription="Crear nuevo documento." ma:contentTypeScope="" ma:versionID="9ed070f333dae9c408cc1c9418ec328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9ad137e19e70d4b2fc751bff472bdfb4"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gPEUXHpEkv6iNTPmMNv4mUtGELTw==">AMUW2mXw6yEd+9jWibgHWl34ppno8nsJ/6Dwq+AtQPE9U9XoSaUr6pNgv0IAKB/5tTZmXD6xK5H6AEJ5QRToCpORh+NvibipJpHI24CTVTCo2fCevPH7Y0Q=</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12F200-73FE-4B90-BAA0-3F797E26E2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AC6CB8E5-BB9B-4117-BCB0-976133B7969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03193A6-A634-4AEC-AC5B-53D853CD92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1242</Words>
  <Characters>6831</Characters>
  <Application>Microsoft Office Word</Application>
  <DocSecurity>0</DocSecurity>
  <Lines>56</Lines>
  <Paragraphs>16</Paragraphs>
  <ScaleCrop>false</ScaleCrop>
  <Company/>
  <LinksUpToDate>false</LinksUpToDate>
  <CharactersWithSpaces>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Mejia Guzman, Katy (Colombia)</dc:creator>
  <cp:lastModifiedBy>Kennie Lorena García Madrid</cp:lastModifiedBy>
  <cp:revision>37</cp:revision>
  <cp:lastPrinted>2023-02-19T22:55:00Z</cp:lastPrinted>
  <dcterms:created xsi:type="dcterms:W3CDTF">2020-08-08T15:35:00Z</dcterms:created>
  <dcterms:modified xsi:type="dcterms:W3CDTF">2024-03-07T20:34:00Z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50dc07d3-189a-455e-8b7f-dc2fa8e5d363</vt:lpwstr>
  </property>
  <property fmtid="{D5CDD505-2E9C-101B-9397-08002B2CF9AE}" pid="3" name="Clasificaciones">
    <vt:lpwstr>INTERNA</vt:lpwstr>
  </property>
  <property fmtid="{D5CDD505-2E9C-101B-9397-08002B2CF9AE}" pid="4" name="ContentTypeId">
    <vt:lpwstr>0x0101002C92A54D8AB3014FADD0201C99992F62</vt:lpwstr>
  </property>
</Properties>
</file>