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22BB" w14:textId="77777777" w:rsidR="0057097F" w:rsidRPr="00242DD3" w:rsidRDefault="000B7A27" w:rsidP="00242DD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242DD3">
        <w:rPr>
          <w:rFonts w:asciiTheme="minorHAnsi" w:hAnsiTheme="minorHAnsi" w:cstheme="minorHAnsi"/>
          <w:b/>
        </w:rPr>
        <w:t>INFORME INICIAL DEL PROCESO</w:t>
      </w:r>
    </w:p>
    <w:tbl>
      <w:tblPr>
        <w:tblStyle w:val="a"/>
        <w:tblW w:w="10410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6840"/>
      </w:tblGrid>
      <w:tr w:rsidR="0057097F" w:rsidRPr="00CE524B" w14:paraId="500322BE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BC" w14:textId="6D869902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Apoderado:</w:t>
            </w:r>
          </w:p>
        </w:tc>
        <w:tc>
          <w:tcPr>
            <w:tcW w:w="6840" w:type="dxa"/>
          </w:tcPr>
          <w:p w14:paraId="500322BD" w14:textId="77777777" w:rsidR="0057097F" w:rsidRPr="00242DD3" w:rsidRDefault="000B7A27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GUSTAVO ALBERTO HERRERA ÁVILA</w:t>
            </w:r>
          </w:p>
        </w:tc>
      </w:tr>
      <w:tr w:rsidR="0057097F" w:rsidRPr="00CE524B" w14:paraId="500322C1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BF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Tipo y # de Póliza:</w:t>
            </w:r>
          </w:p>
        </w:tc>
        <w:tc>
          <w:tcPr>
            <w:tcW w:w="6840" w:type="dxa"/>
          </w:tcPr>
          <w:p w14:paraId="500322C0" w14:textId="740B036B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Póliza de cumplimiento </w:t>
            </w:r>
            <w:r w:rsidR="009B6858" w:rsidRPr="00242DD3">
              <w:rPr>
                <w:rFonts w:asciiTheme="minorHAnsi" w:hAnsiTheme="minorHAnsi" w:cstheme="minorHAnsi"/>
              </w:rPr>
              <w:t>en favor de empresas prestadoras de servicios públicos y empresas industriales y comerciales del Estado</w:t>
            </w:r>
            <w:r w:rsidRPr="00242DD3">
              <w:rPr>
                <w:rFonts w:asciiTheme="minorHAnsi" w:hAnsiTheme="minorHAnsi" w:cstheme="minorHAnsi"/>
              </w:rPr>
              <w:t xml:space="preserve"> No. 2911436</w:t>
            </w:r>
          </w:p>
        </w:tc>
      </w:tr>
      <w:tr w:rsidR="0057097F" w:rsidRPr="00CE524B" w14:paraId="500322C4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C2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Amparos afectados:</w:t>
            </w:r>
          </w:p>
        </w:tc>
        <w:tc>
          <w:tcPr>
            <w:tcW w:w="6840" w:type="dxa"/>
          </w:tcPr>
          <w:p w14:paraId="500322C3" w14:textId="658F02B3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Cumplimiento del Contrato </w:t>
            </w:r>
          </w:p>
        </w:tc>
      </w:tr>
      <w:tr w:rsidR="0057097F" w:rsidRPr="00CE524B" w14:paraId="500322C7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C5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Tomador:</w:t>
            </w:r>
          </w:p>
        </w:tc>
        <w:tc>
          <w:tcPr>
            <w:tcW w:w="6840" w:type="dxa"/>
          </w:tcPr>
          <w:p w14:paraId="500322C6" w14:textId="356D9E8E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Proyectos de ingeniería PROING </w:t>
            </w:r>
            <w:proofErr w:type="gramStart"/>
            <w:r w:rsidRPr="00242DD3">
              <w:rPr>
                <w:rFonts w:asciiTheme="minorHAnsi" w:hAnsiTheme="minorHAnsi" w:cstheme="minorHAnsi"/>
              </w:rPr>
              <w:t>S.A</w:t>
            </w:r>
            <w:proofErr w:type="gramEnd"/>
          </w:p>
        </w:tc>
      </w:tr>
      <w:tr w:rsidR="0057097F" w:rsidRPr="00CE524B" w14:paraId="500322CA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C8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Asegurado:</w:t>
            </w:r>
          </w:p>
        </w:tc>
        <w:tc>
          <w:tcPr>
            <w:tcW w:w="6840" w:type="dxa"/>
          </w:tcPr>
          <w:p w14:paraId="500322C9" w14:textId="11FB86F9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COMPAÑÍA ENERGÉTICA DE OCCIDENTE S.A.S</w:t>
            </w:r>
            <w:r w:rsidR="00DA3CA5" w:rsidRPr="00242DD3">
              <w:rPr>
                <w:rFonts w:asciiTheme="minorHAnsi" w:hAnsiTheme="minorHAnsi" w:cstheme="minorHAnsi"/>
              </w:rPr>
              <w:t xml:space="preserve"> E.S.P.</w:t>
            </w:r>
          </w:p>
        </w:tc>
      </w:tr>
      <w:tr w:rsidR="0057097F" w:rsidRPr="00CE524B" w14:paraId="500322CD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CB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Tipo de Proceso:</w:t>
            </w:r>
          </w:p>
        </w:tc>
        <w:tc>
          <w:tcPr>
            <w:tcW w:w="6840" w:type="dxa"/>
          </w:tcPr>
          <w:p w14:paraId="500322CC" w14:textId="78E2A4F6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Proceso de Responsabilidad Civil Extracontractual </w:t>
            </w:r>
          </w:p>
        </w:tc>
      </w:tr>
      <w:tr w:rsidR="0057097F" w:rsidRPr="00CE524B" w14:paraId="500322D0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CE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Jurisdicción:</w:t>
            </w:r>
          </w:p>
        </w:tc>
        <w:tc>
          <w:tcPr>
            <w:tcW w:w="6840" w:type="dxa"/>
          </w:tcPr>
          <w:p w14:paraId="500322CF" w14:textId="4AC5786F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Civil </w:t>
            </w:r>
          </w:p>
        </w:tc>
      </w:tr>
      <w:tr w:rsidR="0057097F" w:rsidRPr="00CE524B" w14:paraId="500322D3" w14:textId="77777777" w:rsidTr="00242DD3">
        <w:trPr>
          <w:trHeight w:val="187"/>
        </w:trPr>
        <w:tc>
          <w:tcPr>
            <w:tcW w:w="3570" w:type="dxa"/>
            <w:shd w:val="clear" w:color="auto" w:fill="D9D9D9" w:themeFill="background1" w:themeFillShade="D9"/>
          </w:tcPr>
          <w:p w14:paraId="500322D1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Despacho:</w:t>
            </w:r>
          </w:p>
        </w:tc>
        <w:tc>
          <w:tcPr>
            <w:tcW w:w="6840" w:type="dxa"/>
          </w:tcPr>
          <w:p w14:paraId="500322D2" w14:textId="291FEE40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Juzgado Segundo Civil Municipal de Popayán</w:t>
            </w:r>
          </w:p>
        </w:tc>
      </w:tr>
      <w:tr w:rsidR="0057097F" w:rsidRPr="00CE524B" w14:paraId="500322D6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D4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Ciudad:</w:t>
            </w:r>
          </w:p>
        </w:tc>
        <w:tc>
          <w:tcPr>
            <w:tcW w:w="6840" w:type="dxa"/>
          </w:tcPr>
          <w:p w14:paraId="500322D5" w14:textId="77998A93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Popayán </w:t>
            </w:r>
          </w:p>
        </w:tc>
      </w:tr>
      <w:tr w:rsidR="0057097F" w:rsidRPr="00CE524B" w14:paraId="500322D9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D7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Radicado (23 dígitos):</w:t>
            </w:r>
          </w:p>
        </w:tc>
        <w:tc>
          <w:tcPr>
            <w:tcW w:w="6840" w:type="dxa"/>
          </w:tcPr>
          <w:p w14:paraId="500322D8" w14:textId="5FEDDF57" w:rsidR="0057097F" w:rsidRPr="00242DD3" w:rsidRDefault="0086327C" w:rsidP="00242DD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19-001-40-03-002-2023-00153-00</w:t>
            </w:r>
          </w:p>
        </w:tc>
      </w:tr>
      <w:tr w:rsidR="0057097F" w:rsidRPr="00CE524B" w14:paraId="500322DC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DA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Demandantes:</w:t>
            </w:r>
          </w:p>
        </w:tc>
        <w:tc>
          <w:tcPr>
            <w:tcW w:w="6840" w:type="dxa"/>
          </w:tcPr>
          <w:p w14:paraId="500322DB" w14:textId="72D84B85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  <w:lang w:val="es-419"/>
              </w:rPr>
            </w:pPr>
            <w:r w:rsidRPr="00242DD3">
              <w:rPr>
                <w:rFonts w:asciiTheme="minorHAnsi" w:hAnsiTheme="minorHAnsi" w:cstheme="minorHAnsi"/>
              </w:rPr>
              <w:t>ELIZABETH IBARRA TRUJILLO</w:t>
            </w:r>
          </w:p>
        </w:tc>
      </w:tr>
      <w:tr w:rsidR="0057097F" w:rsidRPr="00CE524B" w14:paraId="500322DF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DD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Demandados:</w:t>
            </w:r>
          </w:p>
        </w:tc>
        <w:tc>
          <w:tcPr>
            <w:tcW w:w="6840" w:type="dxa"/>
          </w:tcPr>
          <w:p w14:paraId="500322DE" w14:textId="09932FD2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COMPAÑÍA ENERGÉTICA DE OCCIDENTE S.A.S</w:t>
            </w:r>
            <w:r w:rsidR="00DA3CA5" w:rsidRPr="00242DD3">
              <w:rPr>
                <w:rFonts w:asciiTheme="minorHAnsi" w:hAnsiTheme="minorHAnsi" w:cstheme="minorHAnsi"/>
              </w:rPr>
              <w:t xml:space="preserve"> E.S.P.</w:t>
            </w:r>
          </w:p>
        </w:tc>
      </w:tr>
      <w:tr w:rsidR="0057097F" w:rsidRPr="00CE524B" w14:paraId="500322E2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E0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Tipo de vinculación de Liberty (directa, llamamiento en garantía, litisconsorte):</w:t>
            </w:r>
          </w:p>
        </w:tc>
        <w:tc>
          <w:tcPr>
            <w:tcW w:w="6840" w:type="dxa"/>
          </w:tcPr>
          <w:p w14:paraId="500322E1" w14:textId="1C1BC719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Llamada en garantía por parte de COMPAÑÍA ENERGÉTICA DE OCCIDENTE S.A.S</w:t>
            </w:r>
            <w:r w:rsidR="00DA3CA5" w:rsidRPr="00242DD3">
              <w:rPr>
                <w:rFonts w:asciiTheme="minorHAnsi" w:hAnsiTheme="minorHAnsi" w:cstheme="minorHAnsi"/>
              </w:rPr>
              <w:t xml:space="preserve"> E.S.P.</w:t>
            </w:r>
          </w:p>
        </w:tc>
      </w:tr>
      <w:tr w:rsidR="0057097F" w:rsidRPr="00CE524B" w14:paraId="500322E5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E3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Resumen de los hechos:</w:t>
            </w:r>
          </w:p>
        </w:tc>
        <w:tc>
          <w:tcPr>
            <w:tcW w:w="6840" w:type="dxa"/>
          </w:tcPr>
          <w:p w14:paraId="5B277774" w14:textId="0088C4A0" w:rsidR="00DA3CA5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Manifiesta la parte actora que el día veintiuno (21) de agosto 2020, en la ciudad de Popayán</w:t>
            </w:r>
            <w:r w:rsidR="00DA3CA5" w:rsidRPr="00242DD3">
              <w:rPr>
                <w:rFonts w:asciiTheme="minorHAnsi" w:hAnsiTheme="minorHAnsi" w:cstheme="minorHAnsi"/>
              </w:rPr>
              <w:t xml:space="preserve"> (</w:t>
            </w:r>
            <w:r w:rsidRPr="00242DD3">
              <w:rPr>
                <w:rFonts w:asciiTheme="minorHAnsi" w:hAnsiTheme="minorHAnsi" w:cstheme="minorHAnsi"/>
              </w:rPr>
              <w:t>Cauca</w:t>
            </w:r>
            <w:r w:rsidR="00DA3CA5" w:rsidRPr="00242DD3">
              <w:rPr>
                <w:rFonts w:asciiTheme="minorHAnsi" w:hAnsiTheme="minorHAnsi" w:cstheme="minorHAnsi"/>
              </w:rPr>
              <w:t>)</w:t>
            </w:r>
            <w:r w:rsidRPr="00242DD3">
              <w:rPr>
                <w:rFonts w:asciiTheme="minorHAnsi" w:hAnsiTheme="minorHAnsi" w:cstheme="minorHAnsi"/>
              </w:rPr>
              <w:t>, el señor JAIRO BARONA ROBAYO caminaba por el sector del puente de humilladero localizado en la carrera 6 número 2-78, frente al banco de la República “Sector Peatonal”</w:t>
            </w:r>
            <w:r w:rsidR="00DA3CA5" w:rsidRPr="00242DD3">
              <w:rPr>
                <w:rFonts w:asciiTheme="minorHAnsi" w:hAnsiTheme="minorHAnsi" w:cstheme="minorHAnsi"/>
              </w:rPr>
              <w:t>,</w:t>
            </w:r>
            <w:r w:rsidRPr="00242DD3">
              <w:rPr>
                <w:rFonts w:asciiTheme="minorHAnsi" w:hAnsiTheme="minorHAnsi" w:cstheme="minorHAnsi"/>
              </w:rPr>
              <w:t xml:space="preserve"> </w:t>
            </w:r>
            <w:r w:rsidR="00DA3CA5" w:rsidRPr="00242DD3">
              <w:rPr>
                <w:rFonts w:asciiTheme="minorHAnsi" w:hAnsiTheme="minorHAnsi" w:cstheme="minorHAnsi"/>
              </w:rPr>
              <w:t xml:space="preserve">cuando este </w:t>
            </w:r>
            <w:r w:rsidRPr="00242DD3">
              <w:rPr>
                <w:rFonts w:asciiTheme="minorHAnsi" w:hAnsiTheme="minorHAnsi" w:cstheme="minorHAnsi"/>
              </w:rPr>
              <w:t>cae a la rec</w:t>
            </w:r>
            <w:r w:rsidR="00DA3CA5" w:rsidRPr="00242DD3">
              <w:rPr>
                <w:rFonts w:asciiTheme="minorHAnsi" w:hAnsiTheme="minorHAnsi" w:cstheme="minorHAnsi"/>
              </w:rPr>
              <w:t>á</w:t>
            </w:r>
            <w:r w:rsidRPr="00242DD3">
              <w:rPr>
                <w:rFonts w:asciiTheme="minorHAnsi" w:hAnsiTheme="minorHAnsi" w:cstheme="minorHAnsi"/>
              </w:rPr>
              <w:t>mara de energía eléctrica la cual no contaba con su tapa o elementos de seguridad</w:t>
            </w:r>
            <w:r w:rsidR="00DA3CA5" w:rsidRPr="00242DD3">
              <w:rPr>
                <w:rFonts w:asciiTheme="minorHAnsi" w:hAnsiTheme="minorHAnsi" w:cstheme="minorHAnsi"/>
              </w:rPr>
              <w:t>. Según se aduce, la</w:t>
            </w:r>
            <w:r w:rsidRPr="00242DD3">
              <w:rPr>
                <w:rFonts w:asciiTheme="minorHAnsi" w:hAnsiTheme="minorHAnsi" w:cstheme="minorHAnsi"/>
              </w:rPr>
              <w:t xml:space="preserve"> caída</w:t>
            </w:r>
            <w:r w:rsidR="00DA3CA5" w:rsidRPr="00242DD3">
              <w:rPr>
                <w:rFonts w:asciiTheme="minorHAnsi" w:hAnsiTheme="minorHAnsi" w:cstheme="minorHAnsi"/>
              </w:rPr>
              <w:t xml:space="preserve"> </w:t>
            </w:r>
            <w:r w:rsidRPr="00242DD3">
              <w:rPr>
                <w:rFonts w:asciiTheme="minorHAnsi" w:hAnsiTheme="minorHAnsi" w:cstheme="minorHAnsi"/>
              </w:rPr>
              <w:t>caus</w:t>
            </w:r>
            <w:r w:rsidR="00DA3CA5" w:rsidRPr="00242DD3">
              <w:rPr>
                <w:rFonts w:asciiTheme="minorHAnsi" w:hAnsiTheme="minorHAnsi" w:cstheme="minorHAnsi"/>
              </w:rPr>
              <w:t>ó</w:t>
            </w:r>
            <w:r w:rsidRPr="00242DD3">
              <w:rPr>
                <w:rFonts w:asciiTheme="minorHAnsi" w:hAnsiTheme="minorHAnsi" w:cstheme="minorHAnsi"/>
              </w:rPr>
              <w:t xml:space="preserve"> su</w:t>
            </w:r>
            <w:r w:rsidR="00DA3CA5" w:rsidRPr="00242DD3">
              <w:rPr>
                <w:rFonts w:asciiTheme="minorHAnsi" w:hAnsiTheme="minorHAnsi" w:cstheme="minorHAnsi"/>
              </w:rPr>
              <w:t xml:space="preserve"> </w:t>
            </w:r>
            <w:r w:rsidRPr="00242DD3">
              <w:rPr>
                <w:rFonts w:asciiTheme="minorHAnsi" w:hAnsiTheme="minorHAnsi" w:cstheme="minorHAnsi"/>
              </w:rPr>
              <w:t xml:space="preserve">muerte. </w:t>
            </w:r>
          </w:p>
          <w:p w14:paraId="6EE43712" w14:textId="77777777" w:rsidR="00DA3CA5" w:rsidRPr="00242DD3" w:rsidRDefault="00DA3CA5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500322E4" w14:textId="543CBA7F" w:rsidR="0057097F" w:rsidRPr="00242DD3" w:rsidRDefault="0086327C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Indica igualmente que la rec</w:t>
            </w:r>
            <w:r w:rsidR="00DA3CA5" w:rsidRPr="00242DD3">
              <w:rPr>
                <w:rFonts w:asciiTheme="minorHAnsi" w:hAnsiTheme="minorHAnsi" w:cstheme="minorHAnsi"/>
              </w:rPr>
              <w:t>á</w:t>
            </w:r>
            <w:r w:rsidRPr="00242DD3">
              <w:rPr>
                <w:rFonts w:asciiTheme="minorHAnsi" w:hAnsiTheme="minorHAnsi" w:cstheme="minorHAnsi"/>
              </w:rPr>
              <w:t>mara de energía eléctrica No. 9127245, hace parte de los activos de la COMPA</w:t>
            </w:r>
            <w:r w:rsidR="00DA3CA5" w:rsidRPr="00242DD3">
              <w:rPr>
                <w:rFonts w:asciiTheme="minorHAnsi" w:hAnsiTheme="minorHAnsi" w:cstheme="minorHAnsi"/>
              </w:rPr>
              <w:t>ÑÍ</w:t>
            </w:r>
            <w:r w:rsidRPr="00242DD3">
              <w:rPr>
                <w:rFonts w:asciiTheme="minorHAnsi" w:hAnsiTheme="minorHAnsi" w:cstheme="minorHAnsi"/>
              </w:rPr>
              <w:t>A ENERG</w:t>
            </w:r>
            <w:r w:rsidR="00DA3CA5" w:rsidRPr="00242DD3">
              <w:rPr>
                <w:rFonts w:asciiTheme="minorHAnsi" w:hAnsiTheme="minorHAnsi" w:cstheme="minorHAnsi"/>
              </w:rPr>
              <w:t>É</w:t>
            </w:r>
            <w:r w:rsidRPr="00242DD3">
              <w:rPr>
                <w:rFonts w:asciiTheme="minorHAnsi" w:hAnsiTheme="minorHAnsi" w:cstheme="minorHAnsi"/>
              </w:rPr>
              <w:t>TICA DE OCCIDENTE y para la fecha de los hechos se estaba ejecutando una obra de Construcción de Canalización y de Cámaras de BT para Independización de Acometida del Banco de la Rep</w:t>
            </w:r>
            <w:r w:rsidR="00DA3CA5" w:rsidRPr="00242DD3">
              <w:rPr>
                <w:rFonts w:asciiTheme="minorHAnsi" w:hAnsiTheme="minorHAnsi" w:cstheme="minorHAnsi"/>
              </w:rPr>
              <w:t>ú</w:t>
            </w:r>
            <w:r w:rsidRPr="00242DD3">
              <w:rPr>
                <w:rFonts w:asciiTheme="minorHAnsi" w:hAnsiTheme="minorHAnsi" w:cstheme="minorHAnsi"/>
              </w:rPr>
              <w:t xml:space="preserve">blica a cargo del contratista, Proyectos de Ingeniería S.A. – PROING S.A. </w:t>
            </w:r>
            <w:proofErr w:type="spellStart"/>
            <w:r w:rsidRPr="00242DD3">
              <w:rPr>
                <w:rFonts w:asciiTheme="minorHAnsi" w:hAnsiTheme="minorHAnsi" w:cstheme="minorHAnsi"/>
              </w:rPr>
              <w:t>Nit</w:t>
            </w:r>
            <w:proofErr w:type="spellEnd"/>
            <w:r w:rsidRPr="00242DD3">
              <w:rPr>
                <w:rFonts w:asciiTheme="minorHAnsi" w:hAnsiTheme="minorHAnsi" w:cstheme="minorHAnsi"/>
              </w:rPr>
              <w:t>. 800.093.320-2</w:t>
            </w:r>
            <w:r w:rsidR="00DA3CA5" w:rsidRPr="00242DD3">
              <w:rPr>
                <w:rFonts w:asciiTheme="minorHAnsi" w:hAnsiTheme="minorHAnsi" w:cstheme="minorHAnsi"/>
              </w:rPr>
              <w:t xml:space="preserve">, en ejecución del </w:t>
            </w:r>
            <w:r w:rsidRPr="00242DD3">
              <w:rPr>
                <w:rFonts w:asciiTheme="minorHAnsi" w:hAnsiTheme="minorHAnsi" w:cstheme="minorHAnsi"/>
              </w:rPr>
              <w:t>Contrato GT-013-2018.</w:t>
            </w:r>
          </w:p>
        </w:tc>
      </w:tr>
      <w:tr w:rsidR="0057097F" w:rsidRPr="00CE524B" w14:paraId="500322E8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E6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Descripción de las pretensiones:</w:t>
            </w:r>
          </w:p>
        </w:tc>
        <w:tc>
          <w:tcPr>
            <w:tcW w:w="6840" w:type="dxa"/>
          </w:tcPr>
          <w:p w14:paraId="500322E7" w14:textId="3A10CABC" w:rsidR="0057097F" w:rsidRPr="00242DD3" w:rsidRDefault="0086327C" w:rsidP="000323B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Solicitan la declaración</w:t>
            </w:r>
            <w:r w:rsidR="00DA3CA5" w:rsidRPr="00242DD3">
              <w:rPr>
                <w:rFonts w:asciiTheme="minorHAnsi" w:hAnsiTheme="minorHAnsi" w:cstheme="minorHAnsi"/>
              </w:rPr>
              <w:t xml:space="preserve"> de responsabilidad civil extracontractual de la demandada por </w:t>
            </w:r>
            <w:r w:rsidR="00242DD3">
              <w:rPr>
                <w:rFonts w:asciiTheme="minorHAnsi" w:hAnsiTheme="minorHAnsi" w:cstheme="minorHAnsi"/>
              </w:rPr>
              <w:t xml:space="preserve">la muerte del señor JAIRO BARONA ROBAYO </w:t>
            </w:r>
            <w:r w:rsidR="000323BA">
              <w:rPr>
                <w:rFonts w:asciiTheme="minorHAnsi" w:hAnsiTheme="minorHAnsi" w:cstheme="minorHAnsi"/>
              </w:rPr>
              <w:t>quien cayó a una</w:t>
            </w:r>
            <w:r w:rsidR="007F74A8">
              <w:rPr>
                <w:rFonts w:asciiTheme="minorHAnsi" w:hAnsiTheme="minorHAnsi" w:cstheme="minorHAnsi"/>
              </w:rPr>
              <w:t xml:space="preserve"> rec</w:t>
            </w:r>
            <w:r w:rsidR="000323BA">
              <w:rPr>
                <w:rFonts w:asciiTheme="minorHAnsi" w:hAnsiTheme="minorHAnsi" w:cstheme="minorHAnsi"/>
              </w:rPr>
              <w:t>á</w:t>
            </w:r>
            <w:r w:rsidR="007F74A8">
              <w:rPr>
                <w:rFonts w:asciiTheme="minorHAnsi" w:hAnsiTheme="minorHAnsi" w:cstheme="minorHAnsi"/>
              </w:rPr>
              <w:t>mara de energía eléctrica</w:t>
            </w:r>
            <w:r w:rsidR="000323BA">
              <w:rPr>
                <w:rFonts w:asciiTheme="minorHAnsi" w:hAnsiTheme="minorHAnsi" w:cstheme="minorHAnsi"/>
              </w:rPr>
              <w:t xml:space="preserve"> mientras transitaba por ella como peatón</w:t>
            </w:r>
            <w:r w:rsidR="007F74A8">
              <w:rPr>
                <w:rFonts w:asciiTheme="minorHAnsi" w:hAnsiTheme="minorHAnsi" w:cstheme="minorHAnsi"/>
              </w:rPr>
              <w:t xml:space="preserve">, la cual manifiesta la parte actora no contaba con </w:t>
            </w:r>
            <w:r w:rsidR="007F74A8">
              <w:t>su tapa o elementos de seguridad</w:t>
            </w:r>
            <w:r w:rsidR="000323BA">
              <w:t>,</w:t>
            </w:r>
            <w:r w:rsidR="007F74A8">
              <w:t xml:space="preserve"> omisión atribui</w:t>
            </w:r>
            <w:r w:rsidR="000323BA">
              <w:t>da</w:t>
            </w:r>
            <w:r w:rsidR="007F74A8">
              <w:t xml:space="preserve"> a </w:t>
            </w:r>
            <w:r w:rsidR="007F74A8" w:rsidRPr="00242DD3">
              <w:rPr>
                <w:rFonts w:asciiTheme="minorHAnsi" w:hAnsiTheme="minorHAnsi" w:cstheme="minorHAnsi"/>
              </w:rPr>
              <w:t>la COMPAÑÍA ENERGÉTICA DE OCCIDENTE</w:t>
            </w:r>
            <w:r w:rsidR="007F74A8">
              <w:rPr>
                <w:rFonts w:asciiTheme="minorHAnsi" w:hAnsiTheme="minorHAnsi" w:cstheme="minorHAnsi"/>
              </w:rPr>
              <w:t>.</w:t>
            </w:r>
            <w:r w:rsidR="007F74A8">
              <w:t xml:space="preserve"> </w:t>
            </w:r>
            <w:r w:rsidR="00DA3CA5" w:rsidRPr="00242DD3">
              <w:rPr>
                <w:rFonts w:asciiTheme="minorHAnsi" w:hAnsiTheme="minorHAnsi" w:cstheme="minorHAnsi"/>
              </w:rPr>
              <w:t xml:space="preserve"> Así como la </w:t>
            </w:r>
            <w:r w:rsidRPr="00242DD3">
              <w:rPr>
                <w:rFonts w:asciiTheme="minorHAnsi" w:hAnsiTheme="minorHAnsi" w:cstheme="minorHAnsi"/>
              </w:rPr>
              <w:t>condena de perjuicios inmateriales por concepto de daño moral y por perjuicio</w:t>
            </w:r>
            <w:r w:rsidR="00DA3CA5" w:rsidRPr="00242DD3">
              <w:rPr>
                <w:rFonts w:asciiTheme="minorHAnsi" w:hAnsiTheme="minorHAnsi" w:cstheme="minorHAnsi"/>
              </w:rPr>
              <w:t>s</w:t>
            </w:r>
            <w:r w:rsidRPr="00242DD3">
              <w:rPr>
                <w:rFonts w:asciiTheme="minorHAnsi" w:hAnsiTheme="minorHAnsi" w:cstheme="minorHAnsi"/>
              </w:rPr>
              <w:t xml:space="preserve"> </w:t>
            </w:r>
            <w:r w:rsidR="00DA3CA5" w:rsidRPr="00242DD3">
              <w:rPr>
                <w:rFonts w:asciiTheme="minorHAnsi" w:hAnsiTheme="minorHAnsi" w:cstheme="minorHAnsi"/>
              </w:rPr>
              <w:t>m</w:t>
            </w:r>
            <w:r w:rsidRPr="00242DD3">
              <w:rPr>
                <w:rFonts w:asciiTheme="minorHAnsi" w:hAnsiTheme="minorHAnsi" w:cstheme="minorHAnsi"/>
              </w:rPr>
              <w:t>aterial</w:t>
            </w:r>
            <w:r w:rsidR="00DA3CA5" w:rsidRPr="00242DD3">
              <w:rPr>
                <w:rFonts w:asciiTheme="minorHAnsi" w:hAnsiTheme="minorHAnsi" w:cstheme="minorHAnsi"/>
              </w:rPr>
              <w:t>es</w:t>
            </w:r>
            <w:r w:rsidRPr="00242DD3">
              <w:rPr>
                <w:rFonts w:asciiTheme="minorHAnsi" w:hAnsiTheme="minorHAnsi" w:cstheme="minorHAnsi"/>
              </w:rPr>
              <w:t xml:space="preserve"> lo correspondiente al lucro cesante</w:t>
            </w:r>
            <w:r w:rsidR="00BB2147" w:rsidRPr="00242DD3">
              <w:rPr>
                <w:rFonts w:asciiTheme="minorHAnsi" w:hAnsiTheme="minorHAnsi" w:cstheme="minorHAnsi"/>
              </w:rPr>
              <w:t>, ocasionados como resultado del deceso del señor JAIRO BARONA ROBAYO.</w:t>
            </w:r>
          </w:p>
        </w:tc>
      </w:tr>
      <w:tr w:rsidR="0057097F" w:rsidRPr="00CE524B" w14:paraId="500322EB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E9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Pretensiones cuantificadas ($):</w:t>
            </w:r>
          </w:p>
        </w:tc>
        <w:tc>
          <w:tcPr>
            <w:tcW w:w="6840" w:type="dxa"/>
          </w:tcPr>
          <w:p w14:paraId="36075448" w14:textId="77777777" w:rsidR="00145C18" w:rsidRPr="00242DD3" w:rsidRDefault="00145C18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Valor total solicitado en la demanda: </w:t>
            </w:r>
          </w:p>
          <w:p w14:paraId="73369089" w14:textId="57CAFDAD" w:rsidR="00145C18" w:rsidRPr="00242DD3" w:rsidRDefault="007F74A8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$143.211.862</w:t>
            </w:r>
          </w:p>
          <w:p w14:paraId="28C46B60" w14:textId="0E034F7E" w:rsidR="00145C18" w:rsidRPr="00242DD3" w:rsidRDefault="00145C18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lastRenderedPageBreak/>
              <w:t xml:space="preserve">Se discriminan así: </w:t>
            </w:r>
          </w:p>
          <w:p w14:paraId="571E04D1" w14:textId="77777777" w:rsidR="00145C18" w:rsidRPr="00242DD3" w:rsidRDefault="00145C18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A11F752" w14:textId="2A2C49EB" w:rsidR="0086327C" w:rsidRPr="00242DD3" w:rsidRDefault="00145C18" w:rsidP="00242DD3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Por </w:t>
            </w:r>
            <w:r w:rsidR="0086327C" w:rsidRPr="00242DD3">
              <w:rPr>
                <w:rFonts w:asciiTheme="minorHAnsi" w:hAnsiTheme="minorHAnsi" w:cstheme="minorHAnsi"/>
              </w:rPr>
              <w:t>PERJUICIOS MORALES: a favor de ELIZABETH IBARRA TRUJILLO, la suma equivalente al valor de cien (100) SMM</w:t>
            </w:r>
            <w:r w:rsidR="003460A5" w:rsidRPr="00242DD3">
              <w:rPr>
                <w:rFonts w:asciiTheme="minorHAnsi" w:hAnsiTheme="minorHAnsi" w:cstheme="minorHAnsi"/>
              </w:rPr>
              <w:t>L</w:t>
            </w:r>
            <w:r w:rsidR="0086327C" w:rsidRPr="00242DD3">
              <w:rPr>
                <w:rFonts w:asciiTheme="minorHAnsi" w:hAnsiTheme="minorHAnsi" w:cstheme="minorHAnsi"/>
              </w:rPr>
              <w:t xml:space="preserve">V que equivalen a la suma de ($ 116.000.000). </w:t>
            </w:r>
          </w:p>
          <w:p w14:paraId="4D234E3F" w14:textId="1CC176F8" w:rsidR="0086327C" w:rsidRPr="00242DD3" w:rsidRDefault="00145C18" w:rsidP="00242DD3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Por </w:t>
            </w:r>
            <w:r w:rsidR="0086327C" w:rsidRPr="00242DD3">
              <w:rPr>
                <w:rFonts w:asciiTheme="minorHAnsi" w:hAnsiTheme="minorHAnsi" w:cstheme="minorHAnsi"/>
              </w:rPr>
              <w:t xml:space="preserve">LUCRO CESANTE: </w:t>
            </w:r>
            <w:r w:rsidRPr="00242DD3">
              <w:rPr>
                <w:rFonts w:asciiTheme="minorHAnsi" w:hAnsiTheme="minorHAnsi" w:cstheme="minorHAnsi"/>
              </w:rPr>
              <w:t xml:space="preserve"> </w:t>
            </w:r>
            <w:r w:rsidR="0086327C" w:rsidRPr="00242DD3">
              <w:rPr>
                <w:rFonts w:asciiTheme="minorHAnsi" w:hAnsiTheme="minorHAnsi" w:cstheme="minorHAnsi"/>
              </w:rPr>
              <w:t>a favor de ELIZABETH IBARRA TRUJILLO, la suma de ($ 27,211,862) que corresponden a los salarios dejados de percibir</w:t>
            </w:r>
            <w:r w:rsidRPr="00242DD3">
              <w:rPr>
                <w:rFonts w:asciiTheme="minorHAnsi" w:hAnsiTheme="minorHAnsi" w:cstheme="minorHAnsi"/>
              </w:rPr>
              <w:t xml:space="preserve"> como resultado del deceso del señor JAIRO BARONA ROBAYO</w:t>
            </w:r>
            <w:r w:rsidR="0086327C" w:rsidRPr="00242DD3">
              <w:rPr>
                <w:rFonts w:asciiTheme="minorHAnsi" w:hAnsiTheme="minorHAnsi" w:cstheme="minorHAnsi"/>
              </w:rPr>
              <w:t>, tomando el SMMV d</w:t>
            </w:r>
            <w:r w:rsidR="007F74A8">
              <w:rPr>
                <w:rFonts w:asciiTheme="minorHAnsi" w:hAnsiTheme="minorHAnsi" w:cstheme="minorHAnsi"/>
              </w:rPr>
              <w:t>el año 2020</w:t>
            </w:r>
            <w:r w:rsidR="0086327C" w:rsidRPr="00242DD3">
              <w:rPr>
                <w:rFonts w:asciiTheme="minorHAnsi" w:hAnsiTheme="minorHAnsi" w:cstheme="minorHAnsi"/>
              </w:rPr>
              <w:t xml:space="preserve"> ($ 877.802). </w:t>
            </w:r>
          </w:p>
          <w:p w14:paraId="500322EA" w14:textId="6D90F93E" w:rsidR="0057097F" w:rsidRPr="00242DD3" w:rsidRDefault="0057097F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097F" w:rsidRPr="00CE524B" w14:paraId="500322EE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EC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lastRenderedPageBreak/>
              <w:t>Valor asegurado amparos afectados:</w:t>
            </w:r>
          </w:p>
        </w:tc>
        <w:tc>
          <w:tcPr>
            <w:tcW w:w="6840" w:type="dxa"/>
          </w:tcPr>
          <w:p w14:paraId="573E459B" w14:textId="2D3869A1" w:rsidR="00DA65E9" w:rsidRPr="00242DD3" w:rsidRDefault="00DA65E9" w:rsidP="00242DD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 xml:space="preserve">En este caso ninguno de los amparos presta cobertura material para los hechos ventilados, sin embargo, los amparos y el valor asegurado en ellos son los siguientes: </w:t>
            </w:r>
          </w:p>
          <w:p w14:paraId="7C3A0026" w14:textId="79CB4422" w:rsidR="0057097F" w:rsidRPr="00242DD3" w:rsidRDefault="003460A5" w:rsidP="00242DD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CUMPLIMIENTO DEL CONTRATO: $3.007.801.097</w:t>
            </w:r>
          </w:p>
          <w:p w14:paraId="71C3BC4B" w14:textId="0601BBEC" w:rsidR="003460A5" w:rsidRPr="00242DD3" w:rsidRDefault="003460A5" w:rsidP="00242DD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ESTABILIDAD DE LA OBRA: $3.007.801.097</w:t>
            </w:r>
          </w:p>
          <w:p w14:paraId="500322ED" w14:textId="78906A34" w:rsidR="00DA65E9" w:rsidRPr="00242DD3" w:rsidRDefault="00DA65E9" w:rsidP="00242DD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SALARIOS Y PRESTACIONES SOCIALES: $3.007.801.097</w:t>
            </w:r>
          </w:p>
        </w:tc>
      </w:tr>
      <w:tr w:rsidR="0057097F" w:rsidRPr="00CE524B" w14:paraId="500322F1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EF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Valoración objetiva de las pretensiones:</w:t>
            </w:r>
          </w:p>
        </w:tc>
        <w:tc>
          <w:tcPr>
            <w:tcW w:w="6840" w:type="dxa"/>
          </w:tcPr>
          <w:p w14:paraId="50272B42" w14:textId="1B5D1729" w:rsidR="004B3728" w:rsidRDefault="003460A5" w:rsidP="003D4E1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hAnsiTheme="minorHAnsi" w:cstheme="minorHAnsi"/>
              </w:rPr>
              <w:t>La valoración objetiva de las pretensione</w:t>
            </w:r>
            <w:r w:rsidR="004B3728" w:rsidRPr="00242DD3">
              <w:rPr>
                <w:rFonts w:asciiTheme="minorHAnsi" w:hAnsiTheme="minorHAnsi" w:cstheme="minorHAnsi"/>
              </w:rPr>
              <w:t>s es $</w:t>
            </w:r>
            <w:r w:rsidR="003D4E10">
              <w:rPr>
                <w:rFonts w:asciiTheme="minorHAnsi" w:hAnsiTheme="minorHAnsi" w:cstheme="minorHAnsi"/>
              </w:rPr>
              <w:t>87.211.862</w:t>
            </w:r>
          </w:p>
          <w:p w14:paraId="0BD21B9F" w14:textId="77777777" w:rsidR="003D4E10" w:rsidRPr="003D4E10" w:rsidRDefault="003D4E10" w:rsidP="003D4E1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7982502" w14:textId="6443A22A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42DD3">
              <w:rPr>
                <w:rFonts w:asciiTheme="minorHAnsi" w:eastAsia="Arial" w:hAnsiTheme="minorHAnsi" w:cstheme="minorHAnsi"/>
                <w:b/>
                <w:bCs/>
              </w:rPr>
              <w:t xml:space="preserve">Daño moral: </w:t>
            </w:r>
            <w:r w:rsidRPr="00242DD3">
              <w:rPr>
                <w:rFonts w:asciiTheme="minorHAnsi" w:eastAsia="Arial" w:hAnsiTheme="minorHAnsi" w:cstheme="minorHAnsi"/>
                <w:b/>
              </w:rPr>
              <w:t>$60.000.000</w:t>
            </w:r>
            <w:r w:rsidRPr="00242DD3">
              <w:rPr>
                <w:rFonts w:asciiTheme="minorHAnsi" w:eastAsia="Arial" w:hAnsiTheme="minorHAnsi" w:cstheme="minorHAnsi"/>
              </w:rPr>
              <w:t xml:space="preserve"> a favor de ELIZABETH IBARRA TRUJILLO</w:t>
            </w:r>
            <w:r w:rsidR="00077E82" w:rsidRPr="00242DD3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="00077E82" w:rsidRPr="00242DD3">
              <w:rPr>
                <w:rFonts w:asciiTheme="minorHAnsi" w:eastAsia="Arial" w:hAnsiTheme="minorHAnsi" w:cstheme="minorHAnsi"/>
              </w:rPr>
              <w:t>(esposa).</w:t>
            </w:r>
            <w:r w:rsidR="00EF6EB0">
              <w:rPr>
                <w:rFonts w:asciiTheme="minorHAnsi" w:eastAsia="Arial" w:hAnsiTheme="minorHAnsi" w:cstheme="minorHAnsi"/>
              </w:rPr>
              <w:t xml:space="preserve"> Para liquidar este valor </w:t>
            </w:r>
            <w:r w:rsidRPr="00242DD3">
              <w:rPr>
                <w:rFonts w:asciiTheme="minorHAnsi" w:eastAsia="Arial" w:hAnsiTheme="minorHAnsi" w:cstheme="minorHAnsi"/>
              </w:rPr>
              <w:t xml:space="preserve">se tuvo en cuenta </w:t>
            </w:r>
            <w:r w:rsidR="00077E82" w:rsidRPr="00242DD3">
              <w:rPr>
                <w:rFonts w:asciiTheme="minorHAnsi" w:eastAsia="Arial" w:hAnsiTheme="minorHAnsi" w:cstheme="minorHAnsi"/>
              </w:rPr>
              <w:t xml:space="preserve">la calidad de esposa de la víctima </w:t>
            </w:r>
            <w:r w:rsidRPr="00242DD3">
              <w:rPr>
                <w:rFonts w:asciiTheme="minorHAnsi" w:eastAsia="Arial" w:hAnsiTheme="minorHAnsi" w:cstheme="minorHAnsi"/>
              </w:rPr>
              <w:t xml:space="preserve">y las sentencias de la Corte Suprema de Justicia para el reconocimiento de perjuicios extrapatrimoniales </w:t>
            </w:r>
            <w:r w:rsidR="00EF6EB0">
              <w:rPr>
                <w:rFonts w:asciiTheme="minorHAnsi" w:eastAsia="Arial" w:hAnsiTheme="minorHAnsi" w:cstheme="minorHAnsi"/>
              </w:rPr>
              <w:t xml:space="preserve">por muerte </w:t>
            </w:r>
            <w:r w:rsidRPr="00242DD3">
              <w:rPr>
                <w:rFonts w:asciiTheme="minorHAnsi" w:eastAsia="Arial" w:hAnsiTheme="minorHAnsi" w:cstheme="minorHAnsi"/>
              </w:rPr>
              <w:t>(</w:t>
            </w:r>
            <w:r w:rsidRPr="00242DD3">
              <w:rPr>
                <w:rFonts w:asciiTheme="minorHAnsi" w:eastAsia="Arial" w:hAnsiTheme="minorHAnsi" w:cstheme="minorHAnsi"/>
                <w:lang w:val="es-ES_tradnl"/>
              </w:rPr>
              <w:t xml:space="preserve">SC21828-2017; SC780-2020 y SC12994-2016), donde se reconoce la suma de $60.000.000 </w:t>
            </w:r>
            <w:r w:rsidR="00EF6EB0">
              <w:rPr>
                <w:rFonts w:asciiTheme="minorHAnsi" w:eastAsia="Arial" w:hAnsiTheme="minorHAnsi" w:cstheme="minorHAnsi"/>
                <w:lang w:val="es-ES_tradnl"/>
              </w:rPr>
              <w:t xml:space="preserve">al núcleo familiar central o en primer grado </w:t>
            </w:r>
            <w:r w:rsidRPr="00242DD3">
              <w:rPr>
                <w:rFonts w:asciiTheme="minorHAnsi" w:eastAsia="Arial" w:hAnsiTheme="minorHAnsi" w:cstheme="minorHAnsi"/>
                <w:lang w:val="es-ES_tradnl"/>
              </w:rPr>
              <w:t xml:space="preserve">para </w:t>
            </w:r>
            <w:r w:rsidR="00EF6EB0">
              <w:rPr>
                <w:rFonts w:asciiTheme="minorHAnsi" w:eastAsia="Arial" w:hAnsiTheme="minorHAnsi" w:cstheme="minorHAnsi"/>
                <w:lang w:val="es-ES_tradnl"/>
              </w:rPr>
              <w:t>estos.</w:t>
            </w:r>
          </w:p>
          <w:p w14:paraId="437491B9" w14:textId="17FE8999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  <w:lang w:val="es-ES_tradnl"/>
              </w:rPr>
            </w:pPr>
          </w:p>
          <w:p w14:paraId="5607F3EB" w14:textId="43E3AEDB" w:rsidR="006D61A5" w:rsidRDefault="00077E82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eastAsia="Arial" w:hAnsiTheme="minorHAnsi" w:cstheme="minorHAnsi"/>
                <w:b/>
                <w:lang w:val="es-ES_tradnl"/>
              </w:rPr>
              <w:t>Frente al lucro cesante:</w:t>
            </w:r>
            <w:r w:rsidRPr="00D95985">
              <w:rPr>
                <w:rFonts w:asciiTheme="minorHAnsi" w:eastAsia="Arial" w:hAnsiTheme="minorHAnsi" w:cstheme="minorHAnsi"/>
                <w:b/>
                <w:lang w:val="es-ES_tradnl"/>
              </w:rPr>
              <w:t xml:space="preserve"> $</w:t>
            </w:r>
            <w:r w:rsidR="005F3B74" w:rsidRPr="00D95985">
              <w:rPr>
                <w:rFonts w:asciiTheme="minorHAnsi" w:eastAsia="Arial" w:hAnsiTheme="minorHAnsi" w:cstheme="minorHAnsi"/>
                <w:b/>
                <w:lang w:val="es-ES_tradnl"/>
              </w:rPr>
              <w:t>27</w:t>
            </w:r>
            <w:r w:rsidRPr="00881F7E">
              <w:rPr>
                <w:rFonts w:asciiTheme="minorHAnsi" w:eastAsia="Arial" w:hAnsiTheme="minorHAnsi" w:cstheme="minorHAnsi"/>
                <w:b/>
                <w:lang w:val="es-ES_tradnl"/>
              </w:rPr>
              <w:t>.</w:t>
            </w:r>
            <w:r w:rsidR="005F3B74" w:rsidRPr="00881F7E">
              <w:rPr>
                <w:rFonts w:asciiTheme="minorHAnsi" w:eastAsia="Arial" w:hAnsiTheme="minorHAnsi" w:cstheme="minorHAnsi"/>
                <w:b/>
                <w:lang w:val="es-ES_tradnl"/>
              </w:rPr>
              <w:t>211.862</w:t>
            </w:r>
            <w:r w:rsidR="00D95985">
              <w:rPr>
                <w:rFonts w:asciiTheme="minorHAnsi" w:eastAsia="Arial" w:hAnsiTheme="minorHAnsi" w:cstheme="minorHAnsi"/>
                <w:lang w:val="es-ES_tradnl"/>
              </w:rPr>
              <w:t>.</w:t>
            </w:r>
            <w:r w:rsidRPr="00D95985">
              <w:rPr>
                <w:rFonts w:asciiTheme="minorHAnsi" w:eastAsia="Arial" w:hAnsiTheme="minorHAnsi" w:cstheme="minorHAnsi"/>
                <w:lang w:val="es-ES_tradnl"/>
              </w:rPr>
              <w:t xml:space="preserve"> </w:t>
            </w:r>
            <w:r w:rsidR="005F3B74">
              <w:rPr>
                <w:rFonts w:asciiTheme="minorHAnsi" w:eastAsia="Arial" w:hAnsiTheme="minorHAnsi" w:cstheme="minorHAnsi"/>
                <w:lang w:val="es-ES_tradnl"/>
              </w:rPr>
              <w:t xml:space="preserve">Pues si bien, no hay certeza frente a los ingresos y la dependencia económica en relación con la demandante, estamos hablando de una persona </w:t>
            </w:r>
            <w:r w:rsidR="006D61A5">
              <w:rPr>
                <w:rFonts w:asciiTheme="minorHAnsi" w:eastAsia="Arial" w:hAnsiTheme="minorHAnsi" w:cstheme="minorHAnsi"/>
                <w:lang w:val="es-ES_tradnl"/>
              </w:rPr>
              <w:t>de</w:t>
            </w:r>
            <w:r w:rsidR="005F3B74">
              <w:rPr>
                <w:rFonts w:asciiTheme="minorHAnsi" w:eastAsia="Arial" w:hAnsiTheme="minorHAnsi" w:cstheme="minorHAnsi"/>
                <w:lang w:val="es-ES_tradnl"/>
              </w:rPr>
              <w:t xml:space="preserve"> 67 años</w:t>
            </w:r>
            <w:r w:rsidR="006D61A5">
              <w:rPr>
                <w:rFonts w:asciiTheme="minorHAnsi" w:eastAsia="Arial" w:hAnsiTheme="minorHAnsi" w:cstheme="minorHAnsi"/>
                <w:lang w:val="es-ES_tradnl"/>
              </w:rPr>
              <w:t>, de la</w:t>
            </w:r>
            <w:r w:rsidR="005F3B74">
              <w:rPr>
                <w:rFonts w:asciiTheme="minorHAnsi" w:eastAsia="Arial" w:hAnsiTheme="minorHAnsi" w:cstheme="minorHAnsi"/>
                <w:lang w:val="es-ES_tradnl"/>
              </w:rPr>
              <w:t xml:space="preserve"> que se presume </w:t>
            </w:r>
            <w:r w:rsidR="006D61A5">
              <w:rPr>
                <w:rFonts w:asciiTheme="minorHAnsi" w:eastAsia="Arial" w:hAnsiTheme="minorHAnsi" w:cstheme="minorHAnsi"/>
                <w:lang w:val="es-ES_tradnl"/>
              </w:rPr>
              <w:t xml:space="preserve">que </w:t>
            </w:r>
            <w:r w:rsidR="005F3B74">
              <w:rPr>
                <w:rFonts w:asciiTheme="minorHAnsi" w:eastAsia="Arial" w:hAnsiTheme="minorHAnsi" w:cstheme="minorHAnsi"/>
                <w:lang w:val="es-ES_tradnl"/>
              </w:rPr>
              <w:t xml:space="preserve">al menos </w:t>
            </w:r>
            <w:r w:rsidR="006D61A5">
              <w:rPr>
                <w:rFonts w:asciiTheme="minorHAnsi" w:eastAsia="Arial" w:hAnsiTheme="minorHAnsi" w:cstheme="minorHAnsi"/>
                <w:lang w:val="es-ES_tradnl"/>
              </w:rPr>
              <w:t xml:space="preserve">percibe </w:t>
            </w:r>
            <w:r w:rsidR="005F3B74">
              <w:rPr>
                <w:rFonts w:asciiTheme="minorHAnsi" w:eastAsia="Arial" w:hAnsiTheme="minorHAnsi" w:cstheme="minorHAnsi"/>
                <w:lang w:val="es-ES_tradnl"/>
              </w:rPr>
              <w:t xml:space="preserve">un salario mínimo mensual vigente y dicha dependencia económica es susceptible de acreditar a través de testimonios y </w:t>
            </w:r>
            <w:r w:rsidR="006D61A5">
              <w:rPr>
                <w:rFonts w:asciiTheme="minorHAnsi" w:eastAsia="Arial" w:hAnsiTheme="minorHAnsi" w:cstheme="minorHAnsi"/>
                <w:lang w:val="es-ES_tradnl"/>
              </w:rPr>
              <w:t xml:space="preserve">la </w:t>
            </w:r>
            <w:r w:rsidR="005F3B74">
              <w:rPr>
                <w:rFonts w:asciiTheme="minorHAnsi" w:eastAsia="Arial" w:hAnsiTheme="minorHAnsi" w:cstheme="minorHAnsi"/>
                <w:lang w:val="es-ES_tradnl"/>
              </w:rPr>
              <w:t xml:space="preserve">declaración de parte. </w:t>
            </w:r>
          </w:p>
          <w:p w14:paraId="55A1C231" w14:textId="77777777" w:rsidR="006D61A5" w:rsidRDefault="006D61A5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DCC40D8" w14:textId="0A2557B0" w:rsidR="005F3B74" w:rsidRDefault="005F3B74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Ahora bien, la liquidación por concepto de lucro cesante es superior al valor solicitado en la demanda, toda vez que según la vida probable del señor JAIRO BARONA ROBAYO y el salario mínimo mensual vigente para la fecha de los hechos (2020) $877.802, la suma arroja un total de $53.207.688, esto es el valor real de lucro cesante es superior al valor pretendido por la parte demandante $ 27.211.862, por lo tanto </w:t>
            </w:r>
            <w:r w:rsidR="00DD392C">
              <w:rPr>
                <w:rFonts w:asciiTheme="minorHAnsi" w:hAnsiTheme="minorHAnsi" w:cstheme="minorHAnsi"/>
              </w:rPr>
              <w:t xml:space="preserve">se tomó esta última suma para efectos de liquidar lucro cesante y desistir de objetar el juramento estimatorio con el fin de que el juzgador no supere el valor </w:t>
            </w:r>
            <w:r w:rsidR="00DD392C">
              <w:rPr>
                <w:rFonts w:asciiTheme="minorHAnsi" w:hAnsiTheme="minorHAnsi" w:cstheme="minorHAnsi"/>
              </w:rPr>
              <w:lastRenderedPageBreak/>
              <w:t xml:space="preserve">pretendido y se mantenga bajo el principio de congruencia la pretensión económica del demandante. </w:t>
            </w:r>
          </w:p>
          <w:p w14:paraId="7065C7AF" w14:textId="0BAA7E30" w:rsidR="00EF6EB0" w:rsidRDefault="00EF6EB0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A0735C7" w14:textId="77777777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u w:val="single"/>
              </w:rPr>
            </w:pPr>
            <w:r w:rsidRPr="00242DD3">
              <w:rPr>
                <w:rFonts w:asciiTheme="minorHAnsi" w:eastAsia="Arial" w:hAnsiTheme="minorHAnsi" w:cstheme="minorHAnsi"/>
                <w:b/>
                <w:u w:val="single"/>
              </w:rPr>
              <w:t xml:space="preserve">Análisis frente a la póliza: </w:t>
            </w:r>
          </w:p>
          <w:p w14:paraId="31A70FC0" w14:textId="77777777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u w:val="single"/>
              </w:rPr>
            </w:pPr>
          </w:p>
          <w:p w14:paraId="50F99E26" w14:textId="628C3A8E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42DD3">
              <w:rPr>
                <w:rFonts w:asciiTheme="minorHAnsi" w:eastAsia="Arial" w:hAnsiTheme="minorHAnsi" w:cstheme="minorHAnsi"/>
                <w:bCs/>
              </w:rPr>
              <w:t>La póliza cuenta con un valor asegurado para el amparo de “</w:t>
            </w:r>
            <w:r w:rsidR="00077E82" w:rsidRPr="00242DD3">
              <w:rPr>
                <w:rFonts w:asciiTheme="minorHAnsi" w:eastAsia="Arial" w:hAnsiTheme="minorHAnsi" w:cstheme="minorHAnsi"/>
                <w:bCs/>
              </w:rPr>
              <w:t>cumplimiento del contrato, estabilidad de la obra, salarios y prestaciones sociales</w:t>
            </w:r>
            <w:r w:rsidRPr="00242DD3">
              <w:rPr>
                <w:rFonts w:asciiTheme="minorHAnsi" w:eastAsia="Arial" w:hAnsiTheme="minorHAnsi" w:cstheme="minorHAnsi"/>
                <w:bCs/>
              </w:rPr>
              <w:t>” de $</w:t>
            </w:r>
            <w:r w:rsidR="00077E82" w:rsidRPr="00242DD3">
              <w:rPr>
                <w:rFonts w:asciiTheme="minorHAnsi" w:hAnsiTheme="minorHAnsi" w:cstheme="minorHAnsi"/>
              </w:rPr>
              <w:t>3.007.801.097</w:t>
            </w:r>
            <w:r w:rsidR="004319C2">
              <w:rPr>
                <w:rFonts w:asciiTheme="minorHAnsi" w:hAnsiTheme="minorHAnsi" w:cstheme="minorHAnsi"/>
              </w:rPr>
              <w:t xml:space="preserve"> para cada uno. </w:t>
            </w:r>
            <w:r w:rsidR="00277BF5" w:rsidRPr="00242DD3">
              <w:rPr>
                <w:rFonts w:asciiTheme="minorHAnsi" w:hAnsiTheme="minorHAnsi" w:cstheme="minorHAnsi"/>
                <w:color w:val="000000"/>
              </w:rPr>
              <w:t xml:space="preserve">No obstante, </w:t>
            </w:r>
            <w:r w:rsidR="004319C2">
              <w:rPr>
                <w:rFonts w:asciiTheme="minorHAnsi" w:hAnsiTheme="minorHAnsi" w:cstheme="minorHAnsi"/>
                <w:color w:val="000000"/>
              </w:rPr>
              <w:t>lo que se reprocha en la demanda es la</w:t>
            </w:r>
            <w:r w:rsidR="00277BF5" w:rsidRPr="00242DD3">
              <w:rPr>
                <w:rFonts w:asciiTheme="minorHAnsi" w:hAnsiTheme="minorHAnsi" w:cstheme="minorHAnsi"/>
                <w:color w:val="000000"/>
              </w:rPr>
              <w:t xml:space="preserve"> Responsabilidad Civil extracontractual </w:t>
            </w:r>
            <w:r w:rsidR="004319C2">
              <w:rPr>
                <w:rFonts w:asciiTheme="minorHAnsi" w:hAnsiTheme="minorHAnsi" w:cstheme="minorHAnsi"/>
                <w:color w:val="000000"/>
              </w:rPr>
              <w:t>del asegurado, lo cual n</w:t>
            </w:r>
            <w:r w:rsidR="00277BF5" w:rsidRPr="00242DD3">
              <w:rPr>
                <w:rFonts w:asciiTheme="minorHAnsi" w:hAnsiTheme="minorHAnsi" w:cstheme="minorHAnsi"/>
                <w:color w:val="000000"/>
              </w:rPr>
              <w:t>o es un riesgo a</w:t>
            </w:r>
            <w:r w:rsidR="004319C2">
              <w:rPr>
                <w:rFonts w:asciiTheme="minorHAnsi" w:hAnsiTheme="minorHAnsi" w:cstheme="minorHAnsi"/>
                <w:color w:val="000000"/>
              </w:rPr>
              <w:t xml:space="preserve">mparado </w:t>
            </w:r>
            <w:r w:rsidR="00277BF5" w:rsidRPr="00242DD3">
              <w:rPr>
                <w:rFonts w:asciiTheme="minorHAnsi" w:hAnsiTheme="minorHAnsi" w:cstheme="minorHAnsi"/>
                <w:color w:val="000000"/>
              </w:rPr>
              <w:t>por la compañía</w:t>
            </w:r>
            <w:r w:rsidR="004319C2">
              <w:rPr>
                <w:rFonts w:asciiTheme="minorHAnsi" w:hAnsiTheme="minorHAnsi" w:cstheme="minorHAnsi"/>
                <w:color w:val="000000"/>
              </w:rPr>
              <w:t xml:space="preserve"> en la póliza vinculada</w:t>
            </w:r>
            <w:r w:rsidR="00277BF5" w:rsidRPr="00242DD3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1334E822" w14:textId="77777777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  <w:bCs/>
              </w:rPr>
            </w:pPr>
          </w:p>
          <w:p w14:paraId="500322F0" w14:textId="55F242AC" w:rsidR="004B3728" w:rsidRPr="00242DD3" w:rsidRDefault="004B3728" w:rsidP="00242DD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2DD3">
              <w:rPr>
                <w:rFonts w:asciiTheme="minorHAnsi" w:eastAsia="Arial" w:hAnsiTheme="minorHAnsi" w:cstheme="minorHAnsi"/>
                <w:bCs/>
              </w:rPr>
              <w:t xml:space="preserve">No aplica deducible ni coaseguro. </w:t>
            </w:r>
          </w:p>
        </w:tc>
      </w:tr>
      <w:tr w:rsidR="0057097F" w:rsidRPr="00CE524B" w14:paraId="500322F4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F2" w14:textId="77777777" w:rsidR="0057097F" w:rsidRPr="00242DD3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lastRenderedPageBreak/>
              <w:t>Calificación de la contingencia:</w:t>
            </w:r>
          </w:p>
        </w:tc>
        <w:tc>
          <w:tcPr>
            <w:tcW w:w="6840" w:type="dxa"/>
          </w:tcPr>
          <w:p w14:paraId="500322F3" w14:textId="49F496A7" w:rsidR="0057097F" w:rsidRPr="00242DD3" w:rsidRDefault="00C26FA6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REMOTA</w:t>
            </w:r>
          </w:p>
        </w:tc>
      </w:tr>
      <w:tr w:rsidR="0057097F" w:rsidRPr="00CE524B" w14:paraId="500322F7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F5" w14:textId="77777777" w:rsidR="0057097F" w:rsidRPr="00CE524B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E524B">
              <w:rPr>
                <w:rFonts w:asciiTheme="minorHAnsi" w:hAnsiTheme="minorHAnsi" w:cstheme="minorHAnsi"/>
                <w:b/>
              </w:rPr>
              <w:t>Motivos de la calificación:</w:t>
            </w:r>
          </w:p>
        </w:tc>
        <w:tc>
          <w:tcPr>
            <w:tcW w:w="6840" w:type="dxa"/>
          </w:tcPr>
          <w:p w14:paraId="5024773A" w14:textId="5552BD49" w:rsidR="00687133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  <w:r w:rsidRPr="00CE524B">
              <w:rPr>
                <w:rFonts w:asciiTheme="minorHAnsi" w:eastAsia="Arial" w:hAnsiTheme="minorHAnsi" w:cstheme="minorHAnsi"/>
              </w:rPr>
              <w:t xml:space="preserve">La calificación se considera </w:t>
            </w:r>
            <w:r w:rsidR="00C26FA6">
              <w:rPr>
                <w:rFonts w:asciiTheme="minorHAnsi" w:eastAsia="Arial" w:hAnsiTheme="minorHAnsi" w:cstheme="minorHAnsi"/>
              </w:rPr>
              <w:t>REMOTA</w:t>
            </w:r>
            <w:r w:rsidRPr="00CE524B">
              <w:rPr>
                <w:rFonts w:asciiTheme="minorHAnsi" w:eastAsia="Arial" w:hAnsiTheme="minorHAnsi" w:cstheme="minorHAnsi"/>
              </w:rPr>
              <w:t xml:space="preserve">, toda vez que, si bien, la póliza vinculada presta cobertura temporal para los hechos reclamados, no presta cobertura material y </w:t>
            </w:r>
            <w:r w:rsidR="00C26FA6">
              <w:rPr>
                <w:rFonts w:asciiTheme="minorHAnsi" w:eastAsia="Arial" w:hAnsiTheme="minorHAnsi" w:cstheme="minorHAnsi"/>
              </w:rPr>
              <w:t xml:space="preserve">además no está probada </w:t>
            </w:r>
            <w:r w:rsidRPr="00CE524B">
              <w:rPr>
                <w:rFonts w:asciiTheme="minorHAnsi" w:eastAsia="Arial" w:hAnsiTheme="minorHAnsi" w:cstheme="minorHAnsi"/>
              </w:rPr>
              <w:t xml:space="preserve">la responsabilidad del asegurado. </w:t>
            </w:r>
          </w:p>
          <w:p w14:paraId="21FED160" w14:textId="77777777" w:rsidR="00687133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47B31988" w14:textId="2109C23C" w:rsidR="00687133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  <w:r w:rsidRPr="00CE524B">
              <w:rPr>
                <w:rFonts w:asciiTheme="minorHAnsi" w:eastAsia="Arial" w:hAnsiTheme="minorHAnsi" w:cstheme="minorHAnsi"/>
              </w:rPr>
              <w:t xml:space="preserve">En primer lugar, debe decirse que </w:t>
            </w:r>
            <w:r w:rsidRPr="00CE524B">
              <w:rPr>
                <w:rFonts w:asciiTheme="minorHAnsi" w:eastAsia="Arial" w:hAnsiTheme="minorHAnsi" w:cstheme="minorHAnsi"/>
                <w:lang w:val="es-ES_tradnl"/>
              </w:rPr>
              <w:t>la Póliza No</w:t>
            </w:r>
            <w:r w:rsidR="005332E7" w:rsidRPr="00CE524B">
              <w:rPr>
                <w:rFonts w:asciiTheme="minorHAnsi" w:eastAsia="Arial" w:hAnsiTheme="minorHAnsi" w:cstheme="minorHAnsi"/>
                <w:lang w:val="es-ES_tradnl"/>
              </w:rPr>
              <w:t xml:space="preserve">. </w:t>
            </w:r>
            <w:r w:rsidR="005332E7" w:rsidRPr="00242DD3">
              <w:rPr>
                <w:rFonts w:asciiTheme="minorHAnsi" w:hAnsiTheme="minorHAnsi" w:cstheme="minorHAnsi"/>
              </w:rPr>
              <w:t xml:space="preserve">2911436 </w:t>
            </w:r>
            <w:r w:rsidRPr="00CE524B">
              <w:rPr>
                <w:rFonts w:asciiTheme="minorHAnsi" w:eastAsia="Arial" w:hAnsiTheme="minorHAnsi" w:cstheme="minorHAnsi"/>
                <w:lang w:val="es-ES_tradnl"/>
              </w:rPr>
              <w:t>presta cobertura temporal para los hechos objeto del litigi</w:t>
            </w:r>
            <w:r w:rsidR="007D121A">
              <w:rPr>
                <w:rFonts w:asciiTheme="minorHAnsi" w:eastAsia="Arial" w:hAnsiTheme="minorHAnsi" w:cstheme="minorHAnsi"/>
                <w:lang w:val="es-ES_tradnl"/>
              </w:rPr>
              <w:t xml:space="preserve">o, por cuanto </w:t>
            </w:r>
            <w:r w:rsidRPr="00CE524B">
              <w:rPr>
                <w:rFonts w:asciiTheme="minorHAnsi" w:eastAsia="Arial" w:hAnsiTheme="minorHAnsi" w:cstheme="minorHAnsi"/>
                <w:lang w:val="es-ES_tradnl"/>
              </w:rPr>
              <w:t>el accidente como fuente del hecho lesivo, ocurrió el 2</w:t>
            </w:r>
            <w:r w:rsidR="005332E7" w:rsidRPr="00CE524B">
              <w:rPr>
                <w:rFonts w:asciiTheme="minorHAnsi" w:eastAsia="Arial" w:hAnsiTheme="minorHAnsi" w:cstheme="minorHAnsi"/>
                <w:lang w:val="es-ES_tradnl"/>
              </w:rPr>
              <w:t>1</w:t>
            </w:r>
            <w:r w:rsidRPr="00CE524B">
              <w:rPr>
                <w:rFonts w:asciiTheme="minorHAnsi" w:eastAsia="Arial" w:hAnsiTheme="minorHAnsi" w:cstheme="minorHAnsi"/>
                <w:lang w:val="es-ES_tradnl"/>
              </w:rPr>
              <w:t xml:space="preserve"> de agosto de 20</w:t>
            </w:r>
            <w:r w:rsidR="005332E7" w:rsidRPr="00CE524B">
              <w:rPr>
                <w:rFonts w:asciiTheme="minorHAnsi" w:eastAsia="Arial" w:hAnsiTheme="minorHAnsi" w:cstheme="minorHAnsi"/>
                <w:lang w:val="es-ES_tradnl"/>
              </w:rPr>
              <w:t>20</w:t>
            </w:r>
            <w:r w:rsidRPr="00CE524B">
              <w:rPr>
                <w:rFonts w:asciiTheme="minorHAnsi" w:eastAsia="Arial" w:hAnsiTheme="minorHAnsi" w:cstheme="minorHAnsi"/>
                <w:lang w:val="es-ES_tradnl"/>
              </w:rPr>
              <w:t xml:space="preserve">, es decir dentro de la vigencia </w:t>
            </w:r>
            <w:r w:rsidR="007D121A">
              <w:rPr>
                <w:rFonts w:asciiTheme="minorHAnsi" w:eastAsia="Arial" w:hAnsiTheme="minorHAnsi" w:cstheme="minorHAnsi"/>
                <w:lang w:val="es-ES_tradnl"/>
              </w:rPr>
              <w:t>de la póliza</w:t>
            </w:r>
            <w:r w:rsidR="009C3685">
              <w:rPr>
                <w:rFonts w:asciiTheme="minorHAnsi" w:eastAsia="Arial" w:hAnsiTheme="minorHAnsi" w:cstheme="minorHAnsi"/>
                <w:lang w:val="es-ES_tradnl"/>
              </w:rPr>
              <w:t>,</w:t>
            </w:r>
            <w:r w:rsidR="007D121A">
              <w:rPr>
                <w:rFonts w:asciiTheme="minorHAnsi" w:eastAsia="Arial" w:hAnsiTheme="minorHAnsi" w:cstheme="minorHAnsi"/>
                <w:lang w:val="es-ES_tradnl"/>
              </w:rPr>
              <w:t xml:space="preserve"> </w:t>
            </w:r>
            <w:r w:rsidRPr="00CE524B">
              <w:rPr>
                <w:rFonts w:asciiTheme="minorHAnsi" w:eastAsia="Arial" w:hAnsiTheme="minorHAnsi" w:cstheme="minorHAnsi"/>
                <w:lang w:val="es-ES_tradnl"/>
              </w:rPr>
              <w:t>comprendida entre</w:t>
            </w:r>
            <w:r w:rsidR="005332E7" w:rsidRPr="00CE524B">
              <w:rPr>
                <w:rFonts w:asciiTheme="minorHAnsi" w:eastAsia="Arial" w:hAnsiTheme="minorHAnsi" w:cstheme="minorHAnsi"/>
                <w:lang w:val="es-ES_tradnl"/>
              </w:rPr>
              <w:t xml:space="preserve"> el </w:t>
            </w:r>
            <w:r w:rsidR="005332E7" w:rsidRPr="00242DD3">
              <w:rPr>
                <w:rFonts w:asciiTheme="minorHAnsi" w:hAnsiTheme="minorHAnsi" w:cstheme="minorHAnsi"/>
              </w:rPr>
              <w:t xml:space="preserve">07 de mayo de 2018 </w:t>
            </w:r>
            <w:r w:rsidR="007D121A">
              <w:rPr>
                <w:rFonts w:asciiTheme="minorHAnsi" w:hAnsiTheme="minorHAnsi" w:cstheme="minorHAnsi"/>
              </w:rPr>
              <w:t xml:space="preserve">y </w:t>
            </w:r>
            <w:r w:rsidR="005332E7" w:rsidRPr="00242DD3">
              <w:rPr>
                <w:rFonts w:asciiTheme="minorHAnsi" w:hAnsiTheme="minorHAnsi" w:cstheme="minorHAnsi"/>
              </w:rPr>
              <w:t>el 06 de noviembre de 2023</w:t>
            </w:r>
            <w:r w:rsidR="005332E7" w:rsidRPr="00CE524B">
              <w:rPr>
                <w:rFonts w:asciiTheme="minorHAnsi" w:eastAsia="Arial" w:hAnsiTheme="minorHAnsi" w:cstheme="minorHAnsi"/>
                <w:lang w:val="es-ES_tradnl"/>
              </w:rPr>
              <w:t xml:space="preserve">. </w:t>
            </w:r>
            <w:r w:rsidR="009C3685">
              <w:rPr>
                <w:rFonts w:asciiTheme="minorHAnsi" w:eastAsia="Arial" w:hAnsiTheme="minorHAnsi" w:cstheme="minorHAnsi"/>
              </w:rPr>
              <w:t xml:space="preserve">No obstante, el seguro </w:t>
            </w:r>
            <w:r w:rsidR="005332E7" w:rsidRPr="00CE524B">
              <w:rPr>
                <w:rFonts w:asciiTheme="minorHAnsi" w:eastAsia="Arial" w:hAnsiTheme="minorHAnsi" w:cstheme="minorHAnsi"/>
              </w:rPr>
              <w:t>N</w:t>
            </w:r>
            <w:r w:rsidR="009C3685">
              <w:rPr>
                <w:rFonts w:asciiTheme="minorHAnsi" w:eastAsia="Arial" w:hAnsiTheme="minorHAnsi" w:cstheme="minorHAnsi"/>
              </w:rPr>
              <w:t>O</w:t>
            </w:r>
            <w:r w:rsidR="005332E7" w:rsidRPr="00CE524B">
              <w:rPr>
                <w:rFonts w:asciiTheme="minorHAnsi" w:eastAsia="Arial" w:hAnsiTheme="minorHAnsi" w:cstheme="minorHAnsi"/>
              </w:rPr>
              <w:t xml:space="preserve"> </w:t>
            </w:r>
            <w:r w:rsidRPr="00CE524B">
              <w:rPr>
                <w:rFonts w:asciiTheme="minorHAnsi" w:eastAsia="Arial" w:hAnsiTheme="minorHAnsi" w:cstheme="minorHAnsi"/>
                <w:bCs/>
              </w:rPr>
              <w:t>presta cobertura material,</w:t>
            </w:r>
            <w:r w:rsidRPr="00CE524B">
              <w:rPr>
                <w:rFonts w:asciiTheme="minorHAnsi" w:eastAsia="Arial" w:hAnsiTheme="minorHAnsi" w:cstheme="minorHAnsi"/>
              </w:rPr>
              <w:t xml:space="preserve"> pues </w:t>
            </w:r>
            <w:r w:rsidR="00D679CD">
              <w:rPr>
                <w:rFonts w:asciiTheme="minorHAnsi" w:eastAsia="Arial" w:hAnsiTheme="minorHAnsi" w:cstheme="minorHAnsi"/>
              </w:rPr>
              <w:t xml:space="preserve">lo que se busca en la demanda es la declaratoria de la </w:t>
            </w:r>
            <w:r w:rsidR="005332E7" w:rsidRPr="00CE524B">
              <w:rPr>
                <w:rFonts w:asciiTheme="minorHAnsi" w:eastAsia="Arial" w:hAnsiTheme="minorHAnsi" w:cstheme="minorHAnsi"/>
              </w:rPr>
              <w:t xml:space="preserve">responsabilidad civil extracontractual </w:t>
            </w:r>
            <w:r w:rsidR="00D679CD">
              <w:rPr>
                <w:rFonts w:asciiTheme="minorHAnsi" w:eastAsia="Arial" w:hAnsiTheme="minorHAnsi" w:cstheme="minorHAnsi"/>
              </w:rPr>
              <w:t xml:space="preserve">de la Compañía Energética de Occidente S.A.S. E.S.P., lo cual </w:t>
            </w:r>
            <w:r w:rsidR="005332E7" w:rsidRPr="00CE524B">
              <w:rPr>
                <w:rFonts w:asciiTheme="minorHAnsi" w:eastAsia="Arial" w:hAnsiTheme="minorHAnsi" w:cstheme="minorHAnsi"/>
              </w:rPr>
              <w:t xml:space="preserve">no </w:t>
            </w:r>
            <w:r w:rsidRPr="00CE524B">
              <w:rPr>
                <w:rFonts w:asciiTheme="minorHAnsi" w:eastAsia="Arial" w:hAnsiTheme="minorHAnsi" w:cstheme="minorHAnsi"/>
              </w:rPr>
              <w:t>es un riesgo asegurado</w:t>
            </w:r>
            <w:r w:rsidR="00D679CD">
              <w:rPr>
                <w:rFonts w:asciiTheme="minorHAnsi" w:eastAsia="Arial" w:hAnsiTheme="minorHAnsi" w:cstheme="minorHAnsi"/>
              </w:rPr>
              <w:t xml:space="preserve"> en el contrato. En e</w:t>
            </w:r>
            <w:r w:rsidRPr="00CE524B">
              <w:rPr>
                <w:rFonts w:asciiTheme="minorHAnsi" w:eastAsia="Arial" w:hAnsiTheme="minorHAnsi" w:cstheme="minorHAnsi"/>
              </w:rPr>
              <w:t>ste caso,</w:t>
            </w:r>
            <w:r w:rsidR="005332E7" w:rsidRPr="00CE524B">
              <w:rPr>
                <w:rFonts w:asciiTheme="minorHAnsi" w:eastAsia="Arial" w:hAnsiTheme="minorHAnsi" w:cstheme="minorHAnsi"/>
              </w:rPr>
              <w:t xml:space="preserve"> el riesgo contratado</w:t>
            </w:r>
            <w:r w:rsidR="00D679CD">
              <w:rPr>
                <w:rFonts w:asciiTheme="minorHAnsi" w:eastAsia="Arial" w:hAnsiTheme="minorHAnsi" w:cstheme="minorHAnsi"/>
              </w:rPr>
              <w:t xml:space="preserve"> es el</w:t>
            </w:r>
            <w:r w:rsidR="005332E7" w:rsidRPr="00CE524B">
              <w:rPr>
                <w:rFonts w:asciiTheme="minorHAnsi" w:eastAsia="Arial" w:hAnsiTheme="minorHAnsi" w:cstheme="minorHAnsi"/>
              </w:rPr>
              <w:t xml:space="preserve"> de cumplimiento del contrato, estabilidad de la obra y salarios y/o prestaciones sociales</w:t>
            </w:r>
            <w:r w:rsidR="00D679CD">
              <w:rPr>
                <w:rFonts w:asciiTheme="minorHAnsi" w:eastAsia="Arial" w:hAnsiTheme="minorHAnsi" w:cstheme="minorHAnsi"/>
              </w:rPr>
              <w:t>, lo cual no es lo que se ventila en este proceso</w:t>
            </w:r>
            <w:r w:rsidR="00DD392C">
              <w:rPr>
                <w:rFonts w:asciiTheme="minorHAnsi" w:eastAsia="Arial" w:hAnsiTheme="minorHAnsi" w:cstheme="minorHAnsi"/>
              </w:rPr>
              <w:t xml:space="preserve"> y a la luz del Art</w:t>
            </w:r>
            <w:r w:rsidR="00DD392C">
              <w:t xml:space="preserve">. 1077 del C. </w:t>
            </w:r>
            <w:proofErr w:type="gramStart"/>
            <w:r w:rsidR="00DD392C">
              <w:t>Co</w:t>
            </w:r>
            <w:r w:rsidR="00D679CD">
              <w:rPr>
                <w:rFonts w:asciiTheme="minorHAnsi" w:eastAsia="Arial" w:hAnsiTheme="minorHAnsi" w:cstheme="minorHAnsi"/>
              </w:rPr>
              <w:t xml:space="preserve"> </w:t>
            </w:r>
            <w:r w:rsidR="00DD392C">
              <w:rPr>
                <w:rFonts w:asciiTheme="minorHAnsi" w:eastAsia="Arial" w:hAnsiTheme="minorHAnsi" w:cstheme="minorHAnsi"/>
              </w:rPr>
              <w:t xml:space="preserve"> la</w:t>
            </w:r>
            <w:proofErr w:type="gramEnd"/>
            <w:r w:rsidR="00DD392C">
              <w:rPr>
                <w:rFonts w:asciiTheme="minorHAnsi" w:eastAsia="Arial" w:hAnsiTheme="minorHAnsi" w:cstheme="minorHAnsi"/>
              </w:rPr>
              <w:t xml:space="preserve"> parte demandante </w:t>
            </w:r>
            <w:r w:rsidR="00DD392C">
              <w:t>no demostró la ocurrencia de</w:t>
            </w:r>
            <w:r w:rsidR="00613287">
              <w:t xml:space="preserve"> ninguno de estos</w:t>
            </w:r>
            <w:r w:rsidR="00DD392C">
              <w:t xml:space="preserve"> riesgo</w:t>
            </w:r>
            <w:r w:rsidR="00613287">
              <w:t>s</w:t>
            </w:r>
            <w:r w:rsidR="00DD392C">
              <w:t xml:space="preserve"> ni su cuantía</w:t>
            </w:r>
            <w:r w:rsidR="00613287">
              <w:t>.</w:t>
            </w:r>
          </w:p>
          <w:p w14:paraId="3CE73F16" w14:textId="77777777" w:rsidR="00687133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0E6C102D" w14:textId="46F8A70C" w:rsidR="00687133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E524B">
              <w:rPr>
                <w:rFonts w:asciiTheme="minorHAnsi" w:eastAsia="Arial" w:hAnsiTheme="minorHAnsi" w:cstheme="minorHAnsi"/>
              </w:rPr>
              <w:t>Por otro lado, en cuanto a la responsabilidad del asegurado, es necesario indicar qu</w:t>
            </w:r>
            <w:r w:rsidR="00897A99">
              <w:rPr>
                <w:rFonts w:asciiTheme="minorHAnsi" w:eastAsia="Arial" w:hAnsiTheme="minorHAnsi" w:cstheme="minorHAnsi"/>
              </w:rPr>
              <w:t>e esta no está demostrada por lo siguiente: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 </w:t>
            </w:r>
            <w:r w:rsidR="00175CD2" w:rsidRPr="00242DD3">
              <w:rPr>
                <w:rFonts w:asciiTheme="minorHAnsi" w:eastAsia="Arial" w:hAnsiTheme="minorHAnsi" w:cstheme="minorHAnsi"/>
                <w:b/>
              </w:rPr>
              <w:t>(</w:t>
            </w:r>
            <w:r w:rsidR="00E5344D" w:rsidRPr="00242DD3">
              <w:rPr>
                <w:rFonts w:asciiTheme="minorHAnsi" w:eastAsia="Arial" w:hAnsiTheme="minorHAnsi" w:cstheme="minorHAnsi"/>
                <w:b/>
              </w:rPr>
              <w:t>i)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 dentro del plenario obra el informe de necropsia que indica que la </w:t>
            </w:r>
            <w:r w:rsidR="00897A99" w:rsidRPr="00CE524B">
              <w:rPr>
                <w:rFonts w:asciiTheme="minorHAnsi" w:eastAsia="Arial" w:hAnsiTheme="minorHAnsi" w:cstheme="minorHAnsi"/>
              </w:rPr>
              <w:t>víctima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 estaba transitando en calidad de peatón y al parecer no vio un hueco de alcantarilla que se encuentra destapado por obras, </w:t>
            </w:r>
            <w:r w:rsidR="00E5344D" w:rsidRPr="00242DD3">
              <w:rPr>
                <w:rFonts w:asciiTheme="minorHAnsi" w:eastAsia="Arial" w:hAnsiTheme="minorHAnsi" w:cstheme="minorHAnsi"/>
                <w:b/>
                <w:u w:val="single"/>
              </w:rPr>
              <w:t>el cual estaba con señalización de guaduas y cintas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.  </w:t>
            </w:r>
            <w:r w:rsidR="00175CD2" w:rsidRPr="00242DD3">
              <w:rPr>
                <w:rFonts w:asciiTheme="minorHAnsi" w:eastAsia="Arial" w:hAnsiTheme="minorHAnsi" w:cstheme="minorHAnsi"/>
                <w:b/>
              </w:rPr>
              <w:t>(</w:t>
            </w:r>
            <w:proofErr w:type="spellStart"/>
            <w:r w:rsidR="00E5344D" w:rsidRPr="00242DD3">
              <w:rPr>
                <w:rFonts w:asciiTheme="minorHAnsi" w:eastAsia="Arial" w:hAnsiTheme="minorHAnsi" w:cstheme="minorHAnsi"/>
                <w:b/>
              </w:rPr>
              <w:t>ii</w:t>
            </w:r>
            <w:proofErr w:type="spellEnd"/>
            <w:r w:rsidR="00E5344D" w:rsidRPr="00242DD3">
              <w:rPr>
                <w:rFonts w:asciiTheme="minorHAnsi" w:eastAsia="Arial" w:hAnsiTheme="minorHAnsi" w:cstheme="minorHAnsi"/>
                <w:b/>
              </w:rPr>
              <w:t>)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   En el mismo inform</w:t>
            </w:r>
            <w:r w:rsidR="004B3728" w:rsidRPr="00CE524B">
              <w:rPr>
                <w:rFonts w:asciiTheme="minorHAnsi" w:eastAsia="Arial" w:hAnsiTheme="minorHAnsi" w:cstheme="minorHAnsi"/>
              </w:rPr>
              <w:t>e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 se advierte que </w:t>
            </w:r>
            <w:r w:rsidR="00E5344D" w:rsidRPr="00242DD3">
              <w:rPr>
                <w:rFonts w:asciiTheme="minorHAnsi" w:hAnsiTheme="minorHAnsi" w:cstheme="minorHAnsi"/>
              </w:rPr>
              <w:t xml:space="preserve">dentro de los accesorios de uso personal del señor Varona fueron encontradas dos copas de color blanco en el bolsillo posterior del pantalón, lo cual hace alusión a los recipientes usados para servir bebidas alcohólicas, por lo que </w:t>
            </w:r>
            <w:r w:rsidR="00175CD2">
              <w:rPr>
                <w:rFonts w:asciiTheme="minorHAnsi" w:hAnsiTheme="minorHAnsi" w:cstheme="minorHAnsi"/>
              </w:rPr>
              <w:t xml:space="preserve">es posible </w:t>
            </w:r>
            <w:r w:rsidR="00175CD2">
              <w:rPr>
                <w:rFonts w:asciiTheme="minorHAnsi" w:hAnsiTheme="minorHAnsi" w:cstheme="minorHAnsi"/>
              </w:rPr>
              <w:lastRenderedPageBreak/>
              <w:t>inferir que se encontraba en</w:t>
            </w:r>
            <w:r w:rsidR="00E5344D" w:rsidRPr="00242DD3">
              <w:rPr>
                <w:rFonts w:asciiTheme="minorHAnsi" w:hAnsiTheme="minorHAnsi" w:cstheme="minorHAnsi"/>
              </w:rPr>
              <w:t xml:space="preserve"> estado de alicoramiento</w:t>
            </w:r>
            <w:r w:rsidR="00175CD2">
              <w:rPr>
                <w:rFonts w:asciiTheme="minorHAnsi" w:hAnsiTheme="minorHAnsi" w:cstheme="minorHAnsi"/>
              </w:rPr>
              <w:t xml:space="preserve">, lo cual habría </w:t>
            </w:r>
            <w:r w:rsidR="00E5344D" w:rsidRPr="00242DD3">
              <w:rPr>
                <w:rFonts w:asciiTheme="minorHAnsi" w:hAnsiTheme="minorHAnsi" w:cstheme="minorHAnsi"/>
              </w:rPr>
              <w:t>conllev</w:t>
            </w:r>
            <w:r w:rsidR="00175CD2">
              <w:rPr>
                <w:rFonts w:asciiTheme="minorHAnsi" w:hAnsiTheme="minorHAnsi" w:cstheme="minorHAnsi"/>
              </w:rPr>
              <w:t>ado</w:t>
            </w:r>
            <w:r w:rsidR="00E5344D" w:rsidRPr="00242DD3">
              <w:rPr>
                <w:rFonts w:asciiTheme="minorHAnsi" w:hAnsiTheme="minorHAnsi" w:cstheme="minorHAnsi"/>
              </w:rPr>
              <w:t xml:space="preserve"> a que la víctima obviara su deber de autocuidado y evitara transitar por una obra que estaba debidamente señalizada con guaduas y cintas amarillas.</w:t>
            </w:r>
            <w:r w:rsidR="004B3728" w:rsidRPr="00CE524B">
              <w:rPr>
                <w:rFonts w:asciiTheme="minorHAnsi" w:eastAsia="Arial" w:hAnsiTheme="minorHAnsi" w:cstheme="minorHAnsi"/>
              </w:rPr>
              <w:t xml:space="preserve"> </w:t>
            </w:r>
            <w:r w:rsidR="00AE0A44" w:rsidRPr="00242DD3">
              <w:rPr>
                <w:rFonts w:asciiTheme="minorHAnsi" w:eastAsia="Arial" w:hAnsiTheme="minorHAnsi" w:cstheme="minorHAnsi"/>
                <w:b/>
              </w:rPr>
              <w:t>(</w:t>
            </w:r>
            <w:proofErr w:type="spellStart"/>
            <w:r w:rsidR="00E5344D" w:rsidRPr="00242DD3">
              <w:rPr>
                <w:rFonts w:asciiTheme="minorHAnsi" w:eastAsia="Arial" w:hAnsiTheme="minorHAnsi" w:cstheme="minorHAnsi"/>
                <w:b/>
              </w:rPr>
              <w:t>iii</w:t>
            </w:r>
            <w:proofErr w:type="spellEnd"/>
            <w:r w:rsidR="00E5344D" w:rsidRPr="00242DD3">
              <w:rPr>
                <w:rFonts w:asciiTheme="minorHAnsi" w:eastAsia="Arial" w:hAnsiTheme="minorHAnsi" w:cstheme="minorHAnsi"/>
                <w:b/>
              </w:rPr>
              <w:t xml:space="preserve">) </w:t>
            </w:r>
            <w:r w:rsidR="00AE0A44">
              <w:rPr>
                <w:rFonts w:asciiTheme="minorHAnsi" w:eastAsia="Arial" w:hAnsiTheme="minorHAnsi" w:cstheme="minorHAnsi"/>
              </w:rPr>
              <w:t>El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 proceso penal se encuentra archivado por conducta atípica conforme lo dispone el </w:t>
            </w:r>
            <w:r w:rsidR="00AE0A44">
              <w:rPr>
                <w:rFonts w:asciiTheme="minorHAnsi" w:eastAsia="Arial" w:hAnsiTheme="minorHAnsi" w:cstheme="minorHAnsi"/>
              </w:rPr>
              <w:t>A</w:t>
            </w:r>
            <w:r w:rsidR="00E5344D" w:rsidRPr="00CE524B">
              <w:rPr>
                <w:rFonts w:asciiTheme="minorHAnsi" w:eastAsia="Arial" w:hAnsiTheme="minorHAnsi" w:cstheme="minorHAnsi"/>
              </w:rPr>
              <w:t xml:space="preserve">rt. 79 del C.P.P.  </w:t>
            </w:r>
            <w:r w:rsidR="00AE0A44" w:rsidRPr="00242DD3">
              <w:rPr>
                <w:rFonts w:asciiTheme="minorHAnsi" w:eastAsia="Arial" w:hAnsiTheme="minorHAnsi" w:cstheme="minorHAnsi"/>
                <w:b/>
              </w:rPr>
              <w:t>(</w:t>
            </w:r>
            <w:proofErr w:type="spellStart"/>
            <w:r w:rsidR="00E5344D" w:rsidRPr="00242DD3">
              <w:rPr>
                <w:rFonts w:asciiTheme="minorHAnsi" w:eastAsia="Arial" w:hAnsiTheme="minorHAnsi" w:cstheme="minorHAnsi"/>
                <w:b/>
              </w:rPr>
              <w:t>i</w:t>
            </w:r>
            <w:r w:rsidR="004B3728" w:rsidRPr="00242DD3">
              <w:rPr>
                <w:rFonts w:asciiTheme="minorHAnsi" w:eastAsia="Arial" w:hAnsiTheme="minorHAnsi" w:cstheme="minorHAnsi"/>
                <w:b/>
              </w:rPr>
              <w:t>v</w:t>
            </w:r>
            <w:proofErr w:type="spellEnd"/>
            <w:r w:rsidR="004B3728" w:rsidRPr="00242DD3">
              <w:rPr>
                <w:rFonts w:asciiTheme="minorHAnsi" w:eastAsia="Arial" w:hAnsiTheme="minorHAnsi" w:cstheme="minorHAnsi"/>
                <w:b/>
              </w:rPr>
              <w:t>)</w:t>
            </w:r>
            <w:r w:rsidR="004B3728" w:rsidRPr="00CE524B">
              <w:rPr>
                <w:rFonts w:asciiTheme="minorHAnsi" w:eastAsia="Arial" w:hAnsiTheme="minorHAnsi" w:cstheme="minorHAnsi"/>
              </w:rPr>
              <w:t xml:space="preserve"> </w:t>
            </w:r>
            <w:r w:rsidR="004B3728" w:rsidRPr="00242DD3">
              <w:rPr>
                <w:rFonts w:asciiTheme="minorHAnsi" w:hAnsiTheme="minorHAnsi" w:cstheme="minorHAnsi"/>
              </w:rPr>
              <w:t>Se advierte de acuerdo a las imágenes aportadas por la parte actora y corroborado por el informe de necropsia</w:t>
            </w:r>
            <w:r w:rsidR="00AE0A44">
              <w:rPr>
                <w:rFonts w:asciiTheme="minorHAnsi" w:hAnsiTheme="minorHAnsi" w:cstheme="minorHAnsi"/>
              </w:rPr>
              <w:t>,</w:t>
            </w:r>
            <w:r w:rsidR="004B3728" w:rsidRPr="00242DD3">
              <w:rPr>
                <w:rFonts w:asciiTheme="minorHAnsi" w:hAnsiTheme="minorHAnsi" w:cstheme="minorHAnsi"/>
              </w:rPr>
              <w:t xml:space="preserve"> </w:t>
            </w:r>
            <w:r w:rsidR="00AE0A44">
              <w:rPr>
                <w:rFonts w:asciiTheme="minorHAnsi" w:hAnsiTheme="minorHAnsi" w:cstheme="minorHAnsi"/>
              </w:rPr>
              <w:t>la</w:t>
            </w:r>
            <w:r w:rsidR="004B3728" w:rsidRPr="00242DD3">
              <w:rPr>
                <w:rFonts w:asciiTheme="minorHAnsi" w:hAnsiTheme="minorHAnsi" w:cstheme="minorHAnsi"/>
              </w:rPr>
              <w:t xml:space="preserve"> rec</w:t>
            </w:r>
            <w:r w:rsidR="00AE0A44">
              <w:rPr>
                <w:rFonts w:asciiTheme="minorHAnsi" w:hAnsiTheme="minorHAnsi" w:cstheme="minorHAnsi"/>
              </w:rPr>
              <w:t>á</w:t>
            </w:r>
            <w:r w:rsidR="004B3728" w:rsidRPr="00242DD3">
              <w:rPr>
                <w:rFonts w:asciiTheme="minorHAnsi" w:hAnsiTheme="minorHAnsi" w:cstheme="minorHAnsi"/>
              </w:rPr>
              <w:t xml:space="preserve">mara </w:t>
            </w:r>
            <w:r w:rsidR="00AE0A44">
              <w:rPr>
                <w:rFonts w:asciiTheme="minorHAnsi" w:hAnsiTheme="minorHAnsi" w:cstheme="minorHAnsi"/>
              </w:rPr>
              <w:t xml:space="preserve">en la que ocurrió el accidente </w:t>
            </w:r>
            <w:r w:rsidR="004B3728" w:rsidRPr="00242DD3">
              <w:rPr>
                <w:rFonts w:asciiTheme="minorHAnsi" w:hAnsiTheme="minorHAnsi" w:cstheme="minorHAnsi"/>
              </w:rPr>
              <w:t xml:space="preserve">se encontraba señalizada con </w:t>
            </w:r>
            <w:r w:rsidR="00AE0A44">
              <w:rPr>
                <w:rFonts w:asciiTheme="minorHAnsi" w:hAnsiTheme="minorHAnsi" w:cstheme="minorHAnsi"/>
              </w:rPr>
              <w:t xml:space="preserve">guaduas y </w:t>
            </w:r>
            <w:r w:rsidR="004B3728" w:rsidRPr="00242DD3">
              <w:rPr>
                <w:rFonts w:asciiTheme="minorHAnsi" w:hAnsiTheme="minorHAnsi" w:cstheme="minorHAnsi"/>
              </w:rPr>
              <w:t>cintas de color amarillo</w:t>
            </w:r>
            <w:r w:rsidR="00AE0A44">
              <w:rPr>
                <w:rFonts w:asciiTheme="minorHAnsi" w:hAnsiTheme="minorHAnsi" w:cstheme="minorHAnsi"/>
              </w:rPr>
              <w:t>, perceptibles para los peatones</w:t>
            </w:r>
            <w:r w:rsidR="004B3728" w:rsidRPr="00242DD3">
              <w:rPr>
                <w:rFonts w:asciiTheme="minorHAnsi" w:hAnsiTheme="minorHAnsi" w:cstheme="minorHAnsi"/>
              </w:rPr>
              <w:t xml:space="preserve">. </w:t>
            </w:r>
            <w:r w:rsidR="004B3728" w:rsidRPr="00CE524B">
              <w:rPr>
                <w:rFonts w:asciiTheme="minorHAnsi" w:eastAsia="Arial" w:hAnsiTheme="minorHAnsi" w:cstheme="minorHAnsi"/>
              </w:rPr>
              <w:t>No obstante</w:t>
            </w:r>
            <w:r w:rsidR="00077E82" w:rsidRPr="00CE524B">
              <w:rPr>
                <w:rFonts w:asciiTheme="minorHAnsi" w:eastAsia="Arial" w:hAnsiTheme="minorHAnsi" w:cstheme="minorHAnsi"/>
              </w:rPr>
              <w:t xml:space="preserve">, </w:t>
            </w:r>
            <w:r w:rsidR="004B3728" w:rsidRPr="00CE524B">
              <w:rPr>
                <w:rFonts w:asciiTheme="minorHAnsi" w:eastAsia="Arial" w:hAnsiTheme="minorHAnsi" w:cstheme="minorHAnsi"/>
              </w:rPr>
              <w:t xml:space="preserve">dependerá a criterio del juez </w:t>
            </w:r>
            <w:r w:rsidRPr="00CE524B">
              <w:rPr>
                <w:rFonts w:asciiTheme="minorHAnsi" w:eastAsia="Arial" w:hAnsiTheme="minorHAnsi" w:cstheme="minorHAnsi"/>
              </w:rPr>
              <w:t>conclu</w:t>
            </w:r>
            <w:r w:rsidR="004B3728" w:rsidRPr="00CE524B">
              <w:rPr>
                <w:rFonts w:asciiTheme="minorHAnsi" w:eastAsia="Arial" w:hAnsiTheme="minorHAnsi" w:cstheme="minorHAnsi"/>
              </w:rPr>
              <w:t xml:space="preserve">ir </w:t>
            </w:r>
            <w:r w:rsidR="00AE1B59">
              <w:rPr>
                <w:rFonts w:asciiTheme="minorHAnsi" w:eastAsia="Arial" w:hAnsiTheme="minorHAnsi" w:cstheme="minorHAnsi"/>
              </w:rPr>
              <w:t xml:space="preserve">la configuración de la culpa exclusiva de la víctima de cara a los elementos probatorios aportados. </w:t>
            </w:r>
            <w:r w:rsidRPr="00CE524B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2B55860" w14:textId="77777777" w:rsidR="00687133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500322F6" w14:textId="2340D689" w:rsidR="0057097F" w:rsidRPr="00CE524B" w:rsidRDefault="00687133">
            <w:pPr>
              <w:tabs>
                <w:tab w:val="left" w:pos="3686"/>
              </w:tabs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  <w:r w:rsidRPr="00CE524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Lo anterior sin perjuicio del carácter contingente del proceso. </w:t>
            </w:r>
          </w:p>
        </w:tc>
      </w:tr>
      <w:tr w:rsidR="0057097F" w:rsidRPr="00CE524B" w14:paraId="50032300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2F8" w14:textId="77777777" w:rsidR="0057097F" w:rsidRPr="00CE524B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E524B">
              <w:rPr>
                <w:rFonts w:asciiTheme="minorHAnsi" w:hAnsiTheme="minorHAnsi" w:cstheme="minorHAnsi"/>
                <w:b/>
              </w:rPr>
              <w:lastRenderedPageBreak/>
              <w:t>Excepciones propuestas:</w:t>
            </w:r>
          </w:p>
        </w:tc>
        <w:tc>
          <w:tcPr>
            <w:tcW w:w="6840" w:type="dxa"/>
          </w:tcPr>
          <w:p w14:paraId="32D5DAB4" w14:textId="6F78732E" w:rsidR="000B7A27" w:rsidRPr="00242DD3" w:rsidRDefault="000B7A27" w:rsidP="00242D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EXCEPCIONES DE FONDO FRENTE A LA DEMANDA</w:t>
            </w:r>
            <w:r w:rsidR="0BAEC5E2" w:rsidRPr="00242DD3">
              <w:rPr>
                <w:rFonts w:asciiTheme="minorHAnsi" w:hAnsiTheme="minorHAnsi" w:cstheme="minorHAnsi"/>
                <w:b/>
              </w:rPr>
              <w:t>:</w:t>
            </w:r>
          </w:p>
          <w:p w14:paraId="500322FB" w14:textId="738B7043" w:rsidR="0057097F" w:rsidRPr="00CE524B" w:rsidRDefault="00242DD3" w:rsidP="00242DD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3460A5" w:rsidRPr="00242DD3">
              <w:rPr>
                <w:rFonts w:asciiTheme="minorHAnsi" w:hAnsiTheme="minorHAnsi" w:cstheme="minorHAnsi"/>
              </w:rPr>
              <w:t xml:space="preserve">FALTA DE PRUEBA DEL NEXO DE CAUSALIDAD IMPUTABLE A COMPAÑIA ENERGÉTICA DE OCCIDENTE S.A.S – CULPA EXLUSIVA DE LA VÍCTIMA. </w:t>
            </w:r>
          </w:p>
          <w:p w14:paraId="342538A5" w14:textId="222D06DC" w:rsidR="003460A5" w:rsidRPr="00CE524B" w:rsidRDefault="00242DD3" w:rsidP="00242DD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3460A5" w:rsidRPr="00242DD3">
              <w:rPr>
                <w:rFonts w:asciiTheme="minorHAnsi" w:hAnsiTheme="minorHAnsi" w:cstheme="minorHAnsi"/>
              </w:rPr>
              <w:t>FALTA DE LEGITIMACIÓN EN LA CAUSA POR PASIVA DE LA COMPAÑÍA ENERGÉTICA DE OCCIDENTE S.A.S</w:t>
            </w:r>
          </w:p>
          <w:p w14:paraId="50113184" w14:textId="2840B37F" w:rsidR="003460A5" w:rsidRPr="00CE524B" w:rsidRDefault="00242DD3" w:rsidP="00242DD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3460A5" w:rsidRPr="00242DD3">
              <w:rPr>
                <w:rFonts w:asciiTheme="minorHAnsi" w:hAnsiTheme="minorHAnsi" w:cstheme="minorHAnsi"/>
              </w:rPr>
              <w:t>REDUCCIÓN DE LA INDEMNIZACIÓN COMO CONSECUENCIA DE LA INCIDENCIA DE LA CONDUCTA DE LA VÍCTIMA EN LA PRODUCCIÓN DEL DAÑO</w:t>
            </w:r>
          </w:p>
          <w:p w14:paraId="3954586F" w14:textId="3CA5EBC5" w:rsidR="003460A5" w:rsidRPr="00CE524B" w:rsidRDefault="00242DD3" w:rsidP="00242DD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3460A5" w:rsidRPr="00242DD3">
              <w:rPr>
                <w:rFonts w:asciiTheme="minorHAnsi" w:hAnsiTheme="minorHAnsi" w:cstheme="minorHAnsi"/>
              </w:rPr>
              <w:t>IMPROCEDENCIA DEL RECONOCIMIENTO DE LUCRO CESANTE</w:t>
            </w:r>
          </w:p>
          <w:p w14:paraId="6B69FE26" w14:textId="05C1E287" w:rsidR="003460A5" w:rsidRPr="00CE524B" w:rsidRDefault="00242DD3" w:rsidP="00242DD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="003460A5" w:rsidRPr="00242DD3">
              <w:rPr>
                <w:rFonts w:asciiTheme="minorHAnsi" w:hAnsiTheme="minorHAnsi" w:cstheme="minorHAnsi"/>
              </w:rPr>
              <w:t>TASACIÓN INDEBIDA E INJUSTIFICADA DE LOS SUPUESTOS PERJUICIOS INMATERIALES POR CONCEPTO DE DAÑO MORAL</w:t>
            </w:r>
          </w:p>
          <w:p w14:paraId="4BE86416" w14:textId="01592757" w:rsidR="003460A5" w:rsidRPr="00CE524B" w:rsidRDefault="00242DD3" w:rsidP="00242DD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3460A5" w:rsidRPr="00242DD3">
              <w:rPr>
                <w:rFonts w:asciiTheme="minorHAnsi" w:hAnsiTheme="minorHAnsi" w:cstheme="minorHAnsi"/>
              </w:rPr>
              <w:t>GENÉRICA, INNOMINADA Y OTRAS.</w:t>
            </w:r>
          </w:p>
          <w:p w14:paraId="500322FC" w14:textId="77777777" w:rsidR="0057097F" w:rsidRPr="00CE524B" w:rsidRDefault="0057097F" w:rsidP="00242D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00322FD" w14:textId="7BC4C1F7" w:rsidR="0057097F" w:rsidRPr="00242DD3" w:rsidRDefault="000B7A27" w:rsidP="00242D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2DD3">
              <w:rPr>
                <w:rFonts w:asciiTheme="minorHAnsi" w:hAnsiTheme="minorHAnsi" w:cstheme="minorHAnsi"/>
                <w:b/>
              </w:rPr>
              <w:t>EXCEPCIONES FRENTE AL LLAMAMIENTO EN GARANTÍA:</w:t>
            </w:r>
          </w:p>
          <w:p w14:paraId="5BEC5A8E" w14:textId="77777777" w:rsidR="003460A5" w:rsidRPr="00242DD3" w:rsidRDefault="003460A5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5AAF9446" w14:textId="06CE8D68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>
              <w:t xml:space="preserve">FALTA DE LEGITIMACIÓN EN LA CAUSA POR PASIVA DE LIBERTY SEGUROS S.A PARA </w:t>
            </w:r>
            <w:r w:rsidR="003460A5" w:rsidRPr="00242DD3">
              <w:rPr>
                <w:rFonts w:asciiTheme="minorHAnsi" w:hAnsiTheme="minorHAnsi" w:cstheme="minorHAnsi"/>
              </w:rPr>
              <w:t>SER LLAMADA EN GARANTÍA EN VIRTUD DE LA PÓLIZA DE CUMPLIMIENTO No. 2911436.</w:t>
            </w:r>
          </w:p>
          <w:p w14:paraId="2B052E70" w14:textId="1CC1DBD2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3460A5" w:rsidRPr="00242DD3">
              <w:rPr>
                <w:rFonts w:asciiTheme="minorHAnsi" w:hAnsiTheme="minorHAnsi" w:cstheme="minorHAnsi"/>
              </w:rPr>
              <w:t>FALTA DE COBERTURA MATERIAL DE LA POLIZA DE CUMPLIMIENTO No. 2911436</w:t>
            </w:r>
          </w:p>
          <w:p w14:paraId="34E342B0" w14:textId="4A221B5C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3460A5" w:rsidRPr="00242DD3">
              <w:rPr>
                <w:rFonts w:asciiTheme="minorHAnsi" w:hAnsiTheme="minorHAnsi" w:cstheme="minorHAnsi"/>
              </w:rPr>
              <w:t>INEXISTENCIA DE LA OBLIGACIÓN INDEMNIZATORIA A CARGO DE LIBERTY SEGUROS S.A CON BASE EN LA PÓLIZA DE CUMPLIMIENTO PARA PARTICULARES No. 2911436</w:t>
            </w:r>
          </w:p>
          <w:p w14:paraId="06DA59E6" w14:textId="57108E50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3460A5" w:rsidRPr="00242DD3">
              <w:rPr>
                <w:rFonts w:asciiTheme="minorHAnsi" w:hAnsiTheme="minorHAnsi" w:cstheme="minorHAnsi"/>
              </w:rPr>
              <w:t>EL SEGURO CONTENIDO EN LA PÓLIZA No. 2911436 ES DE CARÁCTER MERAMENTE INDEMNIZATORIO</w:t>
            </w:r>
          </w:p>
          <w:p w14:paraId="38780A18" w14:textId="40EA6152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="003460A5" w:rsidRPr="00242DD3">
              <w:rPr>
                <w:rFonts w:asciiTheme="minorHAnsi" w:hAnsiTheme="minorHAnsi" w:cstheme="minorHAnsi"/>
              </w:rPr>
              <w:t>EN TODO CASO, NO SE PODRÁ SOBREPASAR EL LÍMITE ASEGURADO DE LA PÓLIZA DE CUMPLIMIENTO No. 2911436</w:t>
            </w:r>
          </w:p>
          <w:p w14:paraId="3FEA24B2" w14:textId="37D0BB9E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="003460A5" w:rsidRPr="00242DD3">
              <w:rPr>
                <w:rFonts w:asciiTheme="minorHAnsi" w:hAnsiTheme="minorHAnsi" w:cstheme="minorHAnsi"/>
              </w:rPr>
              <w:t>DISPONIBILIDAD DE LA SUMA ASEGURADA</w:t>
            </w:r>
          </w:p>
          <w:p w14:paraId="208F840B" w14:textId="5BF396DE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7. </w:t>
            </w:r>
            <w:r w:rsidR="003460A5" w:rsidRPr="00242DD3">
              <w:rPr>
                <w:rFonts w:asciiTheme="minorHAnsi" w:hAnsiTheme="minorHAnsi" w:cstheme="minorHAnsi"/>
              </w:rPr>
              <w:t>RIESGOS EXPRESAMENTE EXCLUIDOS EN LA PÓLIZA DE CUMPLIMIENTO No. 2911436</w:t>
            </w:r>
          </w:p>
          <w:p w14:paraId="1F93D81B" w14:textId="572DC688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  <w:r w:rsidR="003460A5" w:rsidRPr="00242DD3">
              <w:rPr>
                <w:rFonts w:asciiTheme="minorHAnsi" w:hAnsiTheme="minorHAnsi" w:cstheme="minorHAnsi"/>
              </w:rPr>
              <w:t>EL CONTRATO ES LEY PARA LAS PARTES</w:t>
            </w:r>
          </w:p>
          <w:p w14:paraId="72784C72" w14:textId="543E59CE" w:rsidR="003460A5" w:rsidRPr="00CE524B" w:rsidRDefault="00242DD3" w:rsidP="00242DD3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 </w:t>
            </w:r>
            <w:r w:rsidR="003460A5" w:rsidRPr="00242DD3">
              <w:rPr>
                <w:rFonts w:asciiTheme="minorHAnsi" w:hAnsiTheme="minorHAnsi" w:cstheme="minorHAnsi"/>
              </w:rPr>
              <w:t>GENÉRICA O INNOMINADA Y OTRAS</w:t>
            </w:r>
          </w:p>
          <w:p w14:paraId="500322FF" w14:textId="77777777" w:rsidR="0057097F" w:rsidRPr="00CE524B" w:rsidRDefault="0057097F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097F" w:rsidRPr="00CE524B" w14:paraId="50032303" w14:textId="77777777" w:rsidTr="00242DD3">
        <w:tc>
          <w:tcPr>
            <w:tcW w:w="3570" w:type="dxa"/>
            <w:shd w:val="clear" w:color="auto" w:fill="D9D9D9" w:themeFill="background1" w:themeFillShade="D9"/>
          </w:tcPr>
          <w:p w14:paraId="50032301" w14:textId="77777777" w:rsidR="0057097F" w:rsidRPr="00CE524B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E524B">
              <w:rPr>
                <w:rFonts w:asciiTheme="minorHAnsi" w:hAnsiTheme="minorHAnsi" w:cstheme="minorHAnsi"/>
                <w:b/>
              </w:rPr>
              <w:lastRenderedPageBreak/>
              <w:t>Concepto del abogado sobre la posibilidad de conciliar el caso y valor de una propuesta conciliatoria:</w:t>
            </w:r>
          </w:p>
        </w:tc>
        <w:tc>
          <w:tcPr>
            <w:tcW w:w="6840" w:type="dxa"/>
          </w:tcPr>
          <w:p w14:paraId="50032302" w14:textId="0368D8AC" w:rsidR="0057097F" w:rsidRPr="00CE524B" w:rsidRDefault="00687133" w:rsidP="00242DD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E524B">
              <w:rPr>
                <w:rFonts w:asciiTheme="minorHAnsi" w:hAnsiTheme="minorHAnsi" w:cstheme="minorHAnsi"/>
                <w:bCs/>
              </w:rPr>
              <w:t xml:space="preserve">Por el momento no se recomienda conciliar el caso y por ende extender una propuesta económica. </w:t>
            </w:r>
          </w:p>
        </w:tc>
      </w:tr>
    </w:tbl>
    <w:p w14:paraId="50032304" w14:textId="77777777" w:rsidR="0057097F" w:rsidRPr="00CE524B" w:rsidRDefault="0057097F" w:rsidP="00242DD3">
      <w:pPr>
        <w:spacing w:after="0" w:line="276" w:lineRule="auto"/>
        <w:rPr>
          <w:rFonts w:asciiTheme="minorHAnsi" w:hAnsiTheme="minorHAnsi" w:cstheme="minorHAnsi"/>
          <w:b/>
        </w:rPr>
      </w:pPr>
    </w:p>
    <w:p w14:paraId="50032305" w14:textId="77777777" w:rsidR="0057097F" w:rsidRPr="00CE524B" w:rsidRDefault="0057097F" w:rsidP="00242DD3">
      <w:pPr>
        <w:spacing w:after="0" w:line="276" w:lineRule="auto"/>
        <w:rPr>
          <w:rFonts w:asciiTheme="minorHAnsi" w:hAnsiTheme="minorHAnsi" w:cstheme="minorHAnsi"/>
          <w:b/>
        </w:rPr>
      </w:pPr>
    </w:p>
    <w:p w14:paraId="50032306" w14:textId="77777777" w:rsidR="0057097F" w:rsidRPr="00CE524B" w:rsidRDefault="000B7A27" w:rsidP="00242DD3">
      <w:pPr>
        <w:spacing w:after="0" w:line="276" w:lineRule="auto"/>
        <w:rPr>
          <w:rFonts w:asciiTheme="minorHAnsi" w:hAnsiTheme="minorHAnsi" w:cstheme="minorHAnsi"/>
          <w:b/>
        </w:rPr>
      </w:pPr>
      <w:r w:rsidRPr="00CE524B">
        <w:rPr>
          <w:rFonts w:asciiTheme="minorHAnsi" w:hAnsiTheme="minorHAnsi" w:cstheme="minorHAnsi"/>
          <w:b/>
        </w:rPr>
        <w:t>INFORMACIÓN PARA LA AUDIENCIA DE CONCILIACIÓN:</w:t>
      </w:r>
    </w:p>
    <w:tbl>
      <w:tblPr>
        <w:tblStyle w:val="a0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57097F" w:rsidRPr="00CE524B" w14:paraId="50032309" w14:textId="77777777">
        <w:trPr>
          <w:trHeight w:val="238"/>
        </w:trPr>
        <w:tc>
          <w:tcPr>
            <w:tcW w:w="4414" w:type="dxa"/>
            <w:shd w:val="clear" w:color="auto" w:fill="D9D9D9"/>
          </w:tcPr>
          <w:p w14:paraId="50032307" w14:textId="77777777" w:rsidR="0057097F" w:rsidRPr="00CE524B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E524B">
              <w:rPr>
                <w:rFonts w:asciiTheme="minorHAnsi" w:hAnsiTheme="minorHAnsi" w:cstheme="minorHAnsi"/>
                <w:b/>
              </w:rPr>
              <w:t>Fecha y hora de la diligencia:</w:t>
            </w:r>
          </w:p>
        </w:tc>
        <w:tc>
          <w:tcPr>
            <w:tcW w:w="4414" w:type="dxa"/>
          </w:tcPr>
          <w:p w14:paraId="50032308" w14:textId="77777777" w:rsidR="0057097F" w:rsidRPr="00CE524B" w:rsidRDefault="0057097F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097F" w:rsidRPr="00CE524B" w14:paraId="5003230C" w14:textId="77777777">
        <w:tc>
          <w:tcPr>
            <w:tcW w:w="4414" w:type="dxa"/>
            <w:shd w:val="clear" w:color="auto" w:fill="D9D9D9"/>
          </w:tcPr>
          <w:p w14:paraId="5003230A" w14:textId="77777777" w:rsidR="0057097F" w:rsidRPr="00CE524B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E524B">
              <w:rPr>
                <w:rFonts w:asciiTheme="minorHAnsi" w:hAnsiTheme="minorHAnsi" w:cstheme="minorHAnsi"/>
                <w:b/>
              </w:rPr>
              <w:t>Síntesis de los argumentos de la Compañía:</w:t>
            </w:r>
          </w:p>
        </w:tc>
        <w:tc>
          <w:tcPr>
            <w:tcW w:w="4414" w:type="dxa"/>
          </w:tcPr>
          <w:p w14:paraId="5003230B" w14:textId="77777777" w:rsidR="0057097F" w:rsidRPr="00CE524B" w:rsidRDefault="0057097F" w:rsidP="0024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7097F" w:rsidRPr="00CE524B" w14:paraId="5003230F" w14:textId="77777777">
        <w:tc>
          <w:tcPr>
            <w:tcW w:w="4414" w:type="dxa"/>
            <w:shd w:val="clear" w:color="auto" w:fill="D9D9D9"/>
          </w:tcPr>
          <w:p w14:paraId="5003230D" w14:textId="77777777" w:rsidR="0057097F" w:rsidRPr="00CE524B" w:rsidRDefault="000B7A27" w:rsidP="00242DD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E524B">
              <w:rPr>
                <w:rFonts w:asciiTheme="minorHAnsi" w:hAnsiTheme="minorHAnsi" w:cstheme="minorHAnsi"/>
                <w:b/>
              </w:rPr>
              <w:t>Recomendaciones para la diligencia:</w:t>
            </w:r>
          </w:p>
        </w:tc>
        <w:tc>
          <w:tcPr>
            <w:tcW w:w="4414" w:type="dxa"/>
          </w:tcPr>
          <w:p w14:paraId="5003230E" w14:textId="77777777" w:rsidR="0057097F" w:rsidRPr="00CE524B" w:rsidRDefault="0057097F" w:rsidP="00242DD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032310" w14:textId="77777777" w:rsidR="0057097F" w:rsidRPr="00CE524B" w:rsidRDefault="0057097F" w:rsidP="00242DD3">
      <w:pPr>
        <w:spacing w:after="0" w:line="276" w:lineRule="auto"/>
        <w:rPr>
          <w:rFonts w:asciiTheme="minorHAnsi" w:hAnsiTheme="minorHAnsi" w:cstheme="minorHAnsi"/>
          <w:b/>
        </w:rPr>
      </w:pPr>
    </w:p>
    <w:sectPr w:rsidR="0057097F" w:rsidRPr="00CE52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F08B" w14:textId="77777777" w:rsidR="00AE7C15" w:rsidRDefault="00AE7C15">
      <w:pPr>
        <w:spacing w:after="0" w:line="240" w:lineRule="auto"/>
      </w:pPr>
      <w:r>
        <w:separator/>
      </w:r>
    </w:p>
  </w:endnote>
  <w:endnote w:type="continuationSeparator" w:id="0">
    <w:p w14:paraId="196F1DC3" w14:textId="77777777" w:rsidR="00AE7C15" w:rsidRDefault="00AE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313" w14:textId="77777777" w:rsidR="0057097F" w:rsidRDefault="0057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314" w14:textId="77777777" w:rsidR="0057097F" w:rsidRDefault="0057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316" w14:textId="77777777" w:rsidR="0057097F" w:rsidRDefault="0057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6E19" w14:textId="77777777" w:rsidR="00AE7C15" w:rsidRDefault="00AE7C15">
      <w:pPr>
        <w:spacing w:after="0" w:line="240" w:lineRule="auto"/>
      </w:pPr>
      <w:r>
        <w:separator/>
      </w:r>
    </w:p>
  </w:footnote>
  <w:footnote w:type="continuationSeparator" w:id="0">
    <w:p w14:paraId="40A7B0CA" w14:textId="77777777" w:rsidR="00AE7C15" w:rsidRDefault="00AE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311" w14:textId="77777777" w:rsidR="0057097F" w:rsidRDefault="0057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312" w14:textId="77777777" w:rsidR="0057097F" w:rsidRDefault="0057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2315" w14:textId="77777777" w:rsidR="0057097F" w:rsidRDefault="0057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084"/>
    <w:multiLevelType w:val="hybridMultilevel"/>
    <w:tmpl w:val="88A22E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E43"/>
    <w:multiLevelType w:val="hybridMultilevel"/>
    <w:tmpl w:val="5D78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918"/>
    <w:multiLevelType w:val="hybridMultilevel"/>
    <w:tmpl w:val="B152449A"/>
    <w:lvl w:ilvl="0" w:tplc="405ED4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E72"/>
    <w:multiLevelType w:val="hybridMultilevel"/>
    <w:tmpl w:val="A45C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0A9E"/>
    <w:multiLevelType w:val="hybridMultilevel"/>
    <w:tmpl w:val="814E1F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9858">
    <w:abstractNumId w:val="3"/>
  </w:num>
  <w:num w:numId="2" w16cid:durableId="886532206">
    <w:abstractNumId w:val="1"/>
  </w:num>
  <w:num w:numId="3" w16cid:durableId="1602565737">
    <w:abstractNumId w:val="4"/>
  </w:num>
  <w:num w:numId="4" w16cid:durableId="360471285">
    <w:abstractNumId w:val="2"/>
  </w:num>
  <w:num w:numId="5" w16cid:durableId="162064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7F"/>
    <w:rsid w:val="000323BA"/>
    <w:rsid w:val="00077E82"/>
    <w:rsid w:val="000B7A27"/>
    <w:rsid w:val="000C0853"/>
    <w:rsid w:val="001179B0"/>
    <w:rsid w:val="00145C18"/>
    <w:rsid w:val="00175CD2"/>
    <w:rsid w:val="001E6BFC"/>
    <w:rsid w:val="00242DD3"/>
    <w:rsid w:val="00277BF5"/>
    <w:rsid w:val="00285167"/>
    <w:rsid w:val="003460A5"/>
    <w:rsid w:val="003D4E10"/>
    <w:rsid w:val="003E796F"/>
    <w:rsid w:val="004319C2"/>
    <w:rsid w:val="004B3728"/>
    <w:rsid w:val="004E2ACA"/>
    <w:rsid w:val="004F0B41"/>
    <w:rsid w:val="005332E7"/>
    <w:rsid w:val="0057097F"/>
    <w:rsid w:val="005A4426"/>
    <w:rsid w:val="005F3B74"/>
    <w:rsid w:val="00613287"/>
    <w:rsid w:val="0061661E"/>
    <w:rsid w:val="00686947"/>
    <w:rsid w:val="00687133"/>
    <w:rsid w:val="006D61A5"/>
    <w:rsid w:val="006D7D36"/>
    <w:rsid w:val="006F02F4"/>
    <w:rsid w:val="00727A2E"/>
    <w:rsid w:val="007A6FD1"/>
    <w:rsid w:val="007D121A"/>
    <w:rsid w:val="007F74A8"/>
    <w:rsid w:val="0086327C"/>
    <w:rsid w:val="00881F7E"/>
    <w:rsid w:val="00897A99"/>
    <w:rsid w:val="008A18CC"/>
    <w:rsid w:val="009B6858"/>
    <w:rsid w:val="009C3685"/>
    <w:rsid w:val="00A60045"/>
    <w:rsid w:val="00AE0A44"/>
    <w:rsid w:val="00AE1B59"/>
    <w:rsid w:val="00AE7C15"/>
    <w:rsid w:val="00B3117C"/>
    <w:rsid w:val="00BB2147"/>
    <w:rsid w:val="00BE7A4F"/>
    <w:rsid w:val="00C26FA6"/>
    <w:rsid w:val="00C54950"/>
    <w:rsid w:val="00CE524B"/>
    <w:rsid w:val="00D311CB"/>
    <w:rsid w:val="00D537B5"/>
    <w:rsid w:val="00D679CD"/>
    <w:rsid w:val="00D95985"/>
    <w:rsid w:val="00DA3CA5"/>
    <w:rsid w:val="00DA65E9"/>
    <w:rsid w:val="00DD392C"/>
    <w:rsid w:val="00E5344D"/>
    <w:rsid w:val="00E753DB"/>
    <w:rsid w:val="00EF6EB0"/>
    <w:rsid w:val="00F93E03"/>
    <w:rsid w:val="0BAEC5E2"/>
    <w:rsid w:val="357EB3F4"/>
    <w:rsid w:val="581B405C"/>
    <w:rsid w:val="61A8F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22BB"/>
  <w15:docId w15:val="{8209F675-AF01-42B7-AC89-68E1629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4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0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714"/>
  </w:style>
  <w:style w:type="paragraph" w:styleId="Piedepgina">
    <w:name w:val="footer"/>
    <w:basedOn w:val="Normal"/>
    <w:link w:val="PiedepginaCar"/>
    <w:uiPriority w:val="99"/>
    <w:unhideWhenUsed/>
    <w:rsid w:val="00110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714"/>
  </w:style>
  <w:style w:type="paragraph" w:styleId="Prrafodelista">
    <w:name w:val="List Paragraph"/>
    <w:basedOn w:val="Normal"/>
    <w:uiPriority w:val="34"/>
    <w:qFormat/>
    <w:rsid w:val="00D807C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CitaExtraCSJCar">
    <w:name w:val="Cita Extra CSJ Car"/>
    <w:link w:val="CitaExtraCSJ"/>
    <w:locked/>
    <w:rsid w:val="004B3728"/>
    <w:rPr>
      <w:rFonts w:ascii="Bookman Old Style" w:eastAsia="Times New Roman" w:hAnsi="Bookman Old Style"/>
      <w:i/>
      <w:sz w:val="24"/>
      <w:szCs w:val="28"/>
      <w:lang w:val="es-ES_tradnl" w:eastAsia="x-none"/>
    </w:rPr>
  </w:style>
  <w:style w:type="paragraph" w:customStyle="1" w:styleId="CitaExtraCSJ">
    <w:name w:val="Cita Extra CSJ"/>
    <w:basedOn w:val="Textoindependiente"/>
    <w:link w:val="CitaExtraCSJCar"/>
    <w:qFormat/>
    <w:rsid w:val="004B3728"/>
    <w:pPr>
      <w:spacing w:after="0" w:line="276" w:lineRule="auto"/>
      <w:ind w:left="680"/>
      <w:jc w:val="both"/>
    </w:pPr>
    <w:rPr>
      <w:rFonts w:ascii="Bookman Old Style" w:eastAsia="Times New Roman" w:hAnsi="Bookman Old Style"/>
      <w:i/>
      <w:sz w:val="24"/>
      <w:szCs w:val="28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3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3728"/>
  </w:style>
  <w:style w:type="character" w:styleId="Refdecomentario">
    <w:name w:val="annotation reference"/>
    <w:basedOn w:val="Fuentedeprrafopredeter"/>
    <w:uiPriority w:val="99"/>
    <w:semiHidden/>
    <w:unhideWhenUsed/>
    <w:rsid w:val="00DA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A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4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4" ma:contentTypeDescription="Crear nuevo documento." ma:contentTypeScope="" ma:versionID="1d0f7bc2eb83b66115e34bf51dbe6bfd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2aa01a208a970a54f27858f6c957c500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UXHpEkv6iNTPmMNv4mUtGELTw==">AMUW2mXw6yEd+9jWibgHWl34ppno8nsJ/6Dwq+AtQPE9U9XoSaUr6pNgv0IAKB/5tTZmXD6xK5H6AEJ5QRToCpORh+NvibipJpHI24CTVTCo2fCevPH7Y0Q=</go:docsCustomData>
</go:gDocsCustomXmlDataStorage>
</file>

<file path=customXml/itemProps1.xml><?xml version="1.0" encoding="utf-8"?>
<ds:datastoreItem xmlns:ds="http://schemas.openxmlformats.org/officeDocument/2006/customXml" ds:itemID="{AC6CB8E5-BB9B-4117-BCB0-976133B79694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4295E472-3ECE-419C-9FF6-B4775C1DC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193A6-A634-4AEC-AC5B-53D853CD9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D8349-27B2-491F-A7EC-71C1061E0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"Valentina Casas Valencia" &lt;valentina.casas1@est.uexternado.edu.co&gt;</dc:creator>
  <cp:lastModifiedBy>Valentina Casas Valencia</cp:lastModifiedBy>
  <cp:revision>2</cp:revision>
  <cp:lastPrinted>2023-02-19T22:55:00Z</cp:lastPrinted>
  <dcterms:created xsi:type="dcterms:W3CDTF">2024-01-23T16:43:00Z</dcterms:created>
  <dcterms:modified xsi:type="dcterms:W3CDTF">2024-01-23T16:43:00Z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50dc07d3-189a-455e-8b7f-dc2fa8e5d363</vt:lpwstr>
  </property>
  <property fmtid="{D5CDD505-2E9C-101B-9397-08002B2CF9AE}" pid="3" name="Clasificaciones">
    <vt:lpwstr>INTERNA</vt:lpwstr>
  </property>
  <property fmtid="{D5CDD505-2E9C-101B-9397-08002B2CF9AE}" pid="4" name="ContentTypeId">
    <vt:lpwstr>0x0101002C92A54D8AB3014FADD0201C99992F62</vt:lpwstr>
  </property>
</Properties>
</file>