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tblpY="570"/>
        <w:tblW w:w="0" w:type="auto"/>
        <w:tblLook w:val="04A0" w:firstRow="1" w:lastRow="0" w:firstColumn="1" w:lastColumn="0" w:noHBand="0" w:noVBand="1"/>
      </w:tblPr>
      <w:tblGrid>
        <w:gridCol w:w="3112"/>
        <w:gridCol w:w="5716"/>
      </w:tblGrid>
      <w:tr w:rsidR="0028582E" w:rsidRPr="004A6D65" w14:paraId="4B333434" w14:textId="77777777" w:rsidTr="0028582E">
        <w:trPr>
          <w:trHeight w:val="719"/>
        </w:trPr>
        <w:tc>
          <w:tcPr>
            <w:tcW w:w="3112" w:type="dxa"/>
            <w:shd w:val="clear" w:color="auto" w:fill="auto"/>
          </w:tcPr>
          <w:p w14:paraId="6872C1B7" w14:textId="77777777" w:rsidR="0028582E" w:rsidRPr="004A6D65" w:rsidRDefault="0028582E" w:rsidP="0028582E">
            <w:pPr>
              <w:spacing w:line="276" w:lineRule="auto"/>
              <w:rPr>
                <w:rFonts w:cstheme="minorHAnsi"/>
                <w:b/>
              </w:rPr>
            </w:pPr>
            <w:r w:rsidRPr="004A6D65">
              <w:rPr>
                <w:rFonts w:cstheme="minorHAnsi"/>
                <w:b/>
              </w:rPr>
              <w:t xml:space="preserve">JUZGADO: </w:t>
            </w:r>
          </w:p>
          <w:p w14:paraId="157E83D7" w14:textId="77777777" w:rsidR="0028582E" w:rsidRPr="004A6D65" w:rsidRDefault="0028582E" w:rsidP="0028582E">
            <w:pPr>
              <w:spacing w:line="276" w:lineRule="auto"/>
              <w:rPr>
                <w:rFonts w:cstheme="minorHAnsi"/>
                <w:b/>
              </w:rPr>
            </w:pPr>
            <w:r w:rsidRPr="004A6D65">
              <w:rPr>
                <w:rFonts w:cstheme="minorHAnsi"/>
                <w:b/>
              </w:rPr>
              <w:t>ASUNTO:</w:t>
            </w:r>
          </w:p>
        </w:tc>
        <w:tc>
          <w:tcPr>
            <w:tcW w:w="5716" w:type="dxa"/>
          </w:tcPr>
          <w:p w14:paraId="2CF196CE" w14:textId="7556299E" w:rsidR="0028582E" w:rsidRPr="004A6D65" w:rsidRDefault="0028582E" w:rsidP="0028582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18 Civil del </w:t>
            </w:r>
            <w:proofErr w:type="spellStart"/>
            <w:r>
              <w:rPr>
                <w:rFonts w:cstheme="minorHAnsi"/>
              </w:rPr>
              <w:t>Circuito</w:t>
            </w:r>
            <w:proofErr w:type="spellEnd"/>
            <w:r>
              <w:rPr>
                <w:rFonts w:cstheme="minorHAnsi"/>
              </w:rPr>
              <w:t xml:space="preserve"> de Cali</w:t>
            </w:r>
          </w:p>
        </w:tc>
      </w:tr>
      <w:tr w:rsidR="0028582E" w:rsidRPr="004A6D65" w14:paraId="5953FF40" w14:textId="77777777" w:rsidTr="0028582E">
        <w:trPr>
          <w:trHeight w:val="788"/>
        </w:trPr>
        <w:tc>
          <w:tcPr>
            <w:tcW w:w="3112" w:type="dxa"/>
          </w:tcPr>
          <w:p w14:paraId="066680CB" w14:textId="77777777" w:rsidR="0028582E" w:rsidRPr="004A6D65" w:rsidRDefault="0028582E" w:rsidP="0028582E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4A6D65">
              <w:rPr>
                <w:rFonts w:cstheme="minorHAnsi"/>
                <w:b/>
              </w:rPr>
              <w:t>DEMANDANTES:</w:t>
            </w:r>
          </w:p>
        </w:tc>
        <w:tc>
          <w:tcPr>
            <w:tcW w:w="5716" w:type="dxa"/>
          </w:tcPr>
          <w:p w14:paraId="25678D51" w14:textId="08708FB1" w:rsidR="0028582E" w:rsidRDefault="0028582E" w:rsidP="0028582E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Diana </w:t>
            </w:r>
            <w:proofErr w:type="spellStart"/>
            <w:r>
              <w:rPr>
                <w:rFonts w:cstheme="minorHAnsi"/>
              </w:rPr>
              <w:t>Sorelis</w:t>
            </w:r>
            <w:proofErr w:type="spellEnd"/>
            <w:r>
              <w:rPr>
                <w:rFonts w:cstheme="minorHAnsi"/>
              </w:rPr>
              <w:t xml:space="preserve"> Henao.</w:t>
            </w:r>
          </w:p>
          <w:p w14:paraId="34CB2BDD" w14:textId="7956E6A2" w:rsidR="0028582E" w:rsidRDefault="0028582E" w:rsidP="0028582E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John de Jesús Franco Hincapie.</w:t>
            </w:r>
          </w:p>
          <w:p w14:paraId="4EB65E24" w14:textId="69C806D1" w:rsidR="0028582E" w:rsidRDefault="0028582E" w:rsidP="0028582E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John Alexander Franco.</w:t>
            </w:r>
          </w:p>
          <w:p w14:paraId="10A51E4A" w14:textId="77777777" w:rsidR="0028582E" w:rsidRPr="004A6D65" w:rsidRDefault="0028582E" w:rsidP="0028582E">
            <w:pPr>
              <w:pStyle w:val="Prrafodelista"/>
              <w:spacing w:line="276" w:lineRule="auto"/>
              <w:ind w:left="360"/>
              <w:jc w:val="both"/>
              <w:rPr>
                <w:rFonts w:cstheme="minorHAnsi"/>
              </w:rPr>
            </w:pPr>
          </w:p>
          <w:p w14:paraId="2987C9C3" w14:textId="77777777" w:rsidR="0028582E" w:rsidRPr="004A6D65" w:rsidRDefault="0028582E" w:rsidP="0028582E">
            <w:pPr>
              <w:pStyle w:val="Prrafodelista"/>
              <w:spacing w:line="276" w:lineRule="auto"/>
              <w:ind w:left="360"/>
              <w:jc w:val="both"/>
              <w:rPr>
                <w:rFonts w:cstheme="minorHAnsi"/>
                <w:b/>
              </w:rPr>
            </w:pPr>
          </w:p>
        </w:tc>
      </w:tr>
      <w:tr w:rsidR="0028582E" w:rsidRPr="004A6D65" w14:paraId="408D7FE6" w14:textId="77777777" w:rsidTr="0028582E">
        <w:trPr>
          <w:trHeight w:val="788"/>
        </w:trPr>
        <w:tc>
          <w:tcPr>
            <w:tcW w:w="3112" w:type="dxa"/>
          </w:tcPr>
          <w:p w14:paraId="06742A0C" w14:textId="77777777" w:rsidR="0028582E" w:rsidRPr="004A6D65" w:rsidRDefault="0028582E" w:rsidP="0028582E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4A6D65">
              <w:rPr>
                <w:rFonts w:cstheme="minorHAnsi"/>
                <w:b/>
              </w:rPr>
              <w:t xml:space="preserve">VÍCTIMA DIRECTA: </w:t>
            </w:r>
          </w:p>
        </w:tc>
        <w:tc>
          <w:tcPr>
            <w:tcW w:w="5716" w:type="dxa"/>
          </w:tcPr>
          <w:p w14:paraId="317DC223" w14:textId="643A13B1" w:rsidR="0028582E" w:rsidRPr="004A6D65" w:rsidRDefault="0028582E" w:rsidP="0028582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Diana </w:t>
            </w:r>
            <w:proofErr w:type="spellStart"/>
            <w:r>
              <w:rPr>
                <w:rFonts w:cstheme="minorHAnsi"/>
              </w:rPr>
              <w:t>Sorelis</w:t>
            </w:r>
            <w:proofErr w:type="spellEnd"/>
            <w:r>
              <w:rPr>
                <w:rFonts w:cstheme="minorHAnsi"/>
              </w:rPr>
              <w:t xml:space="preserve"> Henao</w:t>
            </w:r>
          </w:p>
        </w:tc>
      </w:tr>
      <w:tr w:rsidR="0028582E" w:rsidRPr="004A6D65" w14:paraId="402E9BBF" w14:textId="77777777" w:rsidTr="0028582E">
        <w:tc>
          <w:tcPr>
            <w:tcW w:w="3112" w:type="dxa"/>
          </w:tcPr>
          <w:p w14:paraId="0F706377" w14:textId="77777777" w:rsidR="0028582E" w:rsidRPr="004A6D65" w:rsidRDefault="0028582E" w:rsidP="0028582E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4A6D65">
              <w:rPr>
                <w:rFonts w:cstheme="minorHAnsi"/>
                <w:b/>
              </w:rPr>
              <w:t>DEMANDADOS:</w:t>
            </w:r>
          </w:p>
        </w:tc>
        <w:tc>
          <w:tcPr>
            <w:tcW w:w="5716" w:type="dxa"/>
          </w:tcPr>
          <w:p w14:paraId="714005E2" w14:textId="55662384" w:rsidR="0028582E" w:rsidRPr="000003B9" w:rsidRDefault="0028582E" w:rsidP="0028582E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Clínica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Plamira</w:t>
            </w:r>
            <w:proofErr w:type="spellEnd"/>
          </w:p>
        </w:tc>
      </w:tr>
      <w:tr w:rsidR="0028582E" w:rsidRPr="004A6D65" w14:paraId="3514A6FC" w14:textId="77777777" w:rsidTr="0028582E">
        <w:tc>
          <w:tcPr>
            <w:tcW w:w="3112" w:type="dxa"/>
          </w:tcPr>
          <w:p w14:paraId="5719D6E9" w14:textId="77777777" w:rsidR="0028582E" w:rsidRPr="004A6D65" w:rsidRDefault="0028582E" w:rsidP="0028582E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4A6D65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LAMADO EN GARANTÍA:</w:t>
            </w:r>
          </w:p>
        </w:tc>
        <w:tc>
          <w:tcPr>
            <w:tcW w:w="5716" w:type="dxa"/>
          </w:tcPr>
          <w:p w14:paraId="76DF8029" w14:textId="77777777" w:rsidR="0028582E" w:rsidRDefault="0028582E" w:rsidP="0028582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28582E">
              <w:rPr>
                <w:rFonts w:cstheme="minorHAnsi"/>
                <w:bCs/>
              </w:rPr>
              <w:t xml:space="preserve">Chubb </w:t>
            </w:r>
            <w:proofErr w:type="spellStart"/>
            <w:r w:rsidRPr="0028582E">
              <w:rPr>
                <w:rFonts w:cstheme="minorHAnsi"/>
                <w:bCs/>
              </w:rPr>
              <w:t>Seguros</w:t>
            </w:r>
            <w:proofErr w:type="spellEnd"/>
            <w:r w:rsidRPr="0028582E">
              <w:rPr>
                <w:rFonts w:cstheme="minorHAnsi"/>
                <w:bCs/>
              </w:rPr>
              <w:t xml:space="preserve"> Colombia S.A.</w:t>
            </w:r>
          </w:p>
          <w:p w14:paraId="15569166" w14:textId="76EC8103" w:rsidR="0028582E" w:rsidRPr="0028582E" w:rsidRDefault="0028582E" w:rsidP="0028582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Juan Carlos Montaño</w:t>
            </w:r>
          </w:p>
        </w:tc>
      </w:tr>
      <w:tr w:rsidR="0028582E" w:rsidRPr="004A6D65" w14:paraId="2EFC2470" w14:textId="77777777" w:rsidTr="0028582E">
        <w:tc>
          <w:tcPr>
            <w:tcW w:w="3112" w:type="dxa"/>
          </w:tcPr>
          <w:p w14:paraId="7456DC79" w14:textId="77777777" w:rsidR="0028582E" w:rsidRPr="004A6D65" w:rsidRDefault="0028582E" w:rsidP="0028582E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4A6D65">
              <w:rPr>
                <w:rFonts w:cstheme="minorHAnsi"/>
                <w:b/>
              </w:rPr>
              <w:t>TIPO DE VINCULACIÓN:</w:t>
            </w:r>
          </w:p>
        </w:tc>
        <w:tc>
          <w:tcPr>
            <w:tcW w:w="5716" w:type="dxa"/>
          </w:tcPr>
          <w:p w14:paraId="4355005F" w14:textId="0A10312B" w:rsidR="0028582E" w:rsidRPr="004A6D65" w:rsidRDefault="0028582E" w:rsidP="0028582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Directa</w:t>
            </w:r>
          </w:p>
        </w:tc>
      </w:tr>
      <w:tr w:rsidR="0028582E" w:rsidRPr="004A6D65" w14:paraId="42C8E17A" w14:textId="77777777" w:rsidTr="0028582E">
        <w:tc>
          <w:tcPr>
            <w:tcW w:w="3112" w:type="dxa"/>
          </w:tcPr>
          <w:p w14:paraId="1A0EB40E" w14:textId="77777777" w:rsidR="0028582E" w:rsidRPr="004A6D65" w:rsidRDefault="0028582E" w:rsidP="0028582E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4A6D65">
              <w:rPr>
                <w:rFonts w:cstheme="minorHAnsi"/>
                <w:b/>
              </w:rPr>
              <w:t>FUNDAMENTO DE LA DEMANDA:</w:t>
            </w:r>
          </w:p>
        </w:tc>
        <w:tc>
          <w:tcPr>
            <w:tcW w:w="5716" w:type="dxa"/>
          </w:tcPr>
          <w:p w14:paraId="411E4EFC" w14:textId="6B6043CE" w:rsidR="0028582E" w:rsidRPr="004A6D65" w:rsidRDefault="0028582E" w:rsidP="0028582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 </w:t>
            </w:r>
            <w:proofErr w:type="spellStart"/>
            <w:r>
              <w:rPr>
                <w:rFonts w:cstheme="minorHAnsi"/>
              </w:rPr>
              <w:t>fundamento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la </w:t>
            </w:r>
            <w:proofErr w:type="spellStart"/>
            <w:r>
              <w:rPr>
                <w:rFonts w:cstheme="minorHAnsi"/>
              </w:rPr>
              <w:t>cirugía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practicada</w:t>
            </w:r>
            <w:proofErr w:type="spellEnd"/>
            <w:r>
              <w:rPr>
                <w:rFonts w:cstheme="minorHAnsi"/>
              </w:rPr>
              <w:t xml:space="preserve"> a la </w:t>
            </w:r>
            <w:proofErr w:type="spellStart"/>
            <w:r>
              <w:rPr>
                <w:rFonts w:cstheme="minorHAnsi"/>
              </w:rPr>
              <w:t>demandante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el</w:t>
            </w:r>
            <w:proofErr w:type="spellEnd"/>
            <w:r>
              <w:rPr>
                <w:rFonts w:cstheme="minorHAnsi"/>
              </w:rPr>
              <w:t xml:space="preserve"> día 28 de </w:t>
            </w:r>
            <w:proofErr w:type="spellStart"/>
            <w:r>
              <w:rPr>
                <w:rFonts w:cstheme="minorHAnsi"/>
              </w:rPr>
              <w:t>enero</w:t>
            </w:r>
            <w:proofErr w:type="spellEnd"/>
            <w:r>
              <w:rPr>
                <w:rFonts w:cstheme="minorHAnsi"/>
              </w:rPr>
              <w:t xml:space="preserve"> de 2019, se </w:t>
            </w:r>
            <w:proofErr w:type="spellStart"/>
            <w:r>
              <w:rPr>
                <w:rFonts w:cstheme="minorHAnsi"/>
              </w:rPr>
              <w:t>refiere</w:t>
            </w:r>
            <w:proofErr w:type="spellEnd"/>
            <w:r>
              <w:rPr>
                <w:rFonts w:cstheme="minorHAnsi"/>
              </w:rPr>
              <w:t xml:space="preserve"> que se </w:t>
            </w:r>
            <w:proofErr w:type="spellStart"/>
            <w:r>
              <w:rPr>
                <w:rFonts w:cstheme="minorHAnsi"/>
              </w:rPr>
              <w:t>dejó</w:t>
            </w:r>
            <w:proofErr w:type="spellEnd"/>
            <w:r>
              <w:rPr>
                <w:rFonts w:cstheme="minorHAnsi"/>
              </w:rPr>
              <w:t xml:space="preserve"> un </w:t>
            </w:r>
            <w:proofErr w:type="spellStart"/>
            <w:r>
              <w:rPr>
                <w:rFonts w:cstheme="minorHAnsi"/>
              </w:rPr>
              <w:t>cuerpo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extraño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gasa</w:t>
            </w:r>
            <w:proofErr w:type="spellEnd"/>
            <w:r>
              <w:rPr>
                <w:rFonts w:cstheme="minorHAnsi"/>
              </w:rPr>
              <w:t xml:space="preserve">), la </w:t>
            </w:r>
            <w:proofErr w:type="spellStart"/>
            <w:r>
              <w:rPr>
                <w:rFonts w:cstheme="minorHAnsi"/>
              </w:rPr>
              <w:t>cual</w:t>
            </w:r>
            <w:proofErr w:type="spellEnd"/>
            <w:r>
              <w:rPr>
                <w:rFonts w:cstheme="minorHAnsi"/>
              </w:rPr>
              <w:t xml:space="preserve"> le </w:t>
            </w:r>
            <w:proofErr w:type="spellStart"/>
            <w:r>
              <w:rPr>
                <w:rFonts w:cstheme="minorHAnsi"/>
              </w:rPr>
              <w:t>ocasionó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problemas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salud</w:t>
            </w:r>
            <w:proofErr w:type="spellEnd"/>
            <w:r>
              <w:rPr>
                <w:rFonts w:cstheme="minorHAnsi"/>
              </w:rPr>
              <w:t xml:space="preserve"> posteriores.</w:t>
            </w:r>
          </w:p>
        </w:tc>
      </w:tr>
    </w:tbl>
    <w:p w14:paraId="49BA0FCD" w14:textId="11044E2C" w:rsidR="0028582E" w:rsidRDefault="0028582E" w:rsidP="00890B43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DESARROLLO DE AUDIENCIA ART. 372 DIANA SORELIS HENAO VS CLÍNICA PALMIRA</w:t>
      </w:r>
    </w:p>
    <w:p w14:paraId="623D65AE" w14:textId="77777777" w:rsidR="0028582E" w:rsidRDefault="0028582E" w:rsidP="00890B43">
      <w:pPr>
        <w:jc w:val="center"/>
        <w:rPr>
          <w:b/>
          <w:bCs/>
          <w:lang w:val="es-MX"/>
        </w:rPr>
      </w:pPr>
    </w:p>
    <w:p w14:paraId="5327966B" w14:textId="70A10573" w:rsidR="00421600" w:rsidRDefault="00890B43" w:rsidP="00890B43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INICIA A LAS 8:50 A.M. LUEGO DE ESPERAR  LA</w:t>
      </w:r>
      <w:r w:rsidR="0028582E">
        <w:rPr>
          <w:b/>
          <w:bCs/>
          <w:lang w:val="es-MX"/>
        </w:rPr>
        <w:t xml:space="preserve"> CONEXIÓN DE LA</w:t>
      </w:r>
      <w:r>
        <w:rPr>
          <w:b/>
          <w:bCs/>
          <w:lang w:val="es-MX"/>
        </w:rPr>
        <w:t xml:space="preserve"> PARTE DEMANDANTE</w:t>
      </w:r>
    </w:p>
    <w:p w14:paraId="22C4D007" w14:textId="77777777" w:rsidR="00890B43" w:rsidRDefault="00890B43" w:rsidP="00890B43">
      <w:pPr>
        <w:jc w:val="center"/>
        <w:rPr>
          <w:b/>
          <w:bCs/>
          <w:lang w:val="es-MX"/>
        </w:rPr>
      </w:pPr>
    </w:p>
    <w:p w14:paraId="48EAA4B4" w14:textId="28DBECB9" w:rsidR="00890B43" w:rsidRDefault="00890B43" w:rsidP="005527AD">
      <w:pPr>
        <w:jc w:val="both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PRESENTACIÓN DE LAS PARTES</w:t>
      </w:r>
    </w:p>
    <w:p w14:paraId="03753D52" w14:textId="62062916" w:rsidR="00890B43" w:rsidRDefault="00287F56" w:rsidP="005527AD">
      <w:pPr>
        <w:jc w:val="both"/>
        <w:rPr>
          <w:lang w:val="es-MX"/>
        </w:rPr>
      </w:pPr>
      <w:r>
        <w:rPr>
          <w:lang w:val="es-MX"/>
        </w:rPr>
        <w:t>-</w:t>
      </w:r>
      <w:r w:rsidR="00890B43">
        <w:rPr>
          <w:lang w:val="es-MX"/>
        </w:rPr>
        <w:t>Comparecen todos menos la parte demandante y su apoderado.</w:t>
      </w:r>
    </w:p>
    <w:p w14:paraId="7288FDAF" w14:textId="77777777" w:rsidR="00287F56" w:rsidRDefault="00287F56" w:rsidP="005527AD">
      <w:pPr>
        <w:jc w:val="both"/>
        <w:rPr>
          <w:lang w:val="es-MX"/>
        </w:rPr>
      </w:pPr>
    </w:p>
    <w:p w14:paraId="1A0AAE27" w14:textId="704ABB67" w:rsidR="00287F56" w:rsidRDefault="00287F56" w:rsidP="005527AD">
      <w:pPr>
        <w:jc w:val="both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ETAPA DE CONCILIACIÓN</w:t>
      </w:r>
    </w:p>
    <w:p w14:paraId="3F95CDD0" w14:textId="761CC3A8" w:rsidR="00287F56" w:rsidRDefault="00287F56" w:rsidP="005527AD">
      <w:pPr>
        <w:jc w:val="both"/>
        <w:rPr>
          <w:lang w:val="es-MX"/>
        </w:rPr>
      </w:pPr>
      <w:r>
        <w:rPr>
          <w:lang w:val="es-MX"/>
        </w:rPr>
        <w:t>No se puede adelantar porque no está la parte demandante. Solo se menciona que la parte pasiva tenía ánimo conciliatorio.</w:t>
      </w:r>
    </w:p>
    <w:p w14:paraId="1867C0F6" w14:textId="77777777" w:rsidR="00287F56" w:rsidRDefault="00287F56" w:rsidP="005527AD">
      <w:pPr>
        <w:jc w:val="both"/>
        <w:rPr>
          <w:lang w:val="es-MX"/>
        </w:rPr>
      </w:pPr>
    </w:p>
    <w:p w14:paraId="59E3DEB7" w14:textId="3634AFE5" w:rsidR="00287F56" w:rsidRDefault="00287F56" w:rsidP="005527AD">
      <w:pPr>
        <w:jc w:val="both"/>
        <w:rPr>
          <w:lang w:val="es-MX"/>
        </w:rPr>
      </w:pPr>
      <w:r>
        <w:rPr>
          <w:lang w:val="es-MX"/>
        </w:rPr>
        <w:t>Se declara fracasada por ahora la etapa teniendo en cuenta la ausencia de la parte demandante.</w:t>
      </w:r>
    </w:p>
    <w:p w14:paraId="04CF0A95" w14:textId="77777777" w:rsidR="00A16A16" w:rsidRDefault="00A16A16" w:rsidP="005527AD">
      <w:pPr>
        <w:jc w:val="both"/>
        <w:rPr>
          <w:b/>
          <w:bCs/>
          <w:u w:val="single"/>
          <w:lang w:val="es-MX"/>
        </w:rPr>
      </w:pPr>
    </w:p>
    <w:p w14:paraId="7EF563AA" w14:textId="3499A155" w:rsidR="00287F56" w:rsidRDefault="00A16A16" w:rsidP="005527AD">
      <w:pPr>
        <w:jc w:val="both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DECISIÓN SOBRE REFORMA DE LA DEMANDA</w:t>
      </w:r>
    </w:p>
    <w:p w14:paraId="4537F722" w14:textId="305B410E" w:rsidR="00A16A16" w:rsidRDefault="00A16A16" w:rsidP="005527AD">
      <w:pPr>
        <w:jc w:val="both"/>
        <w:rPr>
          <w:lang w:val="es-MX"/>
        </w:rPr>
      </w:pPr>
      <w:r>
        <w:rPr>
          <w:lang w:val="es-MX"/>
        </w:rPr>
        <w:t xml:space="preserve">Se allegó reforma de la demanda el 5 de diciembre de 2024, posterior a la programación </w:t>
      </w:r>
      <w:r w:rsidR="000C7A39">
        <w:rPr>
          <w:lang w:val="es-MX"/>
        </w:rPr>
        <w:t>de la audiencia por lo cual se rechaza de plano.</w:t>
      </w:r>
    </w:p>
    <w:p w14:paraId="7B6FBCD0" w14:textId="77777777" w:rsidR="000C7A39" w:rsidRDefault="000C7A39" w:rsidP="005527AD">
      <w:pPr>
        <w:jc w:val="both"/>
        <w:rPr>
          <w:lang w:val="es-MX"/>
        </w:rPr>
      </w:pPr>
    </w:p>
    <w:p w14:paraId="330AA3F4" w14:textId="3BC6C47E" w:rsidR="000C7A39" w:rsidRDefault="000C7A39" w:rsidP="005527AD">
      <w:pPr>
        <w:jc w:val="both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INTERROGATORIOS DE PARTE</w:t>
      </w:r>
    </w:p>
    <w:p w14:paraId="14D80FB8" w14:textId="77777777" w:rsidR="000C7A39" w:rsidRDefault="000C7A39" w:rsidP="005527AD">
      <w:pPr>
        <w:jc w:val="both"/>
        <w:rPr>
          <w:b/>
          <w:bCs/>
          <w:u w:val="single"/>
          <w:lang w:val="es-MX"/>
        </w:rPr>
      </w:pPr>
    </w:p>
    <w:p w14:paraId="06A9DB62" w14:textId="41D3DD5A" w:rsidR="000C7A39" w:rsidRDefault="000C7A39" w:rsidP="005527AD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JAIME RODRIGO CAMACHO RL CHUBB SEGUROS</w:t>
      </w:r>
    </w:p>
    <w:p w14:paraId="7DC02CD9" w14:textId="202245FF" w:rsidR="000C7A39" w:rsidRDefault="00BA0357" w:rsidP="005527AD">
      <w:pPr>
        <w:jc w:val="both"/>
        <w:rPr>
          <w:lang w:val="es-MX"/>
        </w:rPr>
      </w:pPr>
      <w:r>
        <w:rPr>
          <w:lang w:val="es-MX"/>
        </w:rPr>
        <w:t>Existe una póliza de RC Médica que cubre eventos de RCE en que incurra por el ejercicio de la actividad médica.</w:t>
      </w:r>
    </w:p>
    <w:p w14:paraId="11C5CF70" w14:textId="2B206111" w:rsidR="00BA0357" w:rsidRDefault="00BA0357" w:rsidP="005527AD">
      <w:pPr>
        <w:jc w:val="both"/>
        <w:rPr>
          <w:lang w:val="es-MX"/>
        </w:rPr>
      </w:pPr>
      <w:r>
        <w:rPr>
          <w:lang w:val="es-MX"/>
        </w:rPr>
        <w:t xml:space="preserve">Tiene modalidad </w:t>
      </w:r>
      <w:proofErr w:type="spellStart"/>
      <w:r>
        <w:rPr>
          <w:lang w:val="es-MX"/>
        </w:rPr>
        <w:t>claims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made</w:t>
      </w:r>
      <w:proofErr w:type="spellEnd"/>
      <w:r>
        <w:rPr>
          <w:lang w:val="es-MX"/>
        </w:rPr>
        <w:t xml:space="preserve"> y se cumple este requisito en el presente caso.</w:t>
      </w:r>
      <w:r w:rsidR="00B9041A">
        <w:rPr>
          <w:lang w:val="es-MX"/>
        </w:rPr>
        <w:t xml:space="preserve"> La reclamación se hizo dentro de la vigencia del seguro, además tiene una retroactividad que cubre el momento de la ocurrencia de los hechos.</w:t>
      </w:r>
    </w:p>
    <w:p w14:paraId="2B8A1629" w14:textId="48594705" w:rsidR="00BA0357" w:rsidRDefault="00BA0357" w:rsidP="005527AD">
      <w:pPr>
        <w:jc w:val="both"/>
        <w:rPr>
          <w:lang w:val="es-MX"/>
        </w:rPr>
      </w:pPr>
      <w:r>
        <w:rPr>
          <w:lang w:val="es-MX"/>
        </w:rPr>
        <w:t>Tiene un deducible de 10% mínimo $40.000.000.</w:t>
      </w:r>
    </w:p>
    <w:p w14:paraId="5A48D3D7" w14:textId="22004CB4" w:rsidR="00B9041A" w:rsidRDefault="00B9041A" w:rsidP="005527AD">
      <w:pPr>
        <w:jc w:val="both"/>
        <w:rPr>
          <w:lang w:val="es-MX"/>
        </w:rPr>
      </w:pPr>
      <w:r>
        <w:rPr>
          <w:lang w:val="es-MX"/>
        </w:rPr>
        <w:t>La póliza cubre a la clínica.</w:t>
      </w:r>
    </w:p>
    <w:p w14:paraId="77B3D727" w14:textId="77777777" w:rsidR="00CA0080" w:rsidRDefault="00CA0080" w:rsidP="005527AD">
      <w:pPr>
        <w:jc w:val="both"/>
        <w:rPr>
          <w:lang w:val="es-MX"/>
        </w:rPr>
      </w:pPr>
    </w:p>
    <w:p w14:paraId="64859CC7" w14:textId="6A1847F9" w:rsidR="00CA0080" w:rsidRDefault="00CA0080" w:rsidP="005527AD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DRA ADRIANA TOBAR RL CLÍNICA PALMIRA</w:t>
      </w:r>
    </w:p>
    <w:p w14:paraId="3BEA89D5" w14:textId="03AE0344" w:rsidR="00CA0080" w:rsidRDefault="00E67360" w:rsidP="005527AD">
      <w:pPr>
        <w:jc w:val="both"/>
        <w:rPr>
          <w:lang w:val="es-MX"/>
        </w:rPr>
      </w:pPr>
      <w:r>
        <w:rPr>
          <w:lang w:val="es-MX"/>
        </w:rPr>
        <w:t>Es economista con MBA en gestión humana.</w:t>
      </w:r>
    </w:p>
    <w:p w14:paraId="71A0BF0B" w14:textId="18C16D21" w:rsidR="00E67360" w:rsidRDefault="00E67360" w:rsidP="005527AD">
      <w:pPr>
        <w:jc w:val="both"/>
        <w:rPr>
          <w:lang w:val="es-MX"/>
        </w:rPr>
      </w:pPr>
      <w:r>
        <w:rPr>
          <w:lang w:val="es-MX"/>
        </w:rPr>
        <w:t>Trabaja en Clínica Palmira hace 25 años y es RL hace unos 15 años.</w:t>
      </w:r>
    </w:p>
    <w:p w14:paraId="20881F74" w14:textId="13B50C71" w:rsidR="00E67360" w:rsidRDefault="00152ABE" w:rsidP="005527AD">
      <w:pPr>
        <w:jc w:val="both"/>
        <w:rPr>
          <w:lang w:val="es-MX"/>
        </w:rPr>
      </w:pPr>
      <w:r>
        <w:rPr>
          <w:lang w:val="es-MX"/>
        </w:rPr>
        <w:t>Sabe que es un procedimiento quirúrgico prestado en Clínica Palmira y que posteriormente llegó con una condición diferente a la de la cirugía.</w:t>
      </w:r>
    </w:p>
    <w:p w14:paraId="4D50B2EA" w14:textId="712FC69F" w:rsidR="00C84C7B" w:rsidRDefault="00174861" w:rsidP="005527AD">
      <w:pPr>
        <w:jc w:val="both"/>
        <w:rPr>
          <w:lang w:val="es-MX"/>
        </w:rPr>
      </w:pPr>
      <w:r>
        <w:rPr>
          <w:lang w:val="es-MX"/>
        </w:rPr>
        <w:t>El Dr. Montaño prestó sus servicios mediante una oferta mercantil como médico especialista. Se le asigna unos días de atención</w:t>
      </w:r>
      <w:r w:rsidR="00D83C65">
        <w:rPr>
          <w:lang w:val="es-MX"/>
        </w:rPr>
        <w:t xml:space="preserve"> y debe atender por esa especialidad al paciente que llegue. Es decir la demandante llegó a la clínica y la atiende el médico que está de turno.</w:t>
      </w:r>
    </w:p>
    <w:p w14:paraId="0AAFD7E3" w14:textId="32CB2888" w:rsidR="00AA480C" w:rsidRDefault="0034685D" w:rsidP="005527AD">
      <w:pPr>
        <w:jc w:val="both"/>
        <w:rPr>
          <w:lang w:val="es-MX"/>
        </w:rPr>
      </w:pPr>
      <w:r>
        <w:rPr>
          <w:lang w:val="es-MX"/>
        </w:rPr>
        <w:t>La atención de la cirugía también se hace con el médico especialista que hizo la oferta mercantil y con personal de planta</w:t>
      </w:r>
      <w:r w:rsidR="00E304F3">
        <w:rPr>
          <w:lang w:val="es-MX"/>
        </w:rPr>
        <w:t xml:space="preserve">. </w:t>
      </w:r>
    </w:p>
    <w:p w14:paraId="6B2C18C3" w14:textId="02B53B4A" w:rsidR="00E304F3" w:rsidRPr="00CA0080" w:rsidRDefault="00E304F3" w:rsidP="005527AD">
      <w:pPr>
        <w:jc w:val="both"/>
        <w:rPr>
          <w:lang w:val="es-MX"/>
        </w:rPr>
      </w:pPr>
      <w:r>
        <w:rPr>
          <w:lang w:val="es-MX"/>
        </w:rPr>
        <w:t>No tiene certeza</w:t>
      </w:r>
      <w:r w:rsidR="006D05F4">
        <w:rPr>
          <w:lang w:val="es-MX"/>
        </w:rPr>
        <w:t xml:space="preserve"> de cuánto tiempo duró la oferta mercantil porque eso lo ve la dirección médica.</w:t>
      </w:r>
    </w:p>
    <w:p w14:paraId="6974B79E" w14:textId="333A22B9" w:rsidR="0028582E" w:rsidRDefault="0028582E" w:rsidP="005527AD">
      <w:pPr>
        <w:jc w:val="both"/>
        <w:rPr>
          <w:lang w:val="es-MX"/>
        </w:rPr>
      </w:pPr>
      <w:r>
        <w:rPr>
          <w:lang w:val="es-MX"/>
        </w:rPr>
        <w:t xml:space="preserve">Nota: </w:t>
      </w:r>
      <w:r w:rsidR="006D05F4">
        <w:rPr>
          <w:lang w:val="es-MX"/>
        </w:rPr>
        <w:t xml:space="preserve">a las 9:33 a.m. se conectó </w:t>
      </w:r>
      <w:r w:rsidR="005527AD">
        <w:rPr>
          <w:lang w:val="es-MX"/>
        </w:rPr>
        <w:t>John</w:t>
      </w:r>
      <w:r w:rsidR="006D05F4">
        <w:rPr>
          <w:lang w:val="es-MX"/>
        </w:rPr>
        <w:t xml:space="preserve"> Ortiz apoderado de los demandantes</w:t>
      </w:r>
      <w:r w:rsidR="00BA62EA">
        <w:rPr>
          <w:lang w:val="es-MX"/>
        </w:rPr>
        <w:t xml:space="preserve">. Dice que se ha vulnerado el derecho al debido proceso y de defensa porque no se le envió el expediente. </w:t>
      </w:r>
    </w:p>
    <w:p w14:paraId="258104FF" w14:textId="02F211A3" w:rsidR="00BA0357" w:rsidRDefault="00BA62EA" w:rsidP="005527AD">
      <w:pPr>
        <w:jc w:val="both"/>
        <w:rPr>
          <w:lang w:val="es-MX"/>
        </w:rPr>
      </w:pPr>
      <w:r>
        <w:rPr>
          <w:lang w:val="es-MX"/>
        </w:rPr>
        <w:t>La juez decide negativamente porque era una carga de la parte demandante estar pendiente de la notificación por estrados</w:t>
      </w:r>
      <w:r w:rsidR="005527AD">
        <w:rPr>
          <w:lang w:val="es-MX"/>
        </w:rPr>
        <w:t xml:space="preserve"> de la programación de la audiencia y podía acudir por diferentes medios al Despacho para obtener el expediente.</w:t>
      </w:r>
    </w:p>
    <w:p w14:paraId="18F9E4FE" w14:textId="32BD727F" w:rsidR="00BA62EA" w:rsidRDefault="00B768D3" w:rsidP="005527AD">
      <w:pPr>
        <w:jc w:val="both"/>
        <w:rPr>
          <w:lang w:val="es-MX"/>
        </w:rPr>
      </w:pPr>
      <w:r>
        <w:rPr>
          <w:lang w:val="es-MX"/>
        </w:rPr>
        <w:t>Se retoma etapa conciliatoria y la parte demandante pide $100.000.000.</w:t>
      </w:r>
      <w:r w:rsidR="00842A0B">
        <w:rPr>
          <w:lang w:val="es-MX"/>
        </w:rPr>
        <w:t xml:space="preserve"> </w:t>
      </w:r>
      <w:r w:rsidR="005527AD">
        <w:rPr>
          <w:lang w:val="es-MX"/>
        </w:rPr>
        <w:t>S</w:t>
      </w:r>
      <w:r w:rsidR="00842A0B">
        <w:rPr>
          <w:lang w:val="es-MX"/>
        </w:rPr>
        <w:t xml:space="preserve">e suspende grabación a las </w:t>
      </w:r>
      <w:r w:rsidR="005527AD">
        <w:rPr>
          <w:lang w:val="es-MX"/>
        </w:rPr>
        <w:t>9</w:t>
      </w:r>
      <w:r w:rsidR="00842A0B">
        <w:rPr>
          <w:lang w:val="es-MX"/>
        </w:rPr>
        <w:t>:48 a.m.</w:t>
      </w:r>
    </w:p>
    <w:p w14:paraId="1DC99417" w14:textId="695C6C93" w:rsidR="00B768D3" w:rsidRDefault="00DF7276" w:rsidP="005527AD">
      <w:pPr>
        <w:jc w:val="both"/>
        <w:rPr>
          <w:lang w:val="es-MX"/>
        </w:rPr>
      </w:pPr>
      <w:r>
        <w:rPr>
          <w:lang w:val="es-MX"/>
        </w:rPr>
        <w:t xml:space="preserve">La clínica pagaría lo acordado directamente a Chubb o, en su defecto conforme lo manifestado por la RL vía </w:t>
      </w:r>
      <w:r w:rsidR="005527AD">
        <w:rPr>
          <w:lang w:val="es-MX"/>
        </w:rPr>
        <w:t>telefónica</w:t>
      </w:r>
      <w:r>
        <w:rPr>
          <w:lang w:val="es-MX"/>
        </w:rPr>
        <w:t>, lo pagaría a los demandantes o a órdenes del juzgado</w:t>
      </w:r>
      <w:r w:rsidR="00382EE5">
        <w:rPr>
          <w:lang w:val="es-MX"/>
        </w:rPr>
        <w:t>.</w:t>
      </w:r>
    </w:p>
    <w:p w14:paraId="5AE761C9" w14:textId="1F31338B" w:rsidR="00382EE5" w:rsidRDefault="00382EE5" w:rsidP="005527AD">
      <w:pPr>
        <w:jc w:val="both"/>
        <w:rPr>
          <w:lang w:val="es-MX"/>
        </w:rPr>
      </w:pPr>
      <w:r>
        <w:rPr>
          <w:lang w:val="es-MX"/>
        </w:rPr>
        <w:lastRenderedPageBreak/>
        <w:t xml:space="preserve">Se estableció comunicación telefónica con el abogado del cirujano para ver si </w:t>
      </w:r>
      <w:r w:rsidR="005527AD">
        <w:rPr>
          <w:lang w:val="es-MX"/>
        </w:rPr>
        <w:t>ofrece suma</w:t>
      </w:r>
      <w:r>
        <w:rPr>
          <w:lang w:val="es-MX"/>
        </w:rPr>
        <w:t xml:space="preserve"> pero dice que el cirujano no </w:t>
      </w:r>
      <w:r w:rsidR="005527AD">
        <w:rPr>
          <w:lang w:val="es-MX"/>
        </w:rPr>
        <w:t>ofrecerá</w:t>
      </w:r>
      <w:r>
        <w:rPr>
          <w:lang w:val="es-MX"/>
        </w:rPr>
        <w:t xml:space="preserve"> nada.</w:t>
      </w:r>
    </w:p>
    <w:p w14:paraId="4F0288FF" w14:textId="77777777" w:rsidR="005527AD" w:rsidRDefault="00933B92" w:rsidP="005527AD">
      <w:pPr>
        <w:jc w:val="both"/>
        <w:rPr>
          <w:lang w:val="es-MX"/>
        </w:rPr>
      </w:pPr>
      <w:r>
        <w:rPr>
          <w:lang w:val="es-MX"/>
        </w:rPr>
        <w:t>La aseguradora inicialmente ofreció $70.000.000</w:t>
      </w:r>
      <w:r w:rsidR="003F59E4">
        <w:rPr>
          <w:lang w:val="es-MX"/>
        </w:rPr>
        <w:t xml:space="preserve"> y la demandante pidió $85.000.000. Ante esto, la aseguradora insistió en ese precio y clínica palmira insistió en que los $40.000.000 se pagarán a la aseguradora en 10 cuotas</w:t>
      </w:r>
      <w:r w:rsidR="00E76D02">
        <w:rPr>
          <w:lang w:val="es-MX"/>
        </w:rPr>
        <w:t xml:space="preserve">. </w:t>
      </w:r>
    </w:p>
    <w:p w14:paraId="4E27F0AC" w14:textId="6ABE4332" w:rsidR="00933B92" w:rsidRDefault="00E76D02" w:rsidP="005527AD">
      <w:pPr>
        <w:jc w:val="both"/>
        <w:rPr>
          <w:lang w:val="es-MX"/>
        </w:rPr>
      </w:pPr>
      <w:r>
        <w:rPr>
          <w:lang w:val="es-MX"/>
        </w:rPr>
        <w:t xml:space="preserve">Se suspenderá el proceso para ver si los demandantes aceptan los </w:t>
      </w:r>
      <w:r w:rsidR="005527AD">
        <w:rPr>
          <w:lang w:val="es-MX"/>
        </w:rPr>
        <w:t>$</w:t>
      </w:r>
      <w:r>
        <w:rPr>
          <w:lang w:val="es-MX"/>
        </w:rPr>
        <w:t>70</w:t>
      </w:r>
      <w:r w:rsidR="005527AD">
        <w:rPr>
          <w:lang w:val="es-MX"/>
        </w:rPr>
        <w:t>.000.000</w:t>
      </w:r>
      <w:r>
        <w:rPr>
          <w:lang w:val="es-MX"/>
        </w:rPr>
        <w:t xml:space="preserve"> y para ver si se puede reducir el número de cuotas a favor de la aseguradora.</w:t>
      </w:r>
    </w:p>
    <w:p w14:paraId="34C26029" w14:textId="190AE483" w:rsidR="0063107C" w:rsidRDefault="0063107C" w:rsidP="005527AD">
      <w:pPr>
        <w:jc w:val="both"/>
        <w:rPr>
          <w:lang w:val="es-MX"/>
        </w:rPr>
      </w:pPr>
      <w:r>
        <w:rPr>
          <w:lang w:val="es-MX"/>
        </w:rPr>
        <w:t>La aseguradora pide 6 cuotas en vez de 10.</w:t>
      </w:r>
    </w:p>
    <w:p w14:paraId="62786C30" w14:textId="77777777" w:rsidR="00C76EF0" w:rsidRDefault="00C76EF0" w:rsidP="005527AD">
      <w:pPr>
        <w:jc w:val="both"/>
        <w:rPr>
          <w:lang w:val="es-MX"/>
        </w:rPr>
      </w:pPr>
    </w:p>
    <w:p w14:paraId="3B57F1C7" w14:textId="7B2E5F0A" w:rsidR="00C76EF0" w:rsidRDefault="00C76EF0" w:rsidP="005527AD">
      <w:pPr>
        <w:jc w:val="both"/>
        <w:rPr>
          <w:lang w:val="es-MX"/>
        </w:rPr>
      </w:pPr>
      <w:r>
        <w:rPr>
          <w:lang w:val="es-MX"/>
        </w:rPr>
        <w:t>Se retoma grabación a las 10:43 a.m.</w:t>
      </w:r>
    </w:p>
    <w:p w14:paraId="08839F39" w14:textId="16C86D98" w:rsidR="005527AD" w:rsidRPr="005527AD" w:rsidRDefault="005527AD" w:rsidP="005527AD">
      <w:pPr>
        <w:jc w:val="both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Se manifiesta que estamos de acuerdo en la suspensión del proceso hasta el lunes 16 de diciembre a las 8:30 a.m. fecha en que se reanudará el proceso y la continuación de la audiencia.</w:t>
      </w:r>
    </w:p>
    <w:p w14:paraId="2F3C4CF3" w14:textId="1A92B056" w:rsidR="00C14088" w:rsidRPr="000C7A39" w:rsidRDefault="00DC1228" w:rsidP="005527AD">
      <w:pPr>
        <w:jc w:val="both"/>
        <w:rPr>
          <w:lang w:val="es-MX"/>
        </w:rPr>
      </w:pPr>
      <w:r>
        <w:rPr>
          <w:lang w:val="es-MX"/>
        </w:rPr>
        <w:t>Termina a las 10:45 a.m.</w:t>
      </w:r>
    </w:p>
    <w:p w14:paraId="7C4F967E" w14:textId="77777777" w:rsidR="003F59E4" w:rsidRPr="003F59E4" w:rsidRDefault="003F59E4" w:rsidP="00890B43">
      <w:pPr>
        <w:jc w:val="both"/>
        <w:rPr>
          <w:lang w:val="es-MX"/>
        </w:rPr>
      </w:pPr>
    </w:p>
    <w:sectPr w:rsidR="003F59E4" w:rsidRPr="003F5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5945"/>
    <w:multiLevelType w:val="hybridMultilevel"/>
    <w:tmpl w:val="455A1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87526"/>
    <w:multiLevelType w:val="hybridMultilevel"/>
    <w:tmpl w:val="93E6737E"/>
    <w:lvl w:ilvl="0" w:tplc="0D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800017"/>
    <w:multiLevelType w:val="hybridMultilevel"/>
    <w:tmpl w:val="EDFA10B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396157">
    <w:abstractNumId w:val="1"/>
  </w:num>
  <w:num w:numId="2" w16cid:durableId="548802226">
    <w:abstractNumId w:val="0"/>
  </w:num>
  <w:num w:numId="3" w16cid:durableId="2082635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43"/>
    <w:rsid w:val="000C7A39"/>
    <w:rsid w:val="00152ABE"/>
    <w:rsid w:val="00174861"/>
    <w:rsid w:val="0028582E"/>
    <w:rsid w:val="00287F56"/>
    <w:rsid w:val="002E146A"/>
    <w:rsid w:val="0034685D"/>
    <w:rsid w:val="00382EE5"/>
    <w:rsid w:val="003F59E4"/>
    <w:rsid w:val="00421600"/>
    <w:rsid w:val="005527AD"/>
    <w:rsid w:val="0061135F"/>
    <w:rsid w:val="0063107C"/>
    <w:rsid w:val="006861B4"/>
    <w:rsid w:val="006D05F4"/>
    <w:rsid w:val="00842A0B"/>
    <w:rsid w:val="00890B43"/>
    <w:rsid w:val="00933B92"/>
    <w:rsid w:val="00A16A16"/>
    <w:rsid w:val="00AA480C"/>
    <w:rsid w:val="00B768D3"/>
    <w:rsid w:val="00B9041A"/>
    <w:rsid w:val="00BA0357"/>
    <w:rsid w:val="00BA62EA"/>
    <w:rsid w:val="00C14088"/>
    <w:rsid w:val="00C76EF0"/>
    <w:rsid w:val="00C84C7B"/>
    <w:rsid w:val="00CA0080"/>
    <w:rsid w:val="00D83C65"/>
    <w:rsid w:val="00DC1228"/>
    <w:rsid w:val="00DF7276"/>
    <w:rsid w:val="00E304F3"/>
    <w:rsid w:val="00E67360"/>
    <w:rsid w:val="00E76D02"/>
    <w:rsid w:val="00EB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2B30"/>
  <w15:chartTrackingRefBased/>
  <w15:docId w15:val="{40B587B1-63E3-4F56-A9BE-53AD5DB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8582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Lozano Villota</dc:creator>
  <cp:keywords/>
  <dc:description/>
  <cp:lastModifiedBy>Daniel Lozano Villota</cp:lastModifiedBy>
  <cp:revision>41</cp:revision>
  <dcterms:created xsi:type="dcterms:W3CDTF">2024-12-10T13:53:00Z</dcterms:created>
  <dcterms:modified xsi:type="dcterms:W3CDTF">2024-12-10T17:29:00Z</dcterms:modified>
</cp:coreProperties>
</file>