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127D9" w14:textId="4CF36D73" w:rsidR="008D765D" w:rsidRPr="008D765D" w:rsidRDefault="008D765D" w:rsidP="006F574A">
      <w:pPr>
        <w:shd w:val="clear" w:color="auto" w:fill="FFFFFF"/>
        <w:spacing w:beforeAutospacing="1" w:afterAutospacing="1"/>
        <w:jc w:val="both"/>
        <w:rPr>
          <w:rFonts w:ascii="Arial" w:eastAsia="Times New Roman" w:hAnsi="Arial" w:cs="Arial"/>
          <w:b/>
          <w:bCs/>
          <w:kern w:val="0"/>
          <w:sz w:val="22"/>
          <w:szCs w:val="22"/>
          <w:bdr w:val="none" w:sz="0" w:space="0" w:color="auto" w:frame="1"/>
          <w:lang w:val="es-419" w:eastAsia="es-MX"/>
          <w14:ligatures w14:val="none"/>
        </w:rPr>
      </w:pPr>
      <w:r w:rsidRPr="008D765D">
        <w:rPr>
          <w:rFonts w:ascii="Arial" w:eastAsia="Times New Roman" w:hAnsi="Arial" w:cs="Arial"/>
          <w:b/>
          <w:bCs/>
          <w:kern w:val="0"/>
          <w:sz w:val="22"/>
          <w:szCs w:val="22"/>
          <w:bdr w:val="none" w:sz="0" w:space="0" w:color="auto" w:frame="1"/>
          <w:lang w:val="es-419" w:eastAsia="es-MX"/>
          <w14:ligatures w14:val="none"/>
        </w:rPr>
        <w:t xml:space="preserve">Despacho: </w:t>
      </w:r>
      <w:r w:rsidRPr="008D765D">
        <w:rPr>
          <w:rFonts w:ascii="Arial" w:eastAsia="Times New Roman" w:hAnsi="Arial" w:cs="Arial"/>
          <w:kern w:val="0"/>
          <w:sz w:val="22"/>
          <w:szCs w:val="22"/>
          <w:bdr w:val="none" w:sz="0" w:space="0" w:color="auto" w:frame="1"/>
          <w:lang w:val="es-419" w:eastAsia="es-MX"/>
          <w14:ligatures w14:val="none"/>
        </w:rPr>
        <w:t>Juzgado Promiscuo del Circuito de Bolivar- Cauca</w:t>
      </w:r>
    </w:p>
    <w:p w14:paraId="46B75022" w14:textId="0627BB6B" w:rsidR="008D765D" w:rsidRPr="008D765D" w:rsidRDefault="008D765D" w:rsidP="006F574A">
      <w:pPr>
        <w:shd w:val="clear" w:color="auto" w:fill="FFFFFF"/>
        <w:spacing w:beforeAutospacing="1" w:afterAutospacing="1"/>
        <w:jc w:val="both"/>
        <w:rPr>
          <w:rFonts w:ascii="Arial" w:eastAsia="Times New Roman" w:hAnsi="Arial" w:cs="Arial"/>
          <w:b/>
          <w:bCs/>
          <w:kern w:val="0"/>
          <w:sz w:val="22"/>
          <w:szCs w:val="22"/>
          <w:bdr w:val="none" w:sz="0" w:space="0" w:color="auto" w:frame="1"/>
          <w:lang w:val="es-419" w:eastAsia="es-MX"/>
          <w14:ligatures w14:val="none"/>
        </w:rPr>
      </w:pPr>
      <w:r w:rsidRPr="008D765D">
        <w:rPr>
          <w:rFonts w:ascii="Arial" w:eastAsia="Times New Roman" w:hAnsi="Arial" w:cs="Arial"/>
          <w:b/>
          <w:bCs/>
          <w:kern w:val="0"/>
          <w:sz w:val="22"/>
          <w:szCs w:val="22"/>
          <w:bdr w:val="none" w:sz="0" w:space="0" w:color="auto" w:frame="1"/>
          <w:lang w:val="es-419" w:eastAsia="es-MX"/>
          <w14:ligatures w14:val="none"/>
        </w:rPr>
        <w:t xml:space="preserve">Rad: </w:t>
      </w:r>
      <w:r w:rsidRPr="008D765D">
        <w:rPr>
          <w:rFonts w:ascii="Arial" w:eastAsia="Times New Roman" w:hAnsi="Arial" w:cs="Arial"/>
          <w:kern w:val="0"/>
          <w:sz w:val="22"/>
          <w:szCs w:val="22"/>
          <w:bdr w:val="none" w:sz="0" w:space="0" w:color="auto" w:frame="1"/>
          <w:lang w:val="es-419" w:eastAsia="es-MX"/>
          <w14:ligatures w14:val="none"/>
        </w:rPr>
        <w:t>191003189001-2023-00079-00</w:t>
      </w:r>
    </w:p>
    <w:p w14:paraId="55C133E3" w14:textId="0589410C" w:rsidR="006F574A" w:rsidRPr="006F574A" w:rsidRDefault="006F574A" w:rsidP="006F574A">
      <w:pPr>
        <w:shd w:val="clear" w:color="auto" w:fill="FFFFFF"/>
        <w:spacing w:beforeAutospacing="1" w:afterAutospacing="1"/>
        <w:jc w:val="both"/>
        <w:rPr>
          <w:rFonts w:ascii="Arial" w:eastAsia="Times New Roman" w:hAnsi="Arial" w:cs="Arial"/>
          <w:kern w:val="0"/>
          <w:sz w:val="22"/>
          <w:szCs w:val="22"/>
          <w:lang w:val="es-CO" w:eastAsia="es-MX"/>
          <w14:ligatures w14:val="none"/>
        </w:rPr>
      </w:pPr>
      <w:r w:rsidRPr="006F574A">
        <w:rPr>
          <w:rFonts w:ascii="Arial" w:eastAsia="Times New Roman" w:hAnsi="Arial" w:cs="Arial"/>
          <w:b/>
          <w:bCs/>
          <w:kern w:val="0"/>
          <w:sz w:val="22"/>
          <w:szCs w:val="22"/>
          <w:bdr w:val="none" w:sz="0" w:space="0" w:color="auto" w:frame="1"/>
          <w:lang w:val="es-419" w:eastAsia="es-MX"/>
          <w14:ligatures w14:val="none"/>
        </w:rPr>
        <w:t>Demandantes:</w:t>
      </w:r>
      <w:r w:rsidRPr="006F574A">
        <w:rPr>
          <w:rFonts w:ascii="Arial" w:eastAsia="Times New Roman" w:hAnsi="Arial" w:cs="Arial"/>
          <w:kern w:val="0"/>
          <w:sz w:val="22"/>
          <w:szCs w:val="22"/>
          <w:bdr w:val="none" w:sz="0" w:space="0" w:color="auto" w:frame="1"/>
          <w:lang w:val="es-419" w:eastAsia="es-MX"/>
          <w14:ligatures w14:val="none"/>
        </w:rPr>
        <w:t> </w:t>
      </w:r>
    </w:p>
    <w:p w14:paraId="6FF07885" w14:textId="77777777" w:rsidR="006F574A" w:rsidRPr="006F574A" w:rsidRDefault="006F574A" w:rsidP="006F574A">
      <w:pPr>
        <w:numPr>
          <w:ilvl w:val="0"/>
          <w:numId w:val="16"/>
        </w:numPr>
        <w:shd w:val="clear" w:color="auto" w:fill="FFFFFF"/>
        <w:jc w:val="both"/>
        <w:rPr>
          <w:rFonts w:ascii="Arial" w:eastAsia="Times New Roman" w:hAnsi="Arial" w:cs="Arial"/>
          <w:kern w:val="0"/>
          <w:sz w:val="22"/>
          <w:szCs w:val="22"/>
          <w:lang w:val="es-CO" w:eastAsia="es-MX"/>
          <w14:ligatures w14:val="none"/>
        </w:rPr>
      </w:pPr>
      <w:r w:rsidRPr="006F574A">
        <w:rPr>
          <w:rFonts w:ascii="Arial" w:eastAsia="Times New Roman" w:hAnsi="Arial" w:cs="Arial"/>
          <w:kern w:val="0"/>
          <w:sz w:val="22"/>
          <w:szCs w:val="22"/>
          <w:bdr w:val="none" w:sz="0" w:space="0" w:color="auto" w:frame="1"/>
          <w:lang w:val="es-419" w:eastAsia="es-MX"/>
          <w14:ligatures w14:val="none"/>
        </w:rPr>
        <w:t>Mariela Ruiz (cónyuge) </w:t>
      </w:r>
    </w:p>
    <w:p w14:paraId="774C81CC" w14:textId="77777777" w:rsidR="006F574A" w:rsidRPr="006F574A" w:rsidRDefault="006F574A" w:rsidP="006F574A">
      <w:pPr>
        <w:numPr>
          <w:ilvl w:val="0"/>
          <w:numId w:val="16"/>
        </w:numPr>
        <w:shd w:val="clear" w:color="auto" w:fill="FFFFFF"/>
        <w:jc w:val="both"/>
        <w:rPr>
          <w:rFonts w:ascii="Arial" w:eastAsia="Times New Roman" w:hAnsi="Arial" w:cs="Arial"/>
          <w:kern w:val="0"/>
          <w:sz w:val="22"/>
          <w:szCs w:val="22"/>
          <w:lang w:val="es-CO" w:eastAsia="es-MX"/>
          <w14:ligatures w14:val="none"/>
        </w:rPr>
      </w:pPr>
      <w:r w:rsidRPr="006F574A">
        <w:rPr>
          <w:rFonts w:ascii="Arial" w:eastAsia="Times New Roman" w:hAnsi="Arial" w:cs="Arial"/>
          <w:kern w:val="0"/>
          <w:sz w:val="22"/>
          <w:szCs w:val="22"/>
          <w:bdr w:val="none" w:sz="0" w:space="0" w:color="auto" w:frame="1"/>
          <w:lang w:val="es-419" w:eastAsia="es-MX"/>
          <w14:ligatures w14:val="none"/>
        </w:rPr>
        <w:t>Eiver Yamit Burbano Ruiz </w:t>
      </w:r>
    </w:p>
    <w:p w14:paraId="4D1C5623" w14:textId="77777777" w:rsidR="006F574A" w:rsidRPr="006F574A" w:rsidRDefault="006F574A" w:rsidP="006F574A">
      <w:pPr>
        <w:numPr>
          <w:ilvl w:val="0"/>
          <w:numId w:val="16"/>
        </w:numPr>
        <w:shd w:val="clear" w:color="auto" w:fill="FFFFFF"/>
        <w:jc w:val="both"/>
        <w:rPr>
          <w:rFonts w:ascii="Arial" w:eastAsia="Times New Roman" w:hAnsi="Arial" w:cs="Arial"/>
          <w:kern w:val="0"/>
          <w:sz w:val="22"/>
          <w:szCs w:val="22"/>
          <w:lang w:val="es-CO" w:eastAsia="es-MX"/>
          <w14:ligatures w14:val="none"/>
        </w:rPr>
      </w:pPr>
      <w:r w:rsidRPr="006F574A">
        <w:rPr>
          <w:rFonts w:ascii="Arial" w:eastAsia="Times New Roman" w:hAnsi="Arial" w:cs="Arial"/>
          <w:kern w:val="0"/>
          <w:sz w:val="22"/>
          <w:szCs w:val="22"/>
          <w:bdr w:val="none" w:sz="0" w:space="0" w:color="auto" w:frame="1"/>
          <w:lang w:val="es-419" w:eastAsia="es-MX"/>
          <w14:ligatures w14:val="none"/>
        </w:rPr>
        <w:t>Dannier Yohan Burbano Ruiz (hijo)  </w:t>
      </w:r>
    </w:p>
    <w:p w14:paraId="53214D43" w14:textId="77777777" w:rsidR="006F574A" w:rsidRPr="006F574A" w:rsidRDefault="006F574A" w:rsidP="006F574A">
      <w:pPr>
        <w:numPr>
          <w:ilvl w:val="0"/>
          <w:numId w:val="16"/>
        </w:numPr>
        <w:shd w:val="clear" w:color="auto" w:fill="FFFFFF"/>
        <w:jc w:val="both"/>
        <w:rPr>
          <w:rFonts w:ascii="Arial" w:eastAsia="Times New Roman" w:hAnsi="Arial" w:cs="Arial"/>
          <w:kern w:val="0"/>
          <w:sz w:val="22"/>
          <w:szCs w:val="22"/>
          <w:lang w:val="es-CO" w:eastAsia="es-MX"/>
          <w14:ligatures w14:val="none"/>
        </w:rPr>
      </w:pPr>
      <w:r w:rsidRPr="006F574A">
        <w:rPr>
          <w:rFonts w:ascii="Arial" w:eastAsia="Times New Roman" w:hAnsi="Arial" w:cs="Arial"/>
          <w:kern w:val="0"/>
          <w:sz w:val="22"/>
          <w:szCs w:val="22"/>
          <w:bdr w:val="none" w:sz="0" w:space="0" w:color="auto" w:frame="1"/>
          <w:lang w:val="es-419" w:eastAsia="es-MX"/>
          <w14:ligatures w14:val="none"/>
        </w:rPr>
        <w:t>Andy Yamith Burbano Buitrón (nieto) </w:t>
      </w:r>
    </w:p>
    <w:p w14:paraId="27BF0DED" w14:textId="38D095A8" w:rsidR="006F574A" w:rsidRPr="006F574A" w:rsidRDefault="006F574A" w:rsidP="006F574A">
      <w:pPr>
        <w:numPr>
          <w:ilvl w:val="0"/>
          <w:numId w:val="16"/>
        </w:numPr>
        <w:shd w:val="clear" w:color="auto" w:fill="FFFFFF"/>
        <w:jc w:val="both"/>
        <w:rPr>
          <w:rFonts w:ascii="Arial" w:eastAsia="Times New Roman" w:hAnsi="Arial" w:cs="Arial"/>
          <w:kern w:val="0"/>
          <w:sz w:val="22"/>
          <w:szCs w:val="22"/>
          <w:lang w:val="es-CO" w:eastAsia="es-MX"/>
          <w14:ligatures w14:val="none"/>
        </w:rPr>
      </w:pPr>
      <w:r w:rsidRPr="006F574A">
        <w:rPr>
          <w:rFonts w:ascii="Arial" w:eastAsia="Times New Roman" w:hAnsi="Arial" w:cs="Arial"/>
          <w:kern w:val="0"/>
          <w:sz w:val="22"/>
          <w:szCs w:val="22"/>
          <w:bdr w:val="none" w:sz="0" w:space="0" w:color="auto" w:frame="1"/>
          <w:lang w:val="es-419" w:eastAsia="es-MX"/>
          <w14:ligatures w14:val="none"/>
        </w:rPr>
        <w:t>Gina Gisela Buitrón (nuera) </w:t>
      </w:r>
    </w:p>
    <w:p w14:paraId="6786033A" w14:textId="77777777" w:rsidR="006F574A" w:rsidRPr="006F574A" w:rsidRDefault="006F574A" w:rsidP="006F574A">
      <w:pPr>
        <w:shd w:val="clear" w:color="auto" w:fill="FFFFFF"/>
        <w:spacing w:beforeAutospacing="1" w:afterAutospacing="1"/>
        <w:jc w:val="both"/>
        <w:rPr>
          <w:rFonts w:ascii="Arial" w:eastAsia="Times New Roman" w:hAnsi="Arial" w:cs="Arial"/>
          <w:kern w:val="0"/>
          <w:sz w:val="22"/>
          <w:szCs w:val="22"/>
          <w:lang w:val="es-CO" w:eastAsia="es-MX"/>
          <w14:ligatures w14:val="none"/>
        </w:rPr>
      </w:pPr>
      <w:r w:rsidRPr="006F574A">
        <w:rPr>
          <w:rFonts w:ascii="Arial" w:eastAsia="Times New Roman" w:hAnsi="Arial" w:cs="Arial"/>
          <w:b/>
          <w:bCs/>
          <w:kern w:val="0"/>
          <w:sz w:val="22"/>
          <w:szCs w:val="22"/>
          <w:bdr w:val="none" w:sz="0" w:space="0" w:color="auto" w:frame="1"/>
          <w:shd w:val="clear" w:color="auto" w:fill="FFFFFF"/>
          <w:lang w:val="es-419" w:eastAsia="es-MX"/>
          <w14:ligatures w14:val="none"/>
        </w:rPr>
        <w:t>Demandados:</w:t>
      </w:r>
      <w:r w:rsidRPr="006F574A">
        <w:rPr>
          <w:rFonts w:ascii="Arial" w:eastAsia="Times New Roman" w:hAnsi="Arial" w:cs="Arial"/>
          <w:kern w:val="0"/>
          <w:sz w:val="22"/>
          <w:szCs w:val="22"/>
          <w:bdr w:val="none" w:sz="0" w:space="0" w:color="auto" w:frame="1"/>
          <w:lang w:val="es-419" w:eastAsia="es-MX"/>
          <w14:ligatures w14:val="none"/>
        </w:rPr>
        <w:t> </w:t>
      </w:r>
    </w:p>
    <w:p w14:paraId="1B36C8E0" w14:textId="77777777" w:rsidR="006F574A" w:rsidRPr="006F574A" w:rsidRDefault="006F574A" w:rsidP="006F574A">
      <w:pPr>
        <w:numPr>
          <w:ilvl w:val="0"/>
          <w:numId w:val="17"/>
        </w:numPr>
        <w:shd w:val="clear" w:color="auto" w:fill="FFFFFF"/>
        <w:jc w:val="both"/>
        <w:rPr>
          <w:rFonts w:ascii="Arial" w:eastAsia="Times New Roman" w:hAnsi="Arial" w:cs="Arial"/>
          <w:kern w:val="0"/>
          <w:sz w:val="22"/>
          <w:szCs w:val="22"/>
          <w:lang w:val="es-CO" w:eastAsia="es-MX"/>
          <w14:ligatures w14:val="none"/>
        </w:rPr>
      </w:pPr>
      <w:r w:rsidRPr="006F574A">
        <w:rPr>
          <w:rFonts w:ascii="Arial" w:eastAsia="Times New Roman" w:hAnsi="Arial" w:cs="Arial"/>
          <w:kern w:val="0"/>
          <w:sz w:val="22"/>
          <w:szCs w:val="22"/>
          <w:bdr w:val="none" w:sz="0" w:space="0" w:color="auto" w:frame="1"/>
          <w:shd w:val="clear" w:color="auto" w:fill="FFFFFF"/>
          <w:lang w:val="es-419" w:eastAsia="es-MX"/>
          <w14:ligatures w14:val="none"/>
        </w:rPr>
        <w:t>Montagas S.A. ESP</w:t>
      </w:r>
      <w:r w:rsidRPr="006F574A">
        <w:rPr>
          <w:rFonts w:ascii="Arial" w:eastAsia="Times New Roman" w:hAnsi="Arial" w:cs="Arial"/>
          <w:kern w:val="0"/>
          <w:sz w:val="22"/>
          <w:szCs w:val="22"/>
          <w:bdr w:val="none" w:sz="0" w:space="0" w:color="auto" w:frame="1"/>
          <w:lang w:val="es-419" w:eastAsia="es-MX"/>
          <w14:ligatures w14:val="none"/>
        </w:rPr>
        <w:t> </w:t>
      </w:r>
    </w:p>
    <w:p w14:paraId="1FC4F612" w14:textId="77777777" w:rsidR="006F574A" w:rsidRPr="006F574A" w:rsidRDefault="006F574A" w:rsidP="006F574A">
      <w:pPr>
        <w:numPr>
          <w:ilvl w:val="0"/>
          <w:numId w:val="17"/>
        </w:numPr>
        <w:shd w:val="clear" w:color="auto" w:fill="FFFFFF"/>
        <w:jc w:val="both"/>
        <w:rPr>
          <w:rFonts w:ascii="Arial" w:eastAsia="Times New Roman" w:hAnsi="Arial" w:cs="Arial"/>
          <w:kern w:val="0"/>
          <w:sz w:val="22"/>
          <w:szCs w:val="22"/>
          <w:lang w:val="es-CO" w:eastAsia="es-MX"/>
          <w14:ligatures w14:val="none"/>
        </w:rPr>
      </w:pPr>
      <w:r w:rsidRPr="006F574A">
        <w:rPr>
          <w:rFonts w:ascii="Arial" w:eastAsia="Times New Roman" w:hAnsi="Arial" w:cs="Arial"/>
          <w:kern w:val="0"/>
          <w:sz w:val="22"/>
          <w:szCs w:val="22"/>
          <w:bdr w:val="none" w:sz="0" w:space="0" w:color="auto" w:frame="1"/>
          <w:lang w:val="es-419" w:eastAsia="es-MX"/>
          <w14:ligatures w14:val="none"/>
        </w:rPr>
        <w:t>Hernán Bolaños Imbachi </w:t>
      </w:r>
    </w:p>
    <w:p w14:paraId="1ECA5698" w14:textId="61891EED" w:rsidR="006F574A" w:rsidRPr="006F574A" w:rsidRDefault="006F574A" w:rsidP="006F574A">
      <w:pPr>
        <w:numPr>
          <w:ilvl w:val="0"/>
          <w:numId w:val="17"/>
        </w:numPr>
        <w:shd w:val="clear" w:color="auto" w:fill="FFFFFF"/>
        <w:jc w:val="both"/>
        <w:rPr>
          <w:rFonts w:ascii="Arial" w:eastAsia="Times New Roman" w:hAnsi="Arial" w:cs="Arial"/>
          <w:kern w:val="0"/>
          <w:sz w:val="22"/>
          <w:szCs w:val="22"/>
          <w:lang w:val="es-CO" w:eastAsia="es-MX"/>
          <w14:ligatures w14:val="none"/>
        </w:rPr>
      </w:pPr>
      <w:r w:rsidRPr="006F574A">
        <w:rPr>
          <w:rFonts w:ascii="Arial" w:eastAsia="Times New Roman" w:hAnsi="Arial" w:cs="Arial"/>
          <w:kern w:val="0"/>
          <w:sz w:val="22"/>
          <w:szCs w:val="22"/>
          <w:bdr w:val="none" w:sz="0" w:space="0" w:color="auto" w:frame="1"/>
          <w:lang w:val="es-419" w:eastAsia="es-MX"/>
          <w14:ligatures w14:val="none"/>
        </w:rPr>
        <w:t>Chubb Seguros </w:t>
      </w:r>
    </w:p>
    <w:p w14:paraId="72ECDD0F" w14:textId="6FE41BDF" w:rsidR="006F574A" w:rsidRPr="006F574A" w:rsidRDefault="006F574A" w:rsidP="006F574A">
      <w:pPr>
        <w:shd w:val="clear" w:color="auto" w:fill="FFFFFF"/>
        <w:spacing w:beforeAutospacing="1" w:afterAutospacing="1"/>
        <w:jc w:val="both"/>
        <w:rPr>
          <w:rFonts w:ascii="Arial" w:eastAsia="Times New Roman" w:hAnsi="Arial" w:cs="Arial"/>
          <w:kern w:val="0"/>
          <w:sz w:val="22"/>
          <w:szCs w:val="22"/>
          <w:lang w:val="es-CO" w:eastAsia="es-MX"/>
          <w14:ligatures w14:val="none"/>
        </w:rPr>
      </w:pPr>
      <w:r w:rsidRPr="006F574A">
        <w:rPr>
          <w:rFonts w:ascii="Arial" w:eastAsia="Times New Roman" w:hAnsi="Arial" w:cs="Arial"/>
          <w:b/>
          <w:bCs/>
          <w:kern w:val="0"/>
          <w:sz w:val="22"/>
          <w:szCs w:val="22"/>
          <w:bdr w:val="none" w:sz="0" w:space="0" w:color="auto" w:frame="1"/>
          <w:shd w:val="clear" w:color="auto" w:fill="FFFFFF"/>
          <w:lang w:val="es-419" w:eastAsia="es-MX"/>
          <w14:ligatures w14:val="none"/>
        </w:rPr>
        <w:t>Tipo de vinculación de la compañía: </w:t>
      </w:r>
      <w:r w:rsidRPr="006F574A">
        <w:rPr>
          <w:rFonts w:ascii="Arial" w:eastAsia="Times New Roman" w:hAnsi="Arial" w:cs="Arial"/>
          <w:kern w:val="0"/>
          <w:sz w:val="22"/>
          <w:szCs w:val="22"/>
          <w:bdr w:val="none" w:sz="0" w:space="0" w:color="auto" w:frame="1"/>
          <w:shd w:val="clear" w:color="auto" w:fill="FFFFFF"/>
          <w:lang w:val="es-419" w:eastAsia="es-MX"/>
          <w14:ligatures w14:val="none"/>
        </w:rPr>
        <w:t>Demandados directos</w:t>
      </w:r>
      <w:r w:rsidRPr="006F574A">
        <w:rPr>
          <w:rFonts w:ascii="Arial" w:eastAsia="Times New Roman" w:hAnsi="Arial" w:cs="Arial"/>
          <w:kern w:val="0"/>
          <w:sz w:val="22"/>
          <w:szCs w:val="22"/>
          <w:bdr w:val="none" w:sz="0" w:space="0" w:color="auto" w:frame="1"/>
          <w:lang w:val="es-419" w:eastAsia="es-MX"/>
          <w14:ligatures w14:val="none"/>
        </w:rPr>
        <w:t> </w:t>
      </w:r>
    </w:p>
    <w:p w14:paraId="2EB99C9C" w14:textId="62076E5D" w:rsidR="006F574A" w:rsidRPr="008D765D" w:rsidRDefault="006F574A" w:rsidP="006F574A">
      <w:pPr>
        <w:shd w:val="clear" w:color="auto" w:fill="FFFFFF"/>
        <w:spacing w:beforeAutospacing="1" w:afterAutospacing="1"/>
        <w:jc w:val="both"/>
        <w:rPr>
          <w:rFonts w:ascii="Arial" w:eastAsia="Times New Roman" w:hAnsi="Arial" w:cs="Arial"/>
          <w:kern w:val="0"/>
          <w:sz w:val="22"/>
          <w:szCs w:val="22"/>
          <w:bdr w:val="none" w:sz="0" w:space="0" w:color="auto" w:frame="1"/>
          <w:lang w:val="es-419" w:eastAsia="es-MX"/>
          <w14:ligatures w14:val="none"/>
        </w:rPr>
      </w:pPr>
      <w:r w:rsidRPr="006F574A">
        <w:rPr>
          <w:rFonts w:ascii="Arial" w:eastAsia="Times New Roman" w:hAnsi="Arial" w:cs="Arial"/>
          <w:b/>
          <w:bCs/>
          <w:kern w:val="0"/>
          <w:sz w:val="22"/>
          <w:szCs w:val="22"/>
          <w:bdr w:val="none" w:sz="0" w:space="0" w:color="auto" w:frame="1"/>
          <w:shd w:val="clear" w:color="auto" w:fill="FFFFFF"/>
          <w:lang w:val="es-419" w:eastAsia="es-MX"/>
          <w14:ligatures w14:val="none"/>
        </w:rPr>
        <w:t>Fecha de la audiencia de conciliación 21 de julio 2022</w:t>
      </w:r>
      <w:r w:rsidRPr="006F574A">
        <w:rPr>
          <w:rFonts w:ascii="Arial" w:eastAsia="Times New Roman" w:hAnsi="Arial" w:cs="Arial"/>
          <w:kern w:val="0"/>
          <w:sz w:val="22"/>
          <w:szCs w:val="22"/>
          <w:bdr w:val="none" w:sz="0" w:space="0" w:color="auto" w:frame="1"/>
          <w:shd w:val="clear" w:color="auto" w:fill="FFFFFF"/>
          <w:lang w:val="es-419" w:eastAsia="es-MX"/>
          <w14:ligatures w14:val="none"/>
        </w:rPr>
        <w:t> (Chubb no compareció)</w:t>
      </w:r>
      <w:r w:rsidRPr="006F574A">
        <w:rPr>
          <w:rFonts w:ascii="Arial" w:eastAsia="Times New Roman" w:hAnsi="Arial" w:cs="Arial"/>
          <w:kern w:val="0"/>
          <w:sz w:val="22"/>
          <w:szCs w:val="22"/>
          <w:bdr w:val="none" w:sz="0" w:space="0" w:color="auto" w:frame="1"/>
          <w:lang w:val="es-419" w:eastAsia="es-MX"/>
          <w14:ligatures w14:val="none"/>
        </w:rPr>
        <w:t> </w:t>
      </w:r>
    </w:p>
    <w:p w14:paraId="24A13B1C" w14:textId="36B04E40" w:rsidR="006F574A" w:rsidRPr="006F574A" w:rsidRDefault="006F574A" w:rsidP="006F574A">
      <w:pPr>
        <w:shd w:val="clear" w:color="auto" w:fill="FFFFFF"/>
        <w:spacing w:beforeAutospacing="1" w:afterAutospacing="1"/>
        <w:jc w:val="both"/>
        <w:rPr>
          <w:rFonts w:ascii="Arial" w:eastAsia="Times New Roman" w:hAnsi="Arial" w:cs="Arial"/>
          <w:kern w:val="0"/>
          <w:sz w:val="22"/>
          <w:szCs w:val="22"/>
          <w:lang w:val="es-CO" w:eastAsia="es-MX"/>
          <w14:ligatures w14:val="none"/>
        </w:rPr>
      </w:pPr>
      <w:r w:rsidRPr="008D765D">
        <w:rPr>
          <w:rFonts w:ascii="Arial" w:eastAsia="Times New Roman" w:hAnsi="Arial" w:cs="Arial"/>
          <w:b/>
          <w:bCs/>
          <w:kern w:val="0"/>
          <w:sz w:val="22"/>
          <w:szCs w:val="22"/>
          <w:bdr w:val="none" w:sz="0" w:space="0" w:color="auto" w:frame="1"/>
          <w:lang w:val="es-419" w:eastAsia="es-MX"/>
          <w14:ligatures w14:val="none"/>
        </w:rPr>
        <w:t xml:space="preserve">Fecha de notificación: </w:t>
      </w:r>
      <w:r w:rsidRPr="008D765D">
        <w:rPr>
          <w:rFonts w:ascii="Arial" w:eastAsia="Times New Roman" w:hAnsi="Arial" w:cs="Arial"/>
          <w:kern w:val="0"/>
          <w:sz w:val="22"/>
          <w:szCs w:val="22"/>
          <w:bdr w:val="none" w:sz="0" w:space="0" w:color="auto" w:frame="1"/>
          <w:lang w:val="es-419" w:eastAsia="es-MX"/>
          <w14:ligatures w14:val="none"/>
        </w:rPr>
        <w:t>Se considera como fecha de notificacion el día 18 de diciembre 2023, momento en el cual el juzgado compartió acceso al expediente.</w:t>
      </w:r>
    </w:p>
    <w:p w14:paraId="21B9D6B4" w14:textId="77777777" w:rsidR="006F574A" w:rsidRPr="006F574A" w:rsidRDefault="006F574A" w:rsidP="006F574A">
      <w:pPr>
        <w:shd w:val="clear" w:color="auto" w:fill="FFFFFF"/>
        <w:spacing w:beforeAutospacing="1" w:afterAutospacing="1"/>
        <w:jc w:val="both"/>
        <w:rPr>
          <w:rFonts w:ascii="Arial" w:eastAsia="Times New Roman" w:hAnsi="Arial" w:cs="Arial"/>
          <w:kern w:val="0"/>
          <w:sz w:val="22"/>
          <w:szCs w:val="22"/>
          <w:lang w:val="es-CO" w:eastAsia="es-MX"/>
          <w14:ligatures w14:val="none"/>
        </w:rPr>
      </w:pPr>
      <w:r w:rsidRPr="006F574A">
        <w:rPr>
          <w:rFonts w:ascii="Arial" w:eastAsia="Times New Roman" w:hAnsi="Arial" w:cs="Arial"/>
          <w:b/>
          <w:bCs/>
          <w:kern w:val="0"/>
          <w:sz w:val="22"/>
          <w:szCs w:val="22"/>
          <w:bdr w:val="none" w:sz="0" w:space="0" w:color="auto" w:frame="1"/>
          <w:lang w:val="es-419" w:eastAsia="es-MX"/>
          <w14:ligatures w14:val="none"/>
        </w:rPr>
        <w:t>Hechos</w:t>
      </w:r>
      <w:r w:rsidRPr="006F574A">
        <w:rPr>
          <w:rFonts w:ascii="Arial" w:eastAsia="Times New Roman" w:hAnsi="Arial" w:cs="Arial"/>
          <w:kern w:val="0"/>
          <w:sz w:val="22"/>
          <w:szCs w:val="22"/>
          <w:bdr w:val="none" w:sz="0" w:space="0" w:color="auto" w:frame="1"/>
          <w:lang w:val="es-419" w:eastAsia="es-MX"/>
          <w14:ligatures w14:val="none"/>
        </w:rPr>
        <w:t> </w:t>
      </w:r>
    </w:p>
    <w:p w14:paraId="36ACF9CD" w14:textId="2F705C2B" w:rsidR="006F574A" w:rsidRPr="006F574A" w:rsidRDefault="006F574A" w:rsidP="006F574A">
      <w:pPr>
        <w:numPr>
          <w:ilvl w:val="0"/>
          <w:numId w:val="18"/>
        </w:numPr>
        <w:shd w:val="clear" w:color="auto" w:fill="FFFFFF"/>
        <w:jc w:val="both"/>
        <w:rPr>
          <w:rFonts w:ascii="Arial" w:eastAsia="Times New Roman" w:hAnsi="Arial" w:cs="Arial"/>
          <w:kern w:val="0"/>
          <w:sz w:val="22"/>
          <w:szCs w:val="22"/>
          <w:lang w:val="es-CO" w:eastAsia="es-MX"/>
          <w14:ligatures w14:val="none"/>
        </w:rPr>
      </w:pPr>
      <w:r w:rsidRPr="006F574A">
        <w:rPr>
          <w:rFonts w:ascii="Arial" w:eastAsia="Times New Roman" w:hAnsi="Arial" w:cs="Arial"/>
          <w:kern w:val="0"/>
          <w:sz w:val="22"/>
          <w:szCs w:val="22"/>
          <w:bdr w:val="none" w:sz="0" w:space="0" w:color="auto" w:frame="1"/>
          <w:lang w:val="es-419" w:eastAsia="es-MX"/>
          <w14:ligatures w14:val="none"/>
        </w:rPr>
        <w:t>El 7 de septiembre del 2019, ocurrió una explosión de un cilindro de gas, que fue instalado por el señor </w:t>
      </w:r>
      <w:r w:rsidRPr="006F574A">
        <w:rPr>
          <w:rFonts w:ascii="Arial" w:eastAsia="Times New Roman" w:hAnsi="Arial" w:cs="Arial"/>
          <w:kern w:val="0"/>
          <w:sz w:val="22"/>
          <w:szCs w:val="22"/>
          <w:bdr w:val="none" w:sz="0" w:space="0" w:color="auto" w:frame="1"/>
          <w:shd w:val="clear" w:color="auto" w:fill="FFFFFF"/>
          <w:lang w:val="es-419" w:eastAsia="es-MX"/>
          <w14:ligatures w14:val="none"/>
        </w:rPr>
        <w:t>Hernán Bolaños Imbachi trabajador de Montagas, </w:t>
      </w:r>
      <w:r w:rsidRPr="006F574A">
        <w:rPr>
          <w:rFonts w:ascii="Arial" w:eastAsia="Times New Roman" w:hAnsi="Arial" w:cs="Arial"/>
          <w:kern w:val="0"/>
          <w:sz w:val="22"/>
          <w:szCs w:val="22"/>
          <w:bdr w:val="none" w:sz="0" w:space="0" w:color="auto" w:frame="1"/>
          <w:lang w:val="es-419" w:eastAsia="es-MX"/>
          <w14:ligatures w14:val="none"/>
        </w:rPr>
        <w:t>en el establecimiento comercial Asadero Marbu, ubicado en el centro del municipio de Bolívar Cauca.  </w:t>
      </w:r>
    </w:p>
    <w:p w14:paraId="582C7187" w14:textId="07CF908A" w:rsidR="006F574A" w:rsidRPr="006F574A" w:rsidRDefault="006F574A" w:rsidP="006F574A">
      <w:pPr>
        <w:numPr>
          <w:ilvl w:val="0"/>
          <w:numId w:val="19"/>
        </w:numPr>
        <w:shd w:val="clear" w:color="auto" w:fill="FFFFFF"/>
        <w:jc w:val="both"/>
        <w:rPr>
          <w:rFonts w:ascii="Arial" w:eastAsia="Times New Roman" w:hAnsi="Arial" w:cs="Arial"/>
          <w:kern w:val="0"/>
          <w:sz w:val="22"/>
          <w:szCs w:val="22"/>
          <w:lang w:val="es-CO" w:eastAsia="es-MX"/>
          <w14:ligatures w14:val="none"/>
        </w:rPr>
      </w:pPr>
      <w:r w:rsidRPr="006F574A">
        <w:rPr>
          <w:rFonts w:ascii="Arial" w:eastAsia="Times New Roman" w:hAnsi="Arial" w:cs="Arial"/>
          <w:kern w:val="0"/>
          <w:sz w:val="22"/>
          <w:szCs w:val="22"/>
          <w:bdr w:val="none" w:sz="0" w:space="0" w:color="auto" w:frame="1"/>
          <w:lang w:val="es-419" w:eastAsia="es-MX"/>
          <w14:ligatures w14:val="none"/>
        </w:rPr>
        <w:t>Como consecuencia de la explosión, el señor Gersain Burbano Bolaños quien era trabajador del asadero Marbu tuvo graves quemaduras en su cuerpo, lo que ocasionó su fallecimiento el 30 de septiembre de 2019. </w:t>
      </w:r>
    </w:p>
    <w:p w14:paraId="3CD23ADB" w14:textId="3BFAE7AB" w:rsidR="006F574A" w:rsidRPr="006F574A" w:rsidRDefault="006F574A" w:rsidP="006F574A">
      <w:pPr>
        <w:shd w:val="clear" w:color="auto" w:fill="FFFFFF"/>
        <w:spacing w:beforeAutospacing="1" w:afterAutospacing="1"/>
        <w:jc w:val="both"/>
        <w:rPr>
          <w:rFonts w:ascii="Arial" w:eastAsia="Times New Roman" w:hAnsi="Arial" w:cs="Arial"/>
          <w:kern w:val="0"/>
          <w:sz w:val="22"/>
          <w:szCs w:val="22"/>
          <w:lang w:val="es-CO" w:eastAsia="es-MX"/>
          <w14:ligatures w14:val="none"/>
        </w:rPr>
      </w:pPr>
      <w:r w:rsidRPr="006F574A">
        <w:rPr>
          <w:rFonts w:ascii="Arial" w:eastAsia="Times New Roman" w:hAnsi="Arial" w:cs="Arial"/>
          <w:b/>
          <w:bCs/>
          <w:kern w:val="0"/>
          <w:sz w:val="22"/>
          <w:szCs w:val="22"/>
          <w:bdr w:val="none" w:sz="0" w:space="0" w:color="auto" w:frame="1"/>
          <w:lang w:val="es-419" w:eastAsia="es-MX"/>
          <w14:ligatures w14:val="none"/>
        </w:rPr>
        <w:t>Pretensiones</w:t>
      </w:r>
      <w:r w:rsidRPr="006F574A">
        <w:rPr>
          <w:rFonts w:ascii="Arial" w:eastAsia="Times New Roman" w:hAnsi="Arial" w:cs="Arial"/>
          <w:kern w:val="0"/>
          <w:sz w:val="22"/>
          <w:szCs w:val="22"/>
          <w:bdr w:val="none" w:sz="0" w:space="0" w:color="auto" w:frame="1"/>
          <w:lang w:val="es-419" w:eastAsia="es-MX"/>
          <w14:ligatures w14:val="none"/>
        </w:rPr>
        <w:t> </w:t>
      </w:r>
    </w:p>
    <w:p w14:paraId="6828AB1D" w14:textId="77777777" w:rsidR="006F574A" w:rsidRPr="006F574A" w:rsidRDefault="006F574A" w:rsidP="006F574A">
      <w:pPr>
        <w:numPr>
          <w:ilvl w:val="0"/>
          <w:numId w:val="20"/>
        </w:numPr>
        <w:shd w:val="clear" w:color="auto" w:fill="FFFFFF"/>
        <w:jc w:val="both"/>
        <w:rPr>
          <w:rFonts w:ascii="Arial" w:eastAsia="Times New Roman" w:hAnsi="Arial" w:cs="Arial"/>
          <w:kern w:val="0"/>
          <w:sz w:val="22"/>
          <w:szCs w:val="22"/>
          <w:lang w:val="es-CO" w:eastAsia="es-MX"/>
          <w14:ligatures w14:val="none"/>
        </w:rPr>
      </w:pPr>
      <w:r w:rsidRPr="006F574A">
        <w:rPr>
          <w:rFonts w:ascii="Arial" w:eastAsia="Times New Roman" w:hAnsi="Arial" w:cs="Arial"/>
          <w:kern w:val="0"/>
          <w:sz w:val="22"/>
          <w:szCs w:val="22"/>
          <w:bdr w:val="none" w:sz="0" w:space="0" w:color="auto" w:frame="1"/>
          <w:lang w:val="es-419" w:eastAsia="es-MX"/>
          <w14:ligatures w14:val="none"/>
        </w:rPr>
        <w:t>Se declare la responsabilidad civil extracontractual de los demandados </w:t>
      </w:r>
    </w:p>
    <w:p w14:paraId="63A2A2A3" w14:textId="1A9CE832" w:rsidR="006F574A" w:rsidRPr="006F574A" w:rsidRDefault="006F574A" w:rsidP="006F574A">
      <w:pPr>
        <w:numPr>
          <w:ilvl w:val="0"/>
          <w:numId w:val="20"/>
        </w:numPr>
        <w:shd w:val="clear" w:color="auto" w:fill="FFFFFF"/>
        <w:jc w:val="both"/>
        <w:rPr>
          <w:rFonts w:ascii="Arial" w:eastAsia="Times New Roman" w:hAnsi="Arial" w:cs="Arial"/>
          <w:kern w:val="0"/>
          <w:sz w:val="22"/>
          <w:szCs w:val="22"/>
          <w:lang w:val="es-CO" w:eastAsia="es-MX"/>
          <w14:ligatures w14:val="none"/>
        </w:rPr>
      </w:pPr>
      <w:r w:rsidRPr="006F574A">
        <w:rPr>
          <w:rFonts w:ascii="Arial" w:eastAsia="Times New Roman" w:hAnsi="Arial" w:cs="Arial"/>
          <w:kern w:val="0"/>
          <w:sz w:val="22"/>
          <w:szCs w:val="22"/>
          <w:bdr w:val="none" w:sz="0" w:space="0" w:color="auto" w:frame="1"/>
          <w:lang w:val="es-419" w:eastAsia="es-MX"/>
          <w14:ligatures w14:val="none"/>
        </w:rPr>
        <w:t>Se pague los perjuicios ocasionados a los demandantes: </w:t>
      </w:r>
    </w:p>
    <w:p w14:paraId="71462D31" w14:textId="169BCA7E" w:rsidR="006F574A" w:rsidRPr="008D765D" w:rsidRDefault="006F574A" w:rsidP="006F574A">
      <w:pPr>
        <w:pStyle w:val="Prrafodelista"/>
        <w:numPr>
          <w:ilvl w:val="0"/>
          <w:numId w:val="21"/>
        </w:numPr>
        <w:shd w:val="clear" w:color="auto" w:fill="FFFFFF"/>
        <w:spacing w:beforeAutospacing="1" w:afterAutospacing="1"/>
        <w:rPr>
          <w:rFonts w:eastAsia="Times New Roman" w:cs="Arial"/>
          <w:szCs w:val="22"/>
          <w:lang w:val="es-CO" w:eastAsia="es-MX"/>
        </w:rPr>
      </w:pPr>
      <w:r w:rsidRPr="008D765D">
        <w:rPr>
          <w:rFonts w:eastAsia="Times New Roman" w:cs="Arial"/>
          <w:szCs w:val="22"/>
          <w:bdr w:val="none" w:sz="0" w:space="0" w:color="auto" w:frame="1"/>
          <w:lang w:val="es-419" w:eastAsia="es-MX"/>
        </w:rPr>
        <w:t>Lucro cesante $142.436.400  </w:t>
      </w:r>
    </w:p>
    <w:p w14:paraId="2C4092CF" w14:textId="77777777" w:rsidR="006F574A" w:rsidRPr="008D765D" w:rsidRDefault="006F574A" w:rsidP="006F574A">
      <w:pPr>
        <w:pStyle w:val="Prrafodelista"/>
        <w:numPr>
          <w:ilvl w:val="0"/>
          <w:numId w:val="21"/>
        </w:numPr>
        <w:shd w:val="clear" w:color="auto" w:fill="FFFFFF"/>
        <w:spacing w:beforeAutospacing="1" w:afterAutospacing="1"/>
        <w:rPr>
          <w:rFonts w:eastAsia="Times New Roman" w:cs="Arial"/>
          <w:szCs w:val="22"/>
          <w:lang w:val="es-CO" w:eastAsia="es-MX"/>
        </w:rPr>
      </w:pPr>
      <w:r w:rsidRPr="008D765D">
        <w:rPr>
          <w:rFonts w:eastAsia="Times New Roman" w:cs="Arial"/>
          <w:szCs w:val="22"/>
          <w:bdr w:val="none" w:sz="0" w:space="0" w:color="auto" w:frame="1"/>
          <w:lang w:val="es-419" w:eastAsia="es-MX"/>
        </w:rPr>
        <w:t>Daño emergente: $1.500.00 por gastos de transporte y gastos fúnebres </w:t>
      </w:r>
    </w:p>
    <w:p w14:paraId="444CD927" w14:textId="77777777" w:rsidR="006F574A" w:rsidRPr="008D765D" w:rsidRDefault="006F574A" w:rsidP="006F574A">
      <w:pPr>
        <w:pStyle w:val="Prrafodelista"/>
        <w:numPr>
          <w:ilvl w:val="0"/>
          <w:numId w:val="21"/>
        </w:numPr>
        <w:shd w:val="clear" w:color="auto" w:fill="FFFFFF"/>
        <w:spacing w:beforeAutospacing="1" w:afterAutospacing="1"/>
        <w:rPr>
          <w:rFonts w:eastAsia="Times New Roman" w:cs="Arial"/>
          <w:szCs w:val="22"/>
          <w:lang w:val="es-CO" w:eastAsia="es-MX"/>
        </w:rPr>
      </w:pPr>
      <w:r w:rsidRPr="008D765D">
        <w:rPr>
          <w:rFonts w:eastAsia="Times New Roman" w:cs="Arial"/>
          <w:szCs w:val="22"/>
          <w:bdr w:val="none" w:sz="0" w:space="0" w:color="auto" w:frame="1"/>
          <w:lang w:val="es-419" w:eastAsia="es-MX"/>
        </w:rPr>
        <w:t>Daño moral: $423.400.000 </w:t>
      </w:r>
    </w:p>
    <w:p w14:paraId="533391B9" w14:textId="77777777" w:rsidR="006F574A" w:rsidRPr="008D765D" w:rsidRDefault="006F574A" w:rsidP="006F574A">
      <w:pPr>
        <w:pStyle w:val="Prrafodelista"/>
        <w:numPr>
          <w:ilvl w:val="0"/>
          <w:numId w:val="21"/>
        </w:numPr>
        <w:shd w:val="clear" w:color="auto" w:fill="FFFFFF"/>
        <w:spacing w:beforeAutospacing="1" w:afterAutospacing="1"/>
        <w:rPr>
          <w:rFonts w:eastAsia="Times New Roman" w:cs="Arial"/>
          <w:szCs w:val="22"/>
          <w:lang w:val="es-CO" w:eastAsia="es-MX"/>
        </w:rPr>
      </w:pPr>
      <w:r w:rsidRPr="008D765D">
        <w:rPr>
          <w:rFonts w:eastAsia="Times New Roman" w:cs="Arial"/>
          <w:szCs w:val="22"/>
          <w:bdr w:val="none" w:sz="0" w:space="0" w:color="auto" w:frame="1"/>
          <w:lang w:val="es-419" w:eastAsia="es-MX"/>
        </w:rPr>
        <w:t>Daño a la vida de relación: $87.000.000 </w:t>
      </w:r>
    </w:p>
    <w:p w14:paraId="7C6A36E7" w14:textId="77777777" w:rsidR="006F574A" w:rsidRPr="006F574A" w:rsidRDefault="006F574A" w:rsidP="006F574A">
      <w:pPr>
        <w:shd w:val="clear" w:color="auto" w:fill="FFFFFF"/>
        <w:spacing w:beforeAutospacing="1" w:afterAutospacing="1"/>
        <w:jc w:val="both"/>
        <w:rPr>
          <w:rFonts w:ascii="Arial" w:eastAsia="Times New Roman" w:hAnsi="Arial" w:cs="Arial"/>
          <w:kern w:val="0"/>
          <w:sz w:val="22"/>
          <w:szCs w:val="22"/>
          <w:lang w:val="es-CO" w:eastAsia="es-MX"/>
          <w14:ligatures w14:val="none"/>
        </w:rPr>
      </w:pPr>
      <w:r w:rsidRPr="006F574A">
        <w:rPr>
          <w:rFonts w:ascii="Arial" w:eastAsia="Times New Roman" w:hAnsi="Arial" w:cs="Arial"/>
          <w:kern w:val="0"/>
          <w:sz w:val="22"/>
          <w:szCs w:val="22"/>
          <w:bdr w:val="none" w:sz="0" w:space="0" w:color="auto" w:frame="1"/>
          <w:lang w:val="es-419" w:eastAsia="es-MX"/>
          <w14:ligatures w14:val="none"/>
        </w:rPr>
        <w:t>TOTAL: $654.336.400 </w:t>
      </w:r>
    </w:p>
    <w:p w14:paraId="59ABACC2" w14:textId="35E83977" w:rsidR="006F574A" w:rsidRPr="008D765D" w:rsidRDefault="008D765D" w:rsidP="004538D3">
      <w:pPr>
        <w:jc w:val="both"/>
        <w:rPr>
          <w:rFonts w:ascii="Arial" w:hAnsi="Arial" w:cs="Arial"/>
          <w:spacing w:val="2"/>
          <w:sz w:val="22"/>
          <w:szCs w:val="22"/>
          <w:shd w:val="clear" w:color="auto" w:fill="FFFFFF"/>
        </w:rPr>
      </w:pPr>
      <w:r w:rsidRPr="008D765D">
        <w:rPr>
          <w:rFonts w:ascii="Arial" w:hAnsi="Arial" w:cs="Arial"/>
          <w:spacing w:val="2"/>
          <w:sz w:val="22"/>
          <w:szCs w:val="22"/>
          <w:shd w:val="clear" w:color="auto" w:fill="FFFFFF"/>
        </w:rPr>
        <w:t xml:space="preserve">CALIFICACIÓN DE CONTINGENCIA </w:t>
      </w:r>
    </w:p>
    <w:p w14:paraId="4BFE21B9" w14:textId="77777777" w:rsidR="008D765D" w:rsidRPr="008D765D" w:rsidRDefault="008D765D" w:rsidP="004538D3">
      <w:pPr>
        <w:jc w:val="both"/>
        <w:rPr>
          <w:rFonts w:ascii="Arial" w:hAnsi="Arial" w:cs="Arial"/>
          <w:spacing w:val="2"/>
          <w:sz w:val="22"/>
          <w:szCs w:val="22"/>
          <w:shd w:val="clear" w:color="auto" w:fill="FFFFFF"/>
        </w:rPr>
      </w:pPr>
    </w:p>
    <w:p w14:paraId="3C799FA5" w14:textId="7E81C6E6" w:rsidR="00E87825" w:rsidRPr="008D765D" w:rsidRDefault="00E87825" w:rsidP="004538D3">
      <w:pPr>
        <w:jc w:val="both"/>
        <w:rPr>
          <w:rFonts w:ascii="Arial" w:hAnsi="Arial" w:cs="Arial"/>
          <w:spacing w:val="2"/>
          <w:sz w:val="22"/>
          <w:szCs w:val="22"/>
          <w:shd w:val="clear" w:color="auto" w:fill="FFFFFF"/>
        </w:rPr>
      </w:pPr>
      <w:r w:rsidRPr="008D765D">
        <w:rPr>
          <w:rFonts w:ascii="Arial" w:hAnsi="Arial" w:cs="Arial"/>
          <w:spacing w:val="2"/>
          <w:sz w:val="22"/>
          <w:szCs w:val="22"/>
          <w:shd w:val="clear" w:color="auto" w:fill="FFFFFF"/>
        </w:rPr>
        <w:t xml:space="preserve">La contingencia se califica como PROBABLE teniendo en cuenta que la póliza presta cobertura y no existe prueba para desvirtuar la presunción de culpa que se deriva del ejercicio de las actividades peligrosas como la </w:t>
      </w:r>
      <w:r w:rsidR="00FC1E31">
        <w:rPr>
          <w:rFonts w:ascii="Arial" w:hAnsi="Arial" w:cs="Arial"/>
          <w:spacing w:val="2"/>
          <w:sz w:val="22"/>
          <w:szCs w:val="22"/>
          <w:shd w:val="clear" w:color="auto" w:fill="FFFFFF"/>
        </w:rPr>
        <w:t>distribución</w:t>
      </w:r>
      <w:r w:rsidRPr="008D765D">
        <w:rPr>
          <w:rFonts w:ascii="Arial" w:hAnsi="Arial" w:cs="Arial"/>
          <w:spacing w:val="2"/>
          <w:sz w:val="22"/>
          <w:szCs w:val="22"/>
          <w:shd w:val="clear" w:color="auto" w:fill="FFFFFF"/>
        </w:rPr>
        <w:t xml:space="preserve"> de gas.</w:t>
      </w:r>
    </w:p>
    <w:p w14:paraId="72CEC4F6" w14:textId="77777777" w:rsidR="00E87825" w:rsidRPr="008D765D" w:rsidRDefault="00E87825" w:rsidP="004538D3">
      <w:pPr>
        <w:jc w:val="both"/>
        <w:rPr>
          <w:rFonts w:ascii="Arial" w:hAnsi="Arial" w:cs="Arial"/>
          <w:spacing w:val="2"/>
          <w:sz w:val="22"/>
          <w:szCs w:val="22"/>
          <w:shd w:val="clear" w:color="auto" w:fill="FFFFFF"/>
        </w:rPr>
      </w:pPr>
    </w:p>
    <w:p w14:paraId="155E698C" w14:textId="0F1FBACC" w:rsidR="00E87825" w:rsidRDefault="00E87825" w:rsidP="004538D3">
      <w:pPr>
        <w:jc w:val="both"/>
        <w:rPr>
          <w:rFonts w:ascii="Arial" w:hAnsi="Arial" w:cs="Arial"/>
          <w:spacing w:val="2"/>
          <w:sz w:val="22"/>
          <w:szCs w:val="22"/>
          <w:shd w:val="clear" w:color="auto" w:fill="FFFFFF"/>
        </w:rPr>
      </w:pPr>
      <w:r w:rsidRPr="008D765D">
        <w:rPr>
          <w:rFonts w:ascii="Arial" w:hAnsi="Arial" w:cs="Arial"/>
          <w:spacing w:val="2"/>
          <w:sz w:val="22"/>
          <w:szCs w:val="22"/>
          <w:shd w:val="clear" w:color="auto" w:fill="FFFFFF"/>
        </w:rPr>
        <w:lastRenderedPageBreak/>
        <w:t>Lo primero que debe decirse es que la póliza No. 41387 presta cobertura temporal y material</w:t>
      </w:r>
      <w:r w:rsidR="00FC1E31">
        <w:rPr>
          <w:rFonts w:ascii="Arial" w:hAnsi="Arial" w:cs="Arial"/>
          <w:spacing w:val="2"/>
          <w:sz w:val="22"/>
          <w:szCs w:val="22"/>
          <w:shd w:val="clear" w:color="auto" w:fill="FFFFFF"/>
        </w:rPr>
        <w:t>. E</w:t>
      </w:r>
      <w:r w:rsidRPr="008D765D">
        <w:rPr>
          <w:rFonts w:ascii="Arial" w:hAnsi="Arial" w:cs="Arial"/>
          <w:spacing w:val="2"/>
          <w:sz w:val="22"/>
          <w:szCs w:val="22"/>
          <w:shd w:val="clear" w:color="auto" w:fill="FFFFFF"/>
        </w:rPr>
        <w:t xml:space="preserve">n cuanto a la cobertura temporal, se precisa que la póliza se pactó bajo la modalidad de ocurrencia y el hecho base del litigio tuvo lugar el 24 de septiembre de 2019, es decir dentro de la vigencia del seguro que se extendió desde el 30 de agosto de 2019 al 30 de agosto de 2020. En cuanto a la cobertura material, el negocio </w:t>
      </w:r>
      <w:proofErr w:type="spellStart"/>
      <w:r w:rsidRPr="008D765D">
        <w:rPr>
          <w:rFonts w:ascii="Arial" w:hAnsi="Arial" w:cs="Arial"/>
          <w:spacing w:val="2"/>
          <w:sz w:val="22"/>
          <w:szCs w:val="22"/>
          <w:shd w:val="clear" w:color="auto" w:fill="FFFFFF"/>
        </w:rPr>
        <w:t>aseguraticio</w:t>
      </w:r>
      <w:proofErr w:type="spellEnd"/>
      <w:r w:rsidRPr="008D765D">
        <w:rPr>
          <w:rFonts w:ascii="Arial" w:hAnsi="Arial" w:cs="Arial"/>
          <w:spacing w:val="2"/>
          <w:sz w:val="22"/>
          <w:szCs w:val="22"/>
          <w:shd w:val="clear" w:color="auto" w:fill="FFFFFF"/>
        </w:rPr>
        <w:t xml:space="preserve"> cubre la responsabilidad civil extracontractual en que incurra el asegurado, por </w:t>
      </w:r>
      <w:r w:rsidR="0087729C" w:rsidRPr="008D765D">
        <w:rPr>
          <w:rFonts w:ascii="Arial" w:hAnsi="Arial" w:cs="Arial"/>
          <w:spacing w:val="2"/>
          <w:sz w:val="22"/>
          <w:szCs w:val="22"/>
          <w:shd w:val="clear" w:color="auto" w:fill="FFFFFF"/>
        </w:rPr>
        <w:t>ende,</w:t>
      </w:r>
      <w:r w:rsidRPr="008D765D">
        <w:rPr>
          <w:rFonts w:ascii="Arial" w:hAnsi="Arial" w:cs="Arial"/>
          <w:spacing w:val="2"/>
          <w:sz w:val="22"/>
          <w:szCs w:val="22"/>
          <w:shd w:val="clear" w:color="auto" w:fill="FFFFFF"/>
        </w:rPr>
        <w:t xml:space="preserve"> dentro del amparo de predios labores y operaciones la póliza presta cobertura. </w:t>
      </w:r>
    </w:p>
    <w:p w14:paraId="4F4DE43F" w14:textId="7A3A314E" w:rsidR="00480136" w:rsidRDefault="00480136" w:rsidP="004538D3">
      <w:pPr>
        <w:jc w:val="both"/>
        <w:rPr>
          <w:rFonts w:ascii="Arial" w:hAnsi="Arial" w:cs="Arial"/>
          <w:spacing w:val="2"/>
          <w:sz w:val="22"/>
          <w:szCs w:val="22"/>
          <w:shd w:val="clear" w:color="auto" w:fill="FFFFFF"/>
        </w:rPr>
      </w:pPr>
    </w:p>
    <w:p w14:paraId="2582772C" w14:textId="187E918D" w:rsidR="00480136" w:rsidRPr="00480136" w:rsidRDefault="00480136" w:rsidP="00480136">
      <w:pPr>
        <w:jc w:val="both"/>
        <w:rPr>
          <w:rFonts w:ascii="Arial" w:hAnsi="Arial" w:cs="Arial"/>
          <w:color w:val="252525"/>
          <w:sz w:val="22"/>
          <w:szCs w:val="22"/>
          <w:shd w:val="clear" w:color="auto" w:fill="FFFFFF"/>
        </w:rPr>
      </w:pPr>
      <w:r w:rsidRPr="00480136">
        <w:rPr>
          <w:rFonts w:ascii="Arial" w:hAnsi="Arial" w:cs="Arial"/>
          <w:spacing w:val="2"/>
          <w:sz w:val="22"/>
          <w:szCs w:val="22"/>
          <w:shd w:val="clear" w:color="auto" w:fill="FFFFFF"/>
        </w:rPr>
        <w:t xml:space="preserve">Respecto de la cobertura material, debe indicarse </w:t>
      </w:r>
      <w:r>
        <w:rPr>
          <w:rFonts w:ascii="Arial" w:hAnsi="Arial" w:cs="Arial"/>
          <w:spacing w:val="2"/>
          <w:sz w:val="22"/>
          <w:szCs w:val="22"/>
          <w:shd w:val="clear" w:color="auto" w:fill="FFFFFF"/>
        </w:rPr>
        <w:t xml:space="preserve">primariamente </w:t>
      </w:r>
      <w:bookmarkStart w:id="0" w:name="_GoBack"/>
      <w:bookmarkEnd w:id="0"/>
      <w:r w:rsidRPr="00480136">
        <w:rPr>
          <w:rFonts w:ascii="Arial" w:hAnsi="Arial" w:cs="Arial"/>
          <w:spacing w:val="2"/>
          <w:sz w:val="22"/>
          <w:szCs w:val="22"/>
          <w:shd w:val="clear" w:color="auto" w:fill="FFFFFF"/>
        </w:rPr>
        <w:t xml:space="preserve">que si bien se alegó la excepción de ausencia de cobertura por configuración de </w:t>
      </w:r>
      <w:r w:rsidRPr="00480136">
        <w:rPr>
          <w:rFonts w:ascii="Arial" w:hAnsi="Arial" w:cs="Arial"/>
          <w:color w:val="000000"/>
          <w:sz w:val="22"/>
          <w:szCs w:val="22"/>
          <w:bdr w:val="none" w:sz="0" w:space="0" w:color="auto" w:frame="1"/>
          <w:shd w:val="clear" w:color="auto" w:fill="FFFFFF"/>
        </w:rPr>
        <w:t>la causal de exclusión: </w:t>
      </w:r>
      <w:r w:rsidRPr="00480136">
        <w:rPr>
          <w:rFonts w:ascii="Arial" w:hAnsi="Arial" w:cs="Arial"/>
          <w:i/>
          <w:iCs/>
          <w:color w:val="000000"/>
          <w:sz w:val="22"/>
          <w:szCs w:val="22"/>
          <w:bdr w:val="none" w:sz="0" w:space="0" w:color="auto" w:frame="1"/>
          <w:shd w:val="clear" w:color="auto" w:fill="FFFFFF"/>
        </w:rPr>
        <w:t>"RC Profesional. Se aclara que se encuentran excluidos los perjuicios derivados de la ocurrencia de error profesional en la instalación de los cilindros de gas</w:t>
      </w:r>
      <w:r w:rsidRPr="00480136">
        <w:rPr>
          <w:rFonts w:ascii="Arial" w:hAnsi="Arial" w:cs="Arial"/>
          <w:i/>
          <w:iCs/>
          <w:color w:val="000000"/>
          <w:sz w:val="22"/>
          <w:szCs w:val="22"/>
          <w:bdr w:val="none" w:sz="0" w:space="0" w:color="auto" w:frame="1"/>
          <w:shd w:val="clear" w:color="auto" w:fill="FFFFFF"/>
        </w:rPr>
        <w:t xml:space="preserve"> distribuidos por el asegurado”, </w:t>
      </w:r>
      <w:r w:rsidRPr="00480136">
        <w:rPr>
          <w:rFonts w:ascii="Arial" w:hAnsi="Arial" w:cs="Arial"/>
          <w:iCs/>
          <w:color w:val="000000"/>
          <w:sz w:val="22"/>
          <w:szCs w:val="22"/>
          <w:bdr w:val="none" w:sz="0" w:space="0" w:color="auto" w:frame="1"/>
          <w:shd w:val="clear" w:color="auto" w:fill="FFFFFF"/>
        </w:rPr>
        <w:t xml:space="preserve">esta causal no tendrá vocación de prosperar, toda vez que, no se encuentra </w:t>
      </w:r>
      <w:r w:rsidRPr="00480136">
        <w:rPr>
          <w:rStyle w:val="nfasis"/>
          <w:rFonts w:ascii="Arial" w:hAnsi="Arial" w:cs="Arial"/>
          <w:i w:val="0"/>
          <w:color w:val="252525"/>
          <w:sz w:val="22"/>
          <w:szCs w:val="22"/>
          <w:shd w:val="clear" w:color="auto" w:fill="FFFFFF"/>
        </w:rPr>
        <w:t>consignada</w:t>
      </w:r>
      <w:r w:rsidRPr="00480136">
        <w:rPr>
          <w:rStyle w:val="nfasis"/>
          <w:rFonts w:ascii="Arial" w:hAnsi="Arial" w:cs="Arial"/>
          <w:i w:val="0"/>
          <w:color w:val="252525"/>
          <w:sz w:val="22"/>
          <w:szCs w:val="22"/>
          <w:shd w:val="clear" w:color="auto" w:fill="FFFFFF"/>
        </w:rPr>
        <w:t xml:space="preserve"> clara e ininterrumpida </w:t>
      </w:r>
      <w:r w:rsidRPr="00480136">
        <w:rPr>
          <w:rStyle w:val="Textoennegrita"/>
          <w:rFonts w:ascii="Arial" w:hAnsi="Arial" w:cs="Arial"/>
          <w:b w:val="0"/>
          <w:iCs/>
          <w:color w:val="252525"/>
          <w:sz w:val="22"/>
          <w:szCs w:val="22"/>
          <w:shd w:val="clear" w:color="auto" w:fill="FFFFFF"/>
        </w:rPr>
        <w:t>a partir</w:t>
      </w:r>
      <w:r w:rsidRPr="00480136">
        <w:rPr>
          <w:rStyle w:val="nfasis"/>
          <w:rFonts w:ascii="Arial" w:hAnsi="Arial" w:cs="Arial"/>
          <w:color w:val="252525"/>
          <w:sz w:val="22"/>
          <w:szCs w:val="22"/>
          <w:shd w:val="clear" w:color="auto" w:fill="FFFFFF"/>
        </w:rPr>
        <w:t> </w:t>
      </w:r>
      <w:r w:rsidRPr="00480136">
        <w:rPr>
          <w:rStyle w:val="nfasis"/>
          <w:rFonts w:ascii="Arial" w:hAnsi="Arial" w:cs="Arial"/>
          <w:i w:val="0"/>
          <w:color w:val="252525"/>
          <w:sz w:val="22"/>
          <w:szCs w:val="22"/>
          <w:shd w:val="clear" w:color="auto" w:fill="FFFFFF"/>
        </w:rPr>
        <w:t>de la primera página del condicionado de la póliza</w:t>
      </w:r>
      <w:r w:rsidRPr="00480136">
        <w:rPr>
          <w:rStyle w:val="nfasis"/>
          <w:rFonts w:ascii="Arial" w:hAnsi="Arial" w:cs="Arial"/>
          <w:color w:val="252525"/>
          <w:sz w:val="22"/>
          <w:szCs w:val="22"/>
          <w:shd w:val="clear" w:color="auto" w:fill="FFFFFF"/>
        </w:rPr>
        <w:t xml:space="preserve"> </w:t>
      </w:r>
      <w:r w:rsidRPr="00480136">
        <w:rPr>
          <w:rStyle w:val="nfasis"/>
          <w:rFonts w:ascii="Arial" w:hAnsi="Arial" w:cs="Arial"/>
          <w:i w:val="0"/>
          <w:color w:val="252525"/>
          <w:sz w:val="22"/>
          <w:szCs w:val="22"/>
          <w:shd w:val="clear" w:color="auto" w:fill="FFFFFF"/>
        </w:rPr>
        <w:t>en virtud de la teleología d</w:t>
      </w:r>
      <w:r w:rsidRPr="00480136">
        <w:rPr>
          <w:rFonts w:ascii="Arial" w:hAnsi="Arial" w:cs="Arial"/>
          <w:color w:val="252525"/>
          <w:sz w:val="22"/>
          <w:szCs w:val="22"/>
          <w:shd w:val="clear" w:color="auto" w:fill="FFFFFF"/>
        </w:rPr>
        <w:t>el artículo 184 del Estatuto Orgánico del Sistema Financiero </w:t>
      </w:r>
      <w:r w:rsidRPr="00480136">
        <w:rPr>
          <w:rFonts w:ascii="Arial" w:hAnsi="Arial" w:cs="Arial"/>
          <w:color w:val="252525"/>
          <w:sz w:val="22"/>
          <w:szCs w:val="22"/>
          <w:shd w:val="clear" w:color="auto" w:fill="FFFFFF"/>
        </w:rPr>
        <w:t xml:space="preserve">establecida en la sentencia de la Corte Suprema de Justicia SC2879 de 2022. </w:t>
      </w:r>
    </w:p>
    <w:p w14:paraId="1FF26641" w14:textId="77777777" w:rsidR="00E87825" w:rsidRPr="008D765D" w:rsidRDefault="00E87825" w:rsidP="004538D3">
      <w:pPr>
        <w:jc w:val="both"/>
        <w:rPr>
          <w:rFonts w:ascii="Arial" w:hAnsi="Arial" w:cs="Arial"/>
          <w:spacing w:val="2"/>
          <w:sz w:val="22"/>
          <w:szCs w:val="22"/>
          <w:shd w:val="clear" w:color="auto" w:fill="FFFFFF"/>
        </w:rPr>
      </w:pPr>
    </w:p>
    <w:p w14:paraId="0B4A9148" w14:textId="7EC611A0" w:rsidR="00A545E8" w:rsidRPr="008D765D" w:rsidRDefault="00E87825" w:rsidP="004538D3">
      <w:pPr>
        <w:jc w:val="both"/>
        <w:rPr>
          <w:rFonts w:ascii="Arial" w:hAnsi="Arial" w:cs="Arial"/>
          <w:spacing w:val="2"/>
          <w:sz w:val="22"/>
          <w:szCs w:val="22"/>
          <w:shd w:val="clear" w:color="auto" w:fill="FFFFFF"/>
        </w:rPr>
      </w:pPr>
      <w:r w:rsidRPr="008D765D">
        <w:rPr>
          <w:rFonts w:ascii="Arial" w:hAnsi="Arial" w:cs="Arial"/>
          <w:spacing w:val="2"/>
          <w:sz w:val="22"/>
          <w:szCs w:val="22"/>
          <w:shd w:val="clear" w:color="auto" w:fill="FFFFFF"/>
        </w:rPr>
        <w:t xml:space="preserve">Ahora bien, en cuanto a la responsabilidad del asegurado y consecuente </w:t>
      </w:r>
      <w:r w:rsidR="0087729C" w:rsidRPr="008D765D">
        <w:rPr>
          <w:rFonts w:ascii="Arial" w:hAnsi="Arial" w:cs="Arial"/>
          <w:spacing w:val="2"/>
          <w:sz w:val="22"/>
          <w:szCs w:val="22"/>
          <w:shd w:val="clear" w:color="auto" w:fill="FFFFFF"/>
        </w:rPr>
        <w:t>obligación</w:t>
      </w:r>
      <w:r w:rsidRPr="008D765D">
        <w:rPr>
          <w:rFonts w:ascii="Arial" w:hAnsi="Arial" w:cs="Arial"/>
          <w:spacing w:val="2"/>
          <w:sz w:val="22"/>
          <w:szCs w:val="22"/>
          <w:shd w:val="clear" w:color="auto" w:fill="FFFFFF"/>
        </w:rPr>
        <w:t xml:space="preserve"> de la compañía aseguradora, se indica que </w:t>
      </w:r>
      <w:r w:rsidR="00FC1E31">
        <w:rPr>
          <w:rFonts w:ascii="Arial" w:hAnsi="Arial" w:cs="Arial"/>
          <w:spacing w:val="2"/>
          <w:sz w:val="22"/>
          <w:szCs w:val="22"/>
          <w:shd w:val="clear" w:color="auto" w:fill="FFFFFF"/>
        </w:rPr>
        <w:t xml:space="preserve">según el reporte de bomberos de </w:t>
      </w:r>
      <w:proofErr w:type="spellStart"/>
      <w:r w:rsidR="00FC1E31">
        <w:rPr>
          <w:rFonts w:ascii="Arial" w:hAnsi="Arial" w:cs="Arial"/>
          <w:spacing w:val="2"/>
          <w:sz w:val="22"/>
          <w:szCs w:val="22"/>
          <w:shd w:val="clear" w:color="auto" w:fill="FFFFFF"/>
        </w:rPr>
        <w:t>Bolivar</w:t>
      </w:r>
      <w:proofErr w:type="spellEnd"/>
      <w:r w:rsidR="00FC1E31">
        <w:rPr>
          <w:rFonts w:ascii="Arial" w:hAnsi="Arial" w:cs="Arial"/>
          <w:spacing w:val="2"/>
          <w:sz w:val="22"/>
          <w:szCs w:val="22"/>
          <w:shd w:val="clear" w:color="auto" w:fill="FFFFFF"/>
        </w:rPr>
        <w:t xml:space="preserve"> Cauca la explosión ocasionada en el establecimiento de comercio </w:t>
      </w:r>
      <w:proofErr w:type="spellStart"/>
      <w:r w:rsidR="00FC1E31">
        <w:rPr>
          <w:rFonts w:ascii="Arial" w:hAnsi="Arial" w:cs="Arial"/>
          <w:spacing w:val="2"/>
          <w:sz w:val="22"/>
          <w:szCs w:val="22"/>
          <w:shd w:val="clear" w:color="auto" w:fill="FFFFFF"/>
        </w:rPr>
        <w:t>Marbu</w:t>
      </w:r>
      <w:proofErr w:type="spellEnd"/>
      <w:r w:rsidR="00FC1E31">
        <w:rPr>
          <w:rFonts w:ascii="Arial" w:hAnsi="Arial" w:cs="Arial"/>
          <w:spacing w:val="2"/>
          <w:sz w:val="22"/>
          <w:szCs w:val="22"/>
          <w:shd w:val="clear" w:color="auto" w:fill="FFFFFF"/>
        </w:rPr>
        <w:t xml:space="preserve"> involucró un cilindro de gas de 45 kg de </w:t>
      </w:r>
      <w:proofErr w:type="spellStart"/>
      <w:r w:rsidR="00FC1E31">
        <w:rPr>
          <w:rFonts w:ascii="Arial" w:hAnsi="Arial" w:cs="Arial"/>
          <w:spacing w:val="2"/>
          <w:sz w:val="22"/>
          <w:szCs w:val="22"/>
          <w:shd w:val="clear" w:color="auto" w:fill="FFFFFF"/>
        </w:rPr>
        <w:t>Montagas</w:t>
      </w:r>
      <w:proofErr w:type="spellEnd"/>
      <w:r w:rsidR="00FC1E31">
        <w:rPr>
          <w:rFonts w:ascii="Arial" w:hAnsi="Arial" w:cs="Arial"/>
          <w:spacing w:val="2"/>
          <w:sz w:val="22"/>
          <w:szCs w:val="22"/>
          <w:shd w:val="clear" w:color="auto" w:fill="FFFFFF"/>
        </w:rPr>
        <w:t xml:space="preserve">, es decir existe relación de la asegurada en el hecho dañoso. Además, </w:t>
      </w:r>
      <w:r w:rsidRPr="008D765D">
        <w:rPr>
          <w:rFonts w:ascii="Arial" w:hAnsi="Arial" w:cs="Arial"/>
          <w:spacing w:val="2"/>
          <w:sz w:val="22"/>
          <w:szCs w:val="22"/>
          <w:shd w:val="clear" w:color="auto" w:fill="FFFFFF"/>
        </w:rPr>
        <w:t xml:space="preserve">teniendo en consideración que la Corte Suprema de Justicia ha establecido que el transporte, manipulación y distribución de </w:t>
      </w:r>
      <w:r w:rsidR="00E22006" w:rsidRPr="008D765D">
        <w:rPr>
          <w:rFonts w:ascii="Arial" w:hAnsi="Arial" w:cs="Arial"/>
          <w:spacing w:val="2"/>
          <w:sz w:val="22"/>
          <w:szCs w:val="22"/>
          <w:shd w:val="clear" w:color="auto" w:fill="FFFFFF"/>
        </w:rPr>
        <w:t>gas</w:t>
      </w:r>
      <w:r w:rsidRPr="008D765D">
        <w:rPr>
          <w:rFonts w:ascii="Arial" w:hAnsi="Arial" w:cs="Arial"/>
          <w:spacing w:val="2"/>
          <w:sz w:val="22"/>
          <w:szCs w:val="22"/>
          <w:shd w:val="clear" w:color="auto" w:fill="FFFFFF"/>
        </w:rPr>
        <w:t xml:space="preserve"> corresponde a una actividad peligrosa, de manera que la responsabilidad civil derivada de estas tareas </w:t>
      </w:r>
      <w:r w:rsidR="00FC1E31" w:rsidRPr="008D765D">
        <w:rPr>
          <w:rFonts w:ascii="Arial" w:hAnsi="Arial" w:cs="Arial"/>
          <w:spacing w:val="2"/>
          <w:sz w:val="22"/>
          <w:szCs w:val="22"/>
          <w:shd w:val="clear" w:color="auto" w:fill="FFFFFF"/>
        </w:rPr>
        <w:t>se enmarca en el</w:t>
      </w:r>
      <w:r w:rsidRPr="008D765D">
        <w:rPr>
          <w:rFonts w:ascii="Arial" w:hAnsi="Arial" w:cs="Arial"/>
          <w:spacing w:val="2"/>
          <w:sz w:val="22"/>
          <w:szCs w:val="22"/>
          <w:shd w:val="clear" w:color="auto" w:fill="FFFFFF"/>
        </w:rPr>
        <w:t xml:space="preserve"> régimen de presunción de culpa, del cual solo es posible exonerarse acreditando una causa extraña, pues no basta con acreditar diligencia. (</w:t>
      </w:r>
      <w:r w:rsidR="00E22006" w:rsidRPr="008D765D">
        <w:rPr>
          <w:rFonts w:ascii="Arial" w:hAnsi="Arial" w:cs="Arial"/>
          <w:spacing w:val="2"/>
          <w:sz w:val="22"/>
          <w:szCs w:val="22"/>
          <w:shd w:val="clear" w:color="auto" w:fill="FFFFFF"/>
        </w:rPr>
        <w:t xml:space="preserve">Cas Civ. 5177 del 14/03/2000 y sentencia sustitutiva del 17/08/2001, </w:t>
      </w:r>
      <w:proofErr w:type="spellStart"/>
      <w:r w:rsidR="00E22006" w:rsidRPr="008D765D">
        <w:rPr>
          <w:rFonts w:ascii="Arial" w:hAnsi="Arial" w:cs="Arial"/>
          <w:spacing w:val="2"/>
          <w:sz w:val="22"/>
          <w:szCs w:val="22"/>
          <w:shd w:val="clear" w:color="auto" w:fill="FFFFFF"/>
        </w:rPr>
        <w:t>exp</w:t>
      </w:r>
      <w:proofErr w:type="spellEnd"/>
      <w:r w:rsidR="00E22006" w:rsidRPr="008D765D">
        <w:rPr>
          <w:rFonts w:ascii="Arial" w:hAnsi="Arial" w:cs="Arial"/>
          <w:spacing w:val="2"/>
          <w:sz w:val="22"/>
          <w:szCs w:val="22"/>
          <w:shd w:val="clear" w:color="auto" w:fill="FFFFFF"/>
        </w:rPr>
        <w:t>. 19492</w:t>
      </w:r>
      <w:r w:rsidRPr="008D765D">
        <w:rPr>
          <w:rFonts w:ascii="Arial" w:hAnsi="Arial" w:cs="Arial"/>
          <w:spacing w:val="2"/>
          <w:sz w:val="22"/>
          <w:szCs w:val="22"/>
          <w:shd w:val="clear" w:color="auto" w:fill="FFFFFF"/>
        </w:rPr>
        <w:t>)</w:t>
      </w:r>
      <w:r w:rsidR="00E22006" w:rsidRPr="008D765D">
        <w:rPr>
          <w:rFonts w:ascii="Arial" w:hAnsi="Arial" w:cs="Arial"/>
          <w:spacing w:val="2"/>
          <w:sz w:val="22"/>
          <w:szCs w:val="22"/>
          <w:shd w:val="clear" w:color="auto" w:fill="FFFFFF"/>
        </w:rPr>
        <w:t xml:space="preserve">. </w:t>
      </w:r>
      <w:r w:rsidRPr="008D765D">
        <w:rPr>
          <w:rFonts w:ascii="Arial" w:hAnsi="Arial" w:cs="Arial"/>
          <w:spacing w:val="2"/>
          <w:sz w:val="22"/>
          <w:szCs w:val="22"/>
          <w:shd w:val="clear" w:color="auto" w:fill="FFFFFF"/>
        </w:rPr>
        <w:t xml:space="preserve">En el caso que nos ocupa, se encuentra probado que el día </w:t>
      </w:r>
      <w:r w:rsidR="0087729C" w:rsidRPr="008D765D">
        <w:rPr>
          <w:rFonts w:ascii="Arial" w:hAnsi="Arial" w:cs="Arial"/>
          <w:spacing w:val="2"/>
          <w:sz w:val="22"/>
          <w:szCs w:val="22"/>
          <w:shd w:val="clear" w:color="auto" w:fill="FFFFFF"/>
        </w:rPr>
        <w:t>24 de septiembre</w:t>
      </w:r>
      <w:r w:rsidRPr="008D765D">
        <w:rPr>
          <w:rFonts w:ascii="Arial" w:hAnsi="Arial" w:cs="Arial"/>
          <w:spacing w:val="2"/>
          <w:sz w:val="22"/>
          <w:szCs w:val="22"/>
          <w:shd w:val="clear" w:color="auto" w:fill="FFFFFF"/>
        </w:rPr>
        <w:t xml:space="preserve"> de 2019 se presentó una </w:t>
      </w:r>
      <w:r w:rsidR="0087729C" w:rsidRPr="008D765D">
        <w:rPr>
          <w:rFonts w:ascii="Arial" w:hAnsi="Arial" w:cs="Arial"/>
          <w:spacing w:val="2"/>
          <w:sz w:val="22"/>
          <w:szCs w:val="22"/>
          <w:shd w:val="clear" w:color="auto" w:fill="FFFFFF"/>
        </w:rPr>
        <w:t>explosión</w:t>
      </w:r>
      <w:r w:rsidRPr="008D765D">
        <w:rPr>
          <w:rFonts w:ascii="Arial" w:hAnsi="Arial" w:cs="Arial"/>
          <w:spacing w:val="2"/>
          <w:sz w:val="22"/>
          <w:szCs w:val="22"/>
          <w:shd w:val="clear" w:color="auto" w:fill="FFFFFF"/>
        </w:rPr>
        <w:t xml:space="preserve"> en </w:t>
      </w:r>
      <w:r w:rsidR="0087729C" w:rsidRPr="008D765D">
        <w:rPr>
          <w:rFonts w:ascii="Arial" w:hAnsi="Arial" w:cs="Arial"/>
          <w:spacing w:val="2"/>
          <w:sz w:val="22"/>
          <w:szCs w:val="22"/>
          <w:shd w:val="clear" w:color="auto" w:fill="FFFFFF"/>
        </w:rPr>
        <w:t xml:space="preserve">el establecimiento de comercio </w:t>
      </w:r>
      <w:proofErr w:type="spellStart"/>
      <w:r w:rsidR="0087729C" w:rsidRPr="008D765D">
        <w:rPr>
          <w:rFonts w:ascii="Arial" w:hAnsi="Arial" w:cs="Arial"/>
          <w:spacing w:val="2"/>
          <w:sz w:val="22"/>
          <w:szCs w:val="22"/>
          <w:shd w:val="clear" w:color="auto" w:fill="FFFFFF"/>
        </w:rPr>
        <w:t>Marbu</w:t>
      </w:r>
      <w:proofErr w:type="spellEnd"/>
      <w:r w:rsidR="0087729C" w:rsidRPr="008D765D">
        <w:rPr>
          <w:rFonts w:ascii="Arial" w:hAnsi="Arial" w:cs="Arial"/>
          <w:spacing w:val="2"/>
          <w:sz w:val="22"/>
          <w:szCs w:val="22"/>
          <w:shd w:val="clear" w:color="auto" w:fill="FFFFFF"/>
        </w:rPr>
        <w:t xml:space="preserve"> ubicado en el barrio centro del municipio de Bolívar-Cauca, d</w:t>
      </w:r>
      <w:r w:rsidRPr="008D765D">
        <w:rPr>
          <w:rFonts w:ascii="Arial" w:hAnsi="Arial" w:cs="Arial"/>
          <w:spacing w:val="2"/>
          <w:sz w:val="22"/>
          <w:szCs w:val="22"/>
          <w:shd w:val="clear" w:color="auto" w:fill="FFFFFF"/>
        </w:rPr>
        <w:t xml:space="preserve">e igual modo, se encuentra acreditado que el </w:t>
      </w:r>
      <w:r w:rsidR="0087729C" w:rsidRPr="008D765D">
        <w:rPr>
          <w:rFonts w:ascii="Arial" w:hAnsi="Arial" w:cs="Arial"/>
          <w:spacing w:val="2"/>
          <w:sz w:val="22"/>
          <w:szCs w:val="22"/>
          <w:shd w:val="clear" w:color="auto" w:fill="FFFFFF"/>
        </w:rPr>
        <w:t xml:space="preserve">señor </w:t>
      </w:r>
      <w:proofErr w:type="spellStart"/>
      <w:r w:rsidR="0087729C" w:rsidRPr="008D765D">
        <w:rPr>
          <w:rFonts w:ascii="Arial" w:hAnsi="Arial" w:cs="Arial"/>
          <w:spacing w:val="2"/>
          <w:sz w:val="22"/>
          <w:szCs w:val="22"/>
          <w:shd w:val="clear" w:color="auto" w:fill="FFFFFF"/>
        </w:rPr>
        <w:t>Gersain</w:t>
      </w:r>
      <w:proofErr w:type="spellEnd"/>
      <w:r w:rsidR="0087729C" w:rsidRPr="008D765D">
        <w:rPr>
          <w:rFonts w:ascii="Arial" w:hAnsi="Arial" w:cs="Arial"/>
          <w:spacing w:val="2"/>
          <w:sz w:val="22"/>
          <w:szCs w:val="22"/>
          <w:shd w:val="clear" w:color="auto" w:fill="FFFFFF"/>
        </w:rPr>
        <w:t xml:space="preserve"> Burbano resultó gravemente herido y posteriormente falleció debido a la gravedad de las quemaduras.</w:t>
      </w:r>
      <w:r w:rsidRPr="008D765D">
        <w:rPr>
          <w:rFonts w:ascii="Arial" w:hAnsi="Arial" w:cs="Arial"/>
          <w:spacing w:val="2"/>
          <w:sz w:val="22"/>
          <w:szCs w:val="22"/>
          <w:shd w:val="clear" w:color="auto" w:fill="FFFFFF"/>
        </w:rPr>
        <w:t xml:space="preserve"> Ahora bien, </w:t>
      </w:r>
      <w:r w:rsidR="0087729C" w:rsidRPr="008D765D">
        <w:rPr>
          <w:rFonts w:ascii="Arial" w:hAnsi="Arial" w:cs="Arial"/>
          <w:spacing w:val="2"/>
          <w:sz w:val="22"/>
          <w:szCs w:val="22"/>
          <w:shd w:val="clear" w:color="auto" w:fill="FFFFFF"/>
        </w:rPr>
        <w:t xml:space="preserve">toda vez que en la demanda se indica que la explosión se produjo cuando un funcionario de </w:t>
      </w:r>
      <w:proofErr w:type="spellStart"/>
      <w:r w:rsidR="0087729C" w:rsidRPr="008D765D">
        <w:rPr>
          <w:rFonts w:ascii="Arial" w:hAnsi="Arial" w:cs="Arial"/>
          <w:spacing w:val="2"/>
          <w:sz w:val="22"/>
          <w:szCs w:val="22"/>
          <w:shd w:val="clear" w:color="auto" w:fill="FFFFFF"/>
        </w:rPr>
        <w:t>Montagas</w:t>
      </w:r>
      <w:proofErr w:type="spellEnd"/>
      <w:r w:rsidR="0087729C" w:rsidRPr="008D765D">
        <w:rPr>
          <w:rFonts w:ascii="Arial" w:hAnsi="Arial" w:cs="Arial"/>
          <w:spacing w:val="2"/>
          <w:sz w:val="22"/>
          <w:szCs w:val="22"/>
          <w:shd w:val="clear" w:color="auto" w:fill="FFFFFF"/>
        </w:rPr>
        <w:t xml:space="preserve"> estaba realizando la instalación del cilindro, quien incluso tambien resulto herido, no existe al momento medio probatorio que permita romper el nexo de causalidad para enervar la responsabilidad a partir de la alegación del hecho de un tercero o el hecho de la víctima. Por lo tanto, sea por un defecto en el cilindro o por una mala instalación de este, lo cierto es que aquella actividad estaba bajo control de la asegurada </w:t>
      </w:r>
      <w:proofErr w:type="spellStart"/>
      <w:r w:rsidR="0087729C" w:rsidRPr="008D765D">
        <w:rPr>
          <w:rFonts w:ascii="Arial" w:hAnsi="Arial" w:cs="Arial"/>
          <w:spacing w:val="2"/>
          <w:sz w:val="22"/>
          <w:szCs w:val="22"/>
          <w:shd w:val="clear" w:color="auto" w:fill="FFFFFF"/>
        </w:rPr>
        <w:t>Montagas</w:t>
      </w:r>
      <w:proofErr w:type="spellEnd"/>
      <w:r w:rsidR="00FC1E31">
        <w:rPr>
          <w:rFonts w:ascii="Arial" w:hAnsi="Arial" w:cs="Arial"/>
          <w:spacing w:val="2"/>
          <w:sz w:val="22"/>
          <w:szCs w:val="22"/>
          <w:shd w:val="clear" w:color="auto" w:fill="FFFFFF"/>
        </w:rPr>
        <w:t xml:space="preserve"> y por ende los perjuicios ocasionados dan lugar a predicar</w:t>
      </w:r>
      <w:r w:rsidR="0087729C" w:rsidRPr="008D765D">
        <w:rPr>
          <w:rFonts w:ascii="Arial" w:hAnsi="Arial" w:cs="Arial"/>
          <w:spacing w:val="2"/>
          <w:sz w:val="22"/>
          <w:szCs w:val="22"/>
          <w:shd w:val="clear" w:color="auto" w:fill="FFFFFF"/>
        </w:rPr>
        <w:t xml:space="preserve"> la existencia de obligación indemnizatoria por parte de la compañía aseguradora. </w:t>
      </w:r>
    </w:p>
    <w:p w14:paraId="3232D473" w14:textId="77777777" w:rsidR="0087729C" w:rsidRPr="008D765D" w:rsidRDefault="0087729C">
      <w:pPr>
        <w:rPr>
          <w:rFonts w:ascii="Arial" w:hAnsi="Arial" w:cs="Arial"/>
          <w:spacing w:val="2"/>
          <w:sz w:val="22"/>
          <w:szCs w:val="22"/>
          <w:shd w:val="clear" w:color="auto" w:fill="FFFFFF"/>
        </w:rPr>
      </w:pPr>
    </w:p>
    <w:p w14:paraId="05C834AA" w14:textId="3CBDD006" w:rsidR="0087729C" w:rsidRPr="008D765D" w:rsidRDefault="0087729C">
      <w:pPr>
        <w:rPr>
          <w:rFonts w:ascii="Arial" w:hAnsi="Arial" w:cs="Arial"/>
          <w:spacing w:val="2"/>
          <w:sz w:val="22"/>
          <w:szCs w:val="22"/>
          <w:shd w:val="clear" w:color="auto" w:fill="FFFFFF"/>
        </w:rPr>
      </w:pPr>
      <w:r w:rsidRPr="008D765D">
        <w:rPr>
          <w:rFonts w:ascii="Arial" w:hAnsi="Arial" w:cs="Arial"/>
          <w:spacing w:val="2"/>
          <w:sz w:val="22"/>
          <w:szCs w:val="22"/>
          <w:shd w:val="clear" w:color="auto" w:fill="FFFFFF"/>
        </w:rPr>
        <w:t>Como liquidación objetiva de los perjuicios se llegó a la suma de</w:t>
      </w:r>
      <w:r w:rsidR="006F574A" w:rsidRPr="008D765D">
        <w:rPr>
          <w:rFonts w:ascii="Arial" w:hAnsi="Arial" w:cs="Arial"/>
          <w:sz w:val="22"/>
          <w:szCs w:val="22"/>
        </w:rPr>
        <w:t xml:space="preserve"> </w:t>
      </w:r>
      <w:r w:rsidR="008D765D" w:rsidRPr="008D765D">
        <w:rPr>
          <w:rFonts w:ascii="Arial" w:hAnsi="Arial" w:cs="Arial"/>
          <w:sz w:val="22"/>
          <w:szCs w:val="22"/>
        </w:rPr>
        <w:t>$428.601.857 de</w:t>
      </w:r>
      <w:r w:rsidR="006F574A" w:rsidRPr="008D765D">
        <w:rPr>
          <w:rFonts w:ascii="Arial" w:hAnsi="Arial" w:cs="Arial"/>
          <w:sz w:val="22"/>
          <w:szCs w:val="22"/>
        </w:rPr>
        <w:t xml:space="preserve"> conformidad con las siguientes precisiones:</w:t>
      </w:r>
    </w:p>
    <w:p w14:paraId="17AD2CDD" w14:textId="77777777" w:rsidR="0087729C" w:rsidRPr="008D765D" w:rsidRDefault="0087729C">
      <w:pPr>
        <w:rPr>
          <w:rFonts w:ascii="Arial" w:hAnsi="Arial" w:cs="Arial"/>
          <w:spacing w:val="2"/>
          <w:sz w:val="22"/>
          <w:szCs w:val="22"/>
          <w:shd w:val="clear" w:color="auto" w:fill="FFFFFF"/>
        </w:rPr>
      </w:pPr>
    </w:p>
    <w:p w14:paraId="2FA4AE2F" w14:textId="58D224EC" w:rsidR="00C3386E" w:rsidRPr="008D765D" w:rsidRDefault="00C3386E" w:rsidP="00C3386E">
      <w:pPr>
        <w:pStyle w:val="Prrafodelista"/>
        <w:numPr>
          <w:ilvl w:val="0"/>
          <w:numId w:val="14"/>
        </w:numPr>
        <w:rPr>
          <w:rFonts w:cs="Arial"/>
          <w:szCs w:val="22"/>
        </w:rPr>
      </w:pPr>
      <w:r w:rsidRPr="008D765D">
        <w:rPr>
          <w:rFonts w:cs="Arial"/>
          <w:szCs w:val="22"/>
        </w:rPr>
        <w:t>Lucro cesante: $207.724.286</w:t>
      </w:r>
    </w:p>
    <w:p w14:paraId="7C310B8A" w14:textId="77777777" w:rsidR="004538D3" w:rsidRPr="008D765D" w:rsidRDefault="004538D3" w:rsidP="004538D3">
      <w:pPr>
        <w:pStyle w:val="Prrafodelista"/>
        <w:rPr>
          <w:rFonts w:cs="Arial"/>
          <w:szCs w:val="22"/>
        </w:rPr>
      </w:pPr>
    </w:p>
    <w:p w14:paraId="198BEDFE" w14:textId="77777777" w:rsidR="00C3386E" w:rsidRPr="008D765D" w:rsidRDefault="00C3386E" w:rsidP="00C3386E">
      <w:pPr>
        <w:rPr>
          <w:rFonts w:ascii="Arial" w:hAnsi="Arial" w:cs="Arial"/>
          <w:sz w:val="22"/>
          <w:szCs w:val="22"/>
        </w:rPr>
      </w:pPr>
      <w:r w:rsidRPr="008D765D">
        <w:rPr>
          <w:rFonts w:ascii="Arial" w:hAnsi="Arial" w:cs="Arial"/>
          <w:sz w:val="22"/>
          <w:szCs w:val="22"/>
        </w:rPr>
        <w:t xml:space="preserve">Se reconocerá este valor a favor de la señora Mariela Ruiz en calidad de compañera permanente del señor </w:t>
      </w:r>
      <w:proofErr w:type="spellStart"/>
      <w:r w:rsidRPr="008D765D">
        <w:rPr>
          <w:rFonts w:ascii="Arial" w:hAnsi="Arial" w:cs="Arial"/>
          <w:sz w:val="22"/>
          <w:szCs w:val="22"/>
        </w:rPr>
        <w:t>Gersain</w:t>
      </w:r>
      <w:proofErr w:type="spellEnd"/>
      <w:r w:rsidRPr="008D765D">
        <w:rPr>
          <w:rFonts w:ascii="Arial" w:hAnsi="Arial" w:cs="Arial"/>
          <w:sz w:val="22"/>
          <w:szCs w:val="22"/>
        </w:rPr>
        <w:t xml:space="preserve"> Burbano. </w:t>
      </w:r>
    </w:p>
    <w:p w14:paraId="359DC846" w14:textId="77777777" w:rsidR="004A0F09" w:rsidRPr="008D765D" w:rsidRDefault="004A0F09" w:rsidP="004A0F09">
      <w:pPr>
        <w:rPr>
          <w:rFonts w:ascii="Arial" w:hAnsi="Arial" w:cs="Arial"/>
          <w:sz w:val="22"/>
          <w:szCs w:val="22"/>
        </w:rPr>
      </w:pPr>
    </w:p>
    <w:p w14:paraId="0B1AB118" w14:textId="61BBF458" w:rsidR="0087729C" w:rsidRPr="008D765D" w:rsidRDefault="004A0F09" w:rsidP="006F574A">
      <w:pPr>
        <w:jc w:val="both"/>
        <w:rPr>
          <w:rFonts w:ascii="Arial" w:hAnsi="Arial" w:cs="Arial"/>
          <w:sz w:val="22"/>
          <w:szCs w:val="22"/>
        </w:rPr>
      </w:pPr>
      <w:r w:rsidRPr="008D765D">
        <w:rPr>
          <w:rFonts w:ascii="Arial" w:hAnsi="Arial" w:cs="Arial"/>
          <w:sz w:val="22"/>
          <w:szCs w:val="22"/>
        </w:rPr>
        <w:t>Siguiendo los lineamientos de la sentencia SC20950-2017 con ponencia del doctor Ariel Salazar Ramírez (12 de diciembre de 2017), ante la ausencia de acreditación de los ingresos, para la tasación del lucro cesante debe acogerse el salario mínimo legal mensual vigente. En ese sentido, para aplicar la fórmula prevista por el alto tribunal se acogerá los siguientes factores</w:t>
      </w:r>
      <w:proofErr w:type="gramStart"/>
      <w:r w:rsidRPr="008D765D">
        <w:rPr>
          <w:rFonts w:ascii="Arial" w:hAnsi="Arial" w:cs="Arial"/>
          <w:sz w:val="22"/>
          <w:szCs w:val="22"/>
        </w:rPr>
        <w:t xml:space="preserve">:  </w:t>
      </w:r>
      <w:r w:rsidR="006F574A" w:rsidRPr="008D765D">
        <w:rPr>
          <w:rFonts w:ascii="Arial" w:hAnsi="Arial" w:cs="Arial"/>
          <w:sz w:val="22"/>
          <w:szCs w:val="22"/>
        </w:rPr>
        <w:t>(</w:t>
      </w:r>
      <w:proofErr w:type="gramEnd"/>
      <w:r w:rsidR="006F574A" w:rsidRPr="008D765D">
        <w:rPr>
          <w:rFonts w:ascii="Arial" w:hAnsi="Arial" w:cs="Arial"/>
          <w:sz w:val="22"/>
          <w:szCs w:val="22"/>
        </w:rPr>
        <w:t xml:space="preserve">i) </w:t>
      </w:r>
      <w:r w:rsidRPr="008D765D">
        <w:rPr>
          <w:rFonts w:ascii="Arial" w:hAnsi="Arial" w:cs="Arial"/>
          <w:sz w:val="22"/>
          <w:szCs w:val="22"/>
        </w:rPr>
        <w:t xml:space="preserve">dado que la </w:t>
      </w:r>
      <w:r w:rsidR="006F574A" w:rsidRPr="008D765D">
        <w:rPr>
          <w:rFonts w:ascii="Arial" w:hAnsi="Arial" w:cs="Arial"/>
          <w:sz w:val="22"/>
          <w:szCs w:val="22"/>
        </w:rPr>
        <w:t>compañera</w:t>
      </w:r>
      <w:r w:rsidRPr="008D765D">
        <w:rPr>
          <w:rFonts w:ascii="Arial" w:hAnsi="Arial" w:cs="Arial"/>
          <w:sz w:val="22"/>
          <w:szCs w:val="22"/>
        </w:rPr>
        <w:t xml:space="preserve"> </w:t>
      </w:r>
      <w:r w:rsidR="006F574A" w:rsidRPr="008D765D">
        <w:rPr>
          <w:rFonts w:ascii="Arial" w:hAnsi="Arial" w:cs="Arial"/>
          <w:sz w:val="22"/>
          <w:szCs w:val="22"/>
        </w:rPr>
        <w:t>permanente</w:t>
      </w:r>
      <w:r w:rsidRPr="008D765D">
        <w:rPr>
          <w:rFonts w:ascii="Arial" w:hAnsi="Arial" w:cs="Arial"/>
          <w:sz w:val="22"/>
          <w:szCs w:val="22"/>
        </w:rPr>
        <w:t xml:space="preserve"> era menor que el fallecido (</w:t>
      </w:r>
      <w:r w:rsidR="006F574A" w:rsidRPr="008D765D">
        <w:rPr>
          <w:rFonts w:ascii="Arial" w:hAnsi="Arial" w:cs="Arial"/>
          <w:sz w:val="22"/>
          <w:szCs w:val="22"/>
        </w:rPr>
        <w:t xml:space="preserve">48 años) y </w:t>
      </w:r>
      <w:r w:rsidRPr="008D765D">
        <w:rPr>
          <w:rFonts w:ascii="Arial" w:hAnsi="Arial" w:cs="Arial"/>
          <w:sz w:val="22"/>
          <w:szCs w:val="22"/>
        </w:rPr>
        <w:t xml:space="preserve">como </w:t>
      </w:r>
      <w:r w:rsidR="00C3386E" w:rsidRPr="008D765D">
        <w:rPr>
          <w:rFonts w:ascii="Arial" w:hAnsi="Arial" w:cs="Arial"/>
          <w:sz w:val="22"/>
          <w:szCs w:val="22"/>
        </w:rPr>
        <w:t xml:space="preserve">el señor </w:t>
      </w:r>
      <w:proofErr w:type="spellStart"/>
      <w:r w:rsidR="00C3386E" w:rsidRPr="008D765D">
        <w:rPr>
          <w:rFonts w:ascii="Arial" w:hAnsi="Arial" w:cs="Arial"/>
          <w:sz w:val="22"/>
          <w:szCs w:val="22"/>
        </w:rPr>
        <w:t>Gersain</w:t>
      </w:r>
      <w:proofErr w:type="spellEnd"/>
      <w:r w:rsidR="00C3386E" w:rsidRPr="008D765D">
        <w:rPr>
          <w:rFonts w:ascii="Arial" w:hAnsi="Arial" w:cs="Arial"/>
          <w:sz w:val="22"/>
          <w:szCs w:val="22"/>
        </w:rPr>
        <w:t xml:space="preserve"> al momento del hecho tenía 54 años</w:t>
      </w:r>
      <w:r w:rsidR="006F574A" w:rsidRPr="008D765D">
        <w:rPr>
          <w:rFonts w:ascii="Arial" w:hAnsi="Arial" w:cs="Arial"/>
          <w:sz w:val="22"/>
          <w:szCs w:val="22"/>
        </w:rPr>
        <w:t xml:space="preserve"> y</w:t>
      </w:r>
      <w:r w:rsidR="00C3386E" w:rsidRPr="008D765D">
        <w:rPr>
          <w:rFonts w:ascii="Arial" w:hAnsi="Arial" w:cs="Arial"/>
          <w:sz w:val="22"/>
          <w:szCs w:val="22"/>
        </w:rPr>
        <w:t xml:space="preserve"> le restaba una expectativa de vida de 28,1 años</w:t>
      </w:r>
      <w:r w:rsidRPr="008D765D">
        <w:rPr>
          <w:rFonts w:ascii="Arial" w:hAnsi="Arial" w:cs="Arial"/>
          <w:sz w:val="22"/>
          <w:szCs w:val="22"/>
        </w:rPr>
        <w:t>, será aquel el periodo a indemnizar</w:t>
      </w:r>
      <w:r w:rsidR="00C3386E" w:rsidRPr="008D765D">
        <w:rPr>
          <w:rFonts w:ascii="Arial" w:hAnsi="Arial" w:cs="Arial"/>
          <w:sz w:val="22"/>
          <w:szCs w:val="22"/>
        </w:rPr>
        <w:t xml:space="preserve">. </w:t>
      </w:r>
      <w:r w:rsidR="006F574A" w:rsidRPr="008D765D">
        <w:rPr>
          <w:rFonts w:ascii="Arial" w:hAnsi="Arial" w:cs="Arial"/>
          <w:sz w:val="22"/>
          <w:szCs w:val="22"/>
        </w:rPr>
        <w:t xml:space="preserve">(ii) </w:t>
      </w:r>
      <w:r w:rsidR="00C3386E" w:rsidRPr="008D765D">
        <w:rPr>
          <w:rFonts w:ascii="Arial" w:hAnsi="Arial" w:cs="Arial"/>
          <w:sz w:val="22"/>
          <w:szCs w:val="22"/>
        </w:rPr>
        <w:t xml:space="preserve">Además </w:t>
      </w:r>
      <w:r w:rsidRPr="008D765D">
        <w:rPr>
          <w:rFonts w:ascii="Arial" w:hAnsi="Arial" w:cs="Arial"/>
          <w:sz w:val="22"/>
          <w:szCs w:val="22"/>
        </w:rPr>
        <w:t xml:space="preserve">el IBL será de </w:t>
      </w:r>
      <w:r w:rsidR="00C3386E" w:rsidRPr="008D765D">
        <w:rPr>
          <w:rFonts w:ascii="Arial" w:hAnsi="Arial" w:cs="Arial"/>
          <w:sz w:val="22"/>
          <w:szCs w:val="22"/>
        </w:rPr>
        <w:t xml:space="preserve">1 </w:t>
      </w:r>
      <w:proofErr w:type="gramStart"/>
      <w:r w:rsidR="00C3386E" w:rsidRPr="008D765D">
        <w:rPr>
          <w:rFonts w:ascii="Arial" w:hAnsi="Arial" w:cs="Arial"/>
          <w:sz w:val="22"/>
          <w:szCs w:val="22"/>
        </w:rPr>
        <w:t>SMLMV(</w:t>
      </w:r>
      <w:proofErr w:type="gramEnd"/>
      <w:r w:rsidR="00C3386E" w:rsidRPr="008D765D">
        <w:rPr>
          <w:rFonts w:ascii="Arial" w:hAnsi="Arial" w:cs="Arial"/>
          <w:sz w:val="22"/>
          <w:szCs w:val="22"/>
        </w:rPr>
        <w:t>$1.300.000) al que se reduce el 25% de gastos propios de la víctima</w:t>
      </w:r>
      <w:r w:rsidRPr="008D765D">
        <w:rPr>
          <w:rFonts w:ascii="Arial" w:hAnsi="Arial" w:cs="Arial"/>
          <w:sz w:val="22"/>
          <w:szCs w:val="22"/>
        </w:rPr>
        <w:t xml:space="preserve"> quedando una base de </w:t>
      </w:r>
      <w:r w:rsidR="006F574A" w:rsidRPr="008D765D">
        <w:rPr>
          <w:rFonts w:ascii="Arial" w:hAnsi="Arial" w:cs="Arial"/>
          <w:sz w:val="22"/>
          <w:szCs w:val="22"/>
        </w:rPr>
        <w:t>liquidación</w:t>
      </w:r>
      <w:r w:rsidRPr="008D765D">
        <w:rPr>
          <w:rFonts w:ascii="Arial" w:hAnsi="Arial" w:cs="Arial"/>
          <w:sz w:val="22"/>
          <w:szCs w:val="22"/>
        </w:rPr>
        <w:t xml:space="preserve"> de $975.000</w:t>
      </w:r>
      <w:r w:rsidR="00C3386E" w:rsidRPr="008D765D">
        <w:rPr>
          <w:rFonts w:ascii="Arial" w:hAnsi="Arial" w:cs="Arial"/>
          <w:sz w:val="22"/>
          <w:szCs w:val="22"/>
        </w:rPr>
        <w:t xml:space="preserve">. </w:t>
      </w:r>
    </w:p>
    <w:p w14:paraId="43C661FB" w14:textId="77777777" w:rsidR="00561C30" w:rsidRPr="008D765D" w:rsidRDefault="00561C30" w:rsidP="00C3386E">
      <w:pPr>
        <w:rPr>
          <w:rFonts w:ascii="Arial" w:hAnsi="Arial" w:cs="Arial"/>
          <w:sz w:val="22"/>
          <w:szCs w:val="22"/>
        </w:rPr>
      </w:pPr>
    </w:p>
    <w:p w14:paraId="04D6A295" w14:textId="49CD366F" w:rsidR="00561C30" w:rsidRPr="008D765D" w:rsidRDefault="00561C30" w:rsidP="00561C30">
      <w:pPr>
        <w:pStyle w:val="Prrafodelista"/>
        <w:numPr>
          <w:ilvl w:val="0"/>
          <w:numId w:val="14"/>
        </w:numPr>
        <w:rPr>
          <w:rFonts w:cs="Arial"/>
          <w:szCs w:val="22"/>
        </w:rPr>
      </w:pPr>
      <w:r w:rsidRPr="008D765D">
        <w:rPr>
          <w:rFonts w:cs="Arial"/>
          <w:szCs w:val="22"/>
        </w:rPr>
        <w:t>Daño emergente: $0</w:t>
      </w:r>
    </w:p>
    <w:p w14:paraId="6083082A" w14:textId="77777777" w:rsidR="004538D3" w:rsidRPr="008D765D" w:rsidRDefault="004538D3" w:rsidP="004538D3">
      <w:pPr>
        <w:pStyle w:val="Prrafodelista"/>
        <w:rPr>
          <w:rFonts w:cs="Arial"/>
          <w:szCs w:val="22"/>
        </w:rPr>
      </w:pPr>
    </w:p>
    <w:p w14:paraId="10362E07" w14:textId="1ED8E866" w:rsidR="00561C30" w:rsidRPr="008D765D" w:rsidRDefault="00561C30" w:rsidP="004538D3">
      <w:pPr>
        <w:jc w:val="both"/>
        <w:rPr>
          <w:rFonts w:ascii="Arial" w:hAnsi="Arial" w:cs="Arial"/>
          <w:sz w:val="22"/>
          <w:szCs w:val="22"/>
        </w:rPr>
      </w:pPr>
      <w:r w:rsidRPr="008D765D">
        <w:rPr>
          <w:rFonts w:ascii="Arial" w:hAnsi="Arial" w:cs="Arial"/>
          <w:sz w:val="22"/>
          <w:szCs w:val="22"/>
        </w:rPr>
        <w:t xml:space="preserve">No se reconocerá rubro alguno toda vez que no se encuentra prueba de los presuntos gastos de transporte y gastos funerarios, que si bien estaban llamados causarse se encuentran totalmente carente de facturas, cuentas de cobro o recibos que den cuenta de la erogación presuntamente asumida. </w:t>
      </w:r>
    </w:p>
    <w:p w14:paraId="6937AEDD" w14:textId="77777777" w:rsidR="008D765D" w:rsidRPr="008D765D" w:rsidRDefault="008D765D" w:rsidP="004538D3">
      <w:pPr>
        <w:jc w:val="both"/>
        <w:rPr>
          <w:rFonts w:ascii="Arial" w:hAnsi="Arial" w:cs="Arial"/>
          <w:sz w:val="22"/>
          <w:szCs w:val="22"/>
        </w:rPr>
      </w:pPr>
    </w:p>
    <w:p w14:paraId="5857CC92" w14:textId="77777777" w:rsidR="008D765D" w:rsidRPr="008D765D" w:rsidRDefault="008D765D" w:rsidP="004538D3">
      <w:pPr>
        <w:jc w:val="both"/>
        <w:rPr>
          <w:rFonts w:ascii="Arial" w:hAnsi="Arial" w:cs="Arial"/>
          <w:sz w:val="22"/>
          <w:szCs w:val="22"/>
        </w:rPr>
      </w:pPr>
    </w:p>
    <w:p w14:paraId="12BC5F61" w14:textId="77777777" w:rsidR="00561C30" w:rsidRPr="008D765D" w:rsidRDefault="00561C30" w:rsidP="004538D3">
      <w:pPr>
        <w:jc w:val="both"/>
        <w:rPr>
          <w:rFonts w:ascii="Arial" w:hAnsi="Arial" w:cs="Arial"/>
          <w:sz w:val="22"/>
          <w:szCs w:val="22"/>
        </w:rPr>
      </w:pPr>
    </w:p>
    <w:p w14:paraId="280D1783" w14:textId="486B94A2" w:rsidR="00561C30" w:rsidRPr="008D765D" w:rsidRDefault="00561C30" w:rsidP="004538D3">
      <w:pPr>
        <w:pStyle w:val="Prrafodelista"/>
        <w:numPr>
          <w:ilvl w:val="0"/>
          <w:numId w:val="14"/>
        </w:numPr>
        <w:rPr>
          <w:rFonts w:cs="Arial"/>
          <w:szCs w:val="22"/>
        </w:rPr>
      </w:pPr>
      <w:r w:rsidRPr="008D765D">
        <w:rPr>
          <w:rFonts w:cs="Arial"/>
          <w:szCs w:val="22"/>
        </w:rPr>
        <w:t>Daño moral: $210.000.000</w:t>
      </w:r>
    </w:p>
    <w:p w14:paraId="74F65D90" w14:textId="77777777" w:rsidR="004538D3" w:rsidRPr="008D765D" w:rsidRDefault="004538D3" w:rsidP="004538D3">
      <w:pPr>
        <w:pStyle w:val="Prrafodelista"/>
        <w:rPr>
          <w:rFonts w:cs="Arial"/>
          <w:szCs w:val="22"/>
        </w:rPr>
      </w:pPr>
    </w:p>
    <w:p w14:paraId="73933E97" w14:textId="03A97130" w:rsidR="00561C30" w:rsidRPr="008D765D" w:rsidRDefault="00107A59" w:rsidP="004538D3">
      <w:pPr>
        <w:jc w:val="both"/>
        <w:rPr>
          <w:rFonts w:ascii="Arial" w:hAnsi="Arial" w:cs="Arial"/>
          <w:sz w:val="22"/>
          <w:szCs w:val="22"/>
        </w:rPr>
      </w:pPr>
      <w:r w:rsidRPr="008D765D">
        <w:rPr>
          <w:rFonts w:ascii="Arial" w:hAnsi="Arial" w:cs="Arial"/>
          <w:sz w:val="22"/>
          <w:szCs w:val="22"/>
        </w:rPr>
        <w:t xml:space="preserve">Este valor se fijó teniendo en cuenta que la jurisprudencia de la Corte Suprema de Justicia (Sentencia del 23/05/2018, MP: Aroldo Wilson Quiroz) ha establecido que en caso de fallecimiento es procedente reconocer a los parientes en primer grado de consanguinidad o afinidad la suma de $60.000.000 a cada uno. Ahora bien, en cuanto a los perjuicios de los familiares de segundo grado de consanguinidad, </w:t>
      </w:r>
      <w:r w:rsidR="00593D87" w:rsidRPr="008D765D">
        <w:rPr>
          <w:rFonts w:ascii="Arial" w:hAnsi="Arial" w:cs="Arial"/>
          <w:sz w:val="22"/>
          <w:szCs w:val="22"/>
        </w:rPr>
        <w:t xml:space="preserve">el alto Tribunal </w:t>
      </w:r>
      <w:r w:rsidRPr="008D765D">
        <w:rPr>
          <w:rFonts w:ascii="Arial" w:hAnsi="Arial" w:cs="Arial"/>
          <w:sz w:val="22"/>
          <w:szCs w:val="22"/>
        </w:rPr>
        <w:t xml:space="preserve">ha establecido que es plausible ordenar el pago de $30,000,000 (Sentencia del 7 de marzo de 2019, M.P. Octavio Augusto Tejeiro Duque). De ahí en adelante el juzgador conforme al </w:t>
      </w:r>
      <w:r w:rsidRPr="008D765D">
        <w:rPr>
          <w:rFonts w:ascii="Arial" w:hAnsi="Arial" w:cs="Arial"/>
          <w:i/>
          <w:iCs/>
          <w:sz w:val="22"/>
          <w:szCs w:val="22"/>
        </w:rPr>
        <w:t xml:space="preserve">arbitrio </w:t>
      </w:r>
      <w:proofErr w:type="spellStart"/>
      <w:r w:rsidRPr="008D765D">
        <w:rPr>
          <w:rFonts w:ascii="Arial" w:hAnsi="Arial" w:cs="Arial"/>
          <w:i/>
          <w:iCs/>
          <w:sz w:val="22"/>
          <w:szCs w:val="22"/>
        </w:rPr>
        <w:t>iudicis</w:t>
      </w:r>
      <w:proofErr w:type="spellEnd"/>
      <w:r w:rsidRPr="008D765D">
        <w:rPr>
          <w:rFonts w:ascii="Arial" w:hAnsi="Arial" w:cs="Arial"/>
          <w:sz w:val="22"/>
          <w:szCs w:val="22"/>
        </w:rPr>
        <w:t xml:space="preserve"> </w:t>
      </w:r>
      <w:r w:rsidR="00593D87" w:rsidRPr="008D765D">
        <w:rPr>
          <w:rFonts w:ascii="Arial" w:hAnsi="Arial" w:cs="Arial"/>
          <w:sz w:val="22"/>
          <w:szCs w:val="22"/>
        </w:rPr>
        <w:t>está</w:t>
      </w:r>
      <w:r w:rsidRPr="008D765D">
        <w:rPr>
          <w:rFonts w:ascii="Arial" w:hAnsi="Arial" w:cs="Arial"/>
          <w:sz w:val="22"/>
          <w:szCs w:val="22"/>
        </w:rPr>
        <w:t xml:space="preserve"> facultado para reducir los valores. </w:t>
      </w:r>
      <w:r w:rsidR="00593D87" w:rsidRPr="008D765D">
        <w:rPr>
          <w:rFonts w:ascii="Arial" w:hAnsi="Arial" w:cs="Arial"/>
          <w:sz w:val="22"/>
          <w:szCs w:val="22"/>
        </w:rPr>
        <w:t>Entonces se</w:t>
      </w:r>
      <w:r w:rsidR="00561C30" w:rsidRPr="008D765D">
        <w:rPr>
          <w:rFonts w:ascii="Arial" w:hAnsi="Arial" w:cs="Arial"/>
          <w:sz w:val="22"/>
          <w:szCs w:val="22"/>
        </w:rPr>
        <w:t xml:space="preserve"> reconoc</w:t>
      </w:r>
      <w:r w:rsidR="00593D87" w:rsidRPr="008D765D">
        <w:rPr>
          <w:rFonts w:ascii="Arial" w:hAnsi="Arial" w:cs="Arial"/>
          <w:sz w:val="22"/>
          <w:szCs w:val="22"/>
        </w:rPr>
        <w:t>e</w:t>
      </w:r>
      <w:r w:rsidR="00561C30" w:rsidRPr="008D765D">
        <w:rPr>
          <w:rFonts w:ascii="Arial" w:hAnsi="Arial" w:cs="Arial"/>
          <w:sz w:val="22"/>
          <w:szCs w:val="22"/>
        </w:rPr>
        <w:t xml:space="preserve"> la suma de $60.000.000 para cada uno de los demandantes</w:t>
      </w:r>
      <w:r w:rsidR="00593D87" w:rsidRPr="008D765D">
        <w:rPr>
          <w:rFonts w:ascii="Arial" w:hAnsi="Arial" w:cs="Arial"/>
          <w:sz w:val="22"/>
          <w:szCs w:val="22"/>
        </w:rPr>
        <w:t>:</w:t>
      </w:r>
      <w:r w:rsidR="00561C30" w:rsidRPr="008D765D">
        <w:rPr>
          <w:rFonts w:ascii="Arial" w:hAnsi="Arial" w:cs="Arial"/>
          <w:sz w:val="22"/>
          <w:szCs w:val="22"/>
        </w:rPr>
        <w:t xml:space="preserve"> Mariela Ruiz, </w:t>
      </w:r>
      <w:proofErr w:type="spellStart"/>
      <w:r w:rsidR="00561C30" w:rsidRPr="008D765D">
        <w:rPr>
          <w:rFonts w:ascii="Arial" w:hAnsi="Arial" w:cs="Arial"/>
          <w:sz w:val="22"/>
          <w:szCs w:val="22"/>
        </w:rPr>
        <w:t>Eiver</w:t>
      </w:r>
      <w:proofErr w:type="spellEnd"/>
      <w:r w:rsidR="00561C30" w:rsidRPr="008D765D">
        <w:rPr>
          <w:rFonts w:ascii="Arial" w:hAnsi="Arial" w:cs="Arial"/>
          <w:sz w:val="22"/>
          <w:szCs w:val="22"/>
        </w:rPr>
        <w:t xml:space="preserve"> </w:t>
      </w:r>
      <w:proofErr w:type="spellStart"/>
      <w:r w:rsidR="00561C30" w:rsidRPr="008D765D">
        <w:rPr>
          <w:rFonts w:ascii="Arial" w:hAnsi="Arial" w:cs="Arial"/>
          <w:sz w:val="22"/>
          <w:szCs w:val="22"/>
        </w:rPr>
        <w:t>Yamid</w:t>
      </w:r>
      <w:proofErr w:type="spellEnd"/>
      <w:r w:rsidR="00561C30" w:rsidRPr="008D765D">
        <w:rPr>
          <w:rFonts w:ascii="Arial" w:hAnsi="Arial" w:cs="Arial"/>
          <w:sz w:val="22"/>
          <w:szCs w:val="22"/>
        </w:rPr>
        <w:t xml:space="preserve"> y </w:t>
      </w:r>
      <w:proofErr w:type="spellStart"/>
      <w:r w:rsidR="00561C30" w:rsidRPr="008D765D">
        <w:rPr>
          <w:rFonts w:ascii="Arial" w:hAnsi="Arial" w:cs="Arial"/>
          <w:sz w:val="22"/>
          <w:szCs w:val="22"/>
        </w:rPr>
        <w:t>Dannier</w:t>
      </w:r>
      <w:proofErr w:type="spellEnd"/>
      <w:r w:rsidR="00561C30" w:rsidRPr="008D765D">
        <w:rPr>
          <w:rFonts w:ascii="Arial" w:hAnsi="Arial" w:cs="Arial"/>
          <w:sz w:val="22"/>
          <w:szCs w:val="22"/>
        </w:rPr>
        <w:t xml:space="preserve"> Burbano Ruiz; además, de $30.000.000 para el menor Andy Burbano Buitrón en calidad de nieto de la víctima. En cuanto a la señora Yina Gisela Buitrón en calidad de presunta nuera de </w:t>
      </w:r>
      <w:r w:rsidR="00593D87" w:rsidRPr="008D765D">
        <w:rPr>
          <w:rFonts w:ascii="Arial" w:hAnsi="Arial" w:cs="Arial"/>
          <w:sz w:val="22"/>
          <w:szCs w:val="22"/>
        </w:rPr>
        <w:t>la víctima</w:t>
      </w:r>
      <w:r w:rsidR="00561C30" w:rsidRPr="008D765D">
        <w:rPr>
          <w:rFonts w:ascii="Arial" w:hAnsi="Arial" w:cs="Arial"/>
          <w:sz w:val="22"/>
          <w:szCs w:val="22"/>
        </w:rPr>
        <w:t xml:space="preserve"> no se reconocerá suma alguna porque no se ha probado el vínculo que afirma y </w:t>
      </w:r>
      <w:r w:rsidR="00C43563" w:rsidRPr="008D765D">
        <w:rPr>
          <w:rFonts w:ascii="Arial" w:hAnsi="Arial" w:cs="Arial"/>
          <w:sz w:val="22"/>
          <w:szCs w:val="22"/>
        </w:rPr>
        <w:t>de acuerdo con</w:t>
      </w:r>
      <w:r w:rsidR="00561C30" w:rsidRPr="008D765D">
        <w:rPr>
          <w:rFonts w:ascii="Arial" w:hAnsi="Arial" w:cs="Arial"/>
          <w:sz w:val="22"/>
          <w:szCs w:val="22"/>
        </w:rPr>
        <w:t xml:space="preserve"> la jurisprudencia</w:t>
      </w:r>
      <w:r w:rsidR="00593D87" w:rsidRPr="008D765D">
        <w:rPr>
          <w:rFonts w:ascii="Arial" w:hAnsi="Arial" w:cs="Arial"/>
          <w:sz w:val="22"/>
          <w:szCs w:val="22"/>
        </w:rPr>
        <w:t>,</w:t>
      </w:r>
      <w:r w:rsidR="00561C30" w:rsidRPr="008D765D">
        <w:rPr>
          <w:rFonts w:ascii="Arial" w:hAnsi="Arial" w:cs="Arial"/>
          <w:sz w:val="22"/>
          <w:szCs w:val="22"/>
        </w:rPr>
        <w:t xml:space="preserve"> ante la ausencia de lazos familiares no hay lugar a presumir el perjuicio. </w:t>
      </w:r>
    </w:p>
    <w:p w14:paraId="2656468E" w14:textId="77777777" w:rsidR="00593D87" w:rsidRPr="008D765D" w:rsidRDefault="00593D87" w:rsidP="004538D3">
      <w:pPr>
        <w:jc w:val="both"/>
        <w:rPr>
          <w:rFonts w:ascii="Arial" w:hAnsi="Arial" w:cs="Arial"/>
          <w:sz w:val="22"/>
          <w:szCs w:val="22"/>
        </w:rPr>
      </w:pPr>
    </w:p>
    <w:p w14:paraId="542B4154" w14:textId="1E0ECA7B" w:rsidR="00C43563" w:rsidRPr="008D765D" w:rsidRDefault="00593D87" w:rsidP="004538D3">
      <w:pPr>
        <w:pStyle w:val="Prrafodelista"/>
        <w:numPr>
          <w:ilvl w:val="0"/>
          <w:numId w:val="14"/>
        </w:numPr>
        <w:rPr>
          <w:rFonts w:cs="Arial"/>
          <w:szCs w:val="22"/>
        </w:rPr>
      </w:pPr>
      <w:r w:rsidRPr="008D765D">
        <w:rPr>
          <w:rFonts w:cs="Arial"/>
          <w:szCs w:val="22"/>
        </w:rPr>
        <w:t>Daño a la vida de relación</w:t>
      </w:r>
      <w:r w:rsidR="00C43563" w:rsidRPr="008D765D">
        <w:rPr>
          <w:rFonts w:cs="Arial"/>
          <w:szCs w:val="22"/>
        </w:rPr>
        <w:t>: $</w:t>
      </w:r>
      <w:r w:rsidR="008D765D" w:rsidRPr="008D765D">
        <w:rPr>
          <w:rFonts w:cs="Arial"/>
          <w:szCs w:val="22"/>
        </w:rPr>
        <w:t>58.500.000</w:t>
      </w:r>
    </w:p>
    <w:p w14:paraId="5A7F5F7D" w14:textId="77777777" w:rsidR="004538D3" w:rsidRPr="008D765D" w:rsidRDefault="004538D3" w:rsidP="004538D3">
      <w:pPr>
        <w:pStyle w:val="Prrafodelista"/>
        <w:rPr>
          <w:rFonts w:cs="Arial"/>
          <w:szCs w:val="22"/>
        </w:rPr>
      </w:pPr>
    </w:p>
    <w:p w14:paraId="14E8AA00" w14:textId="63FD6BC8" w:rsidR="00C43563" w:rsidRPr="008D765D" w:rsidRDefault="00C43563" w:rsidP="004538D3">
      <w:pPr>
        <w:jc w:val="both"/>
        <w:rPr>
          <w:rFonts w:ascii="Arial" w:hAnsi="Arial" w:cs="Arial"/>
          <w:sz w:val="22"/>
          <w:szCs w:val="22"/>
        </w:rPr>
      </w:pPr>
      <w:r w:rsidRPr="008D765D">
        <w:rPr>
          <w:rFonts w:ascii="Arial" w:hAnsi="Arial" w:cs="Arial"/>
          <w:sz w:val="22"/>
          <w:szCs w:val="22"/>
        </w:rPr>
        <w:t xml:space="preserve">De conformidad con la sentencia SC665-2019 de la Corte Suprema de Justicia, se ha avalado reconocimientos indemnizatorios de $30.000.000 a favor de la </w:t>
      </w:r>
      <w:r w:rsidR="004538D3" w:rsidRPr="008D765D">
        <w:rPr>
          <w:rFonts w:ascii="Arial" w:hAnsi="Arial" w:cs="Arial"/>
          <w:sz w:val="22"/>
          <w:szCs w:val="22"/>
        </w:rPr>
        <w:t>cónyuge</w:t>
      </w:r>
      <w:r w:rsidRPr="008D765D">
        <w:rPr>
          <w:rFonts w:ascii="Arial" w:hAnsi="Arial" w:cs="Arial"/>
          <w:sz w:val="22"/>
          <w:szCs w:val="22"/>
        </w:rPr>
        <w:t xml:space="preserve"> del fallecido, </w:t>
      </w:r>
      <w:r w:rsidR="008D765D" w:rsidRPr="008D765D">
        <w:rPr>
          <w:rFonts w:ascii="Arial" w:hAnsi="Arial" w:cs="Arial"/>
          <w:sz w:val="22"/>
          <w:szCs w:val="22"/>
        </w:rPr>
        <w:t xml:space="preserve">pese a ello como en la demanda solo se pide 15 SMLMV para los hijos y compañera permanente, en atención al principio de congruencia y prohibición de fallar ultra </w:t>
      </w:r>
      <w:proofErr w:type="spellStart"/>
      <w:r w:rsidR="008D765D" w:rsidRPr="008D765D">
        <w:rPr>
          <w:rFonts w:ascii="Arial" w:hAnsi="Arial" w:cs="Arial"/>
          <w:sz w:val="22"/>
          <w:szCs w:val="22"/>
        </w:rPr>
        <w:t>petita</w:t>
      </w:r>
      <w:proofErr w:type="spellEnd"/>
      <w:r w:rsidRPr="008D765D">
        <w:rPr>
          <w:rFonts w:ascii="Arial" w:hAnsi="Arial" w:cs="Arial"/>
          <w:sz w:val="22"/>
          <w:szCs w:val="22"/>
        </w:rPr>
        <w:t xml:space="preserve">, </w:t>
      </w:r>
      <w:r w:rsidR="008D765D" w:rsidRPr="008D765D">
        <w:rPr>
          <w:rFonts w:ascii="Arial" w:hAnsi="Arial" w:cs="Arial"/>
          <w:sz w:val="22"/>
          <w:szCs w:val="22"/>
        </w:rPr>
        <w:t xml:space="preserve">se reconocerá </w:t>
      </w:r>
      <w:r w:rsidRPr="008D765D">
        <w:rPr>
          <w:rFonts w:ascii="Arial" w:hAnsi="Arial" w:cs="Arial"/>
          <w:sz w:val="22"/>
          <w:szCs w:val="22"/>
        </w:rPr>
        <w:t xml:space="preserve">para los hijos </w:t>
      </w:r>
      <w:proofErr w:type="spellStart"/>
      <w:r w:rsidR="004538D3" w:rsidRPr="008D765D">
        <w:rPr>
          <w:rFonts w:ascii="Arial" w:hAnsi="Arial" w:cs="Arial"/>
          <w:sz w:val="22"/>
          <w:szCs w:val="22"/>
        </w:rPr>
        <w:t>Eiver</w:t>
      </w:r>
      <w:proofErr w:type="spellEnd"/>
      <w:r w:rsidR="004538D3" w:rsidRPr="008D765D">
        <w:rPr>
          <w:rFonts w:ascii="Arial" w:hAnsi="Arial" w:cs="Arial"/>
          <w:sz w:val="22"/>
          <w:szCs w:val="22"/>
        </w:rPr>
        <w:t xml:space="preserve"> y </w:t>
      </w:r>
      <w:proofErr w:type="spellStart"/>
      <w:r w:rsidR="004538D3" w:rsidRPr="008D765D">
        <w:rPr>
          <w:rFonts w:ascii="Arial" w:hAnsi="Arial" w:cs="Arial"/>
          <w:sz w:val="22"/>
          <w:szCs w:val="22"/>
        </w:rPr>
        <w:t>Dannier</w:t>
      </w:r>
      <w:proofErr w:type="spellEnd"/>
      <w:r w:rsidR="004538D3" w:rsidRPr="008D765D">
        <w:rPr>
          <w:rFonts w:ascii="Arial" w:hAnsi="Arial" w:cs="Arial"/>
          <w:sz w:val="22"/>
          <w:szCs w:val="22"/>
        </w:rPr>
        <w:t xml:space="preserve"> Burbano </w:t>
      </w:r>
      <w:r w:rsidRPr="008D765D">
        <w:rPr>
          <w:rFonts w:ascii="Arial" w:hAnsi="Arial" w:cs="Arial"/>
          <w:sz w:val="22"/>
          <w:szCs w:val="22"/>
        </w:rPr>
        <w:t xml:space="preserve">y la compañera permanente </w:t>
      </w:r>
      <w:r w:rsidR="004538D3" w:rsidRPr="008D765D">
        <w:rPr>
          <w:rFonts w:ascii="Arial" w:hAnsi="Arial" w:cs="Arial"/>
          <w:sz w:val="22"/>
          <w:szCs w:val="22"/>
        </w:rPr>
        <w:t>Mariela Ruiz, la suma de $</w:t>
      </w:r>
      <w:r w:rsidR="008D765D" w:rsidRPr="008D765D">
        <w:rPr>
          <w:rFonts w:ascii="Arial" w:hAnsi="Arial" w:cs="Arial"/>
          <w:sz w:val="22"/>
          <w:szCs w:val="22"/>
        </w:rPr>
        <w:t>19</w:t>
      </w:r>
      <w:r w:rsidR="004538D3" w:rsidRPr="008D765D">
        <w:rPr>
          <w:rFonts w:ascii="Arial" w:hAnsi="Arial" w:cs="Arial"/>
          <w:sz w:val="22"/>
          <w:szCs w:val="22"/>
        </w:rPr>
        <w:t>.</w:t>
      </w:r>
      <w:r w:rsidR="008D765D" w:rsidRPr="008D765D">
        <w:rPr>
          <w:rFonts w:ascii="Arial" w:hAnsi="Arial" w:cs="Arial"/>
          <w:sz w:val="22"/>
          <w:szCs w:val="22"/>
        </w:rPr>
        <w:t>5</w:t>
      </w:r>
      <w:r w:rsidR="004538D3" w:rsidRPr="008D765D">
        <w:rPr>
          <w:rFonts w:ascii="Arial" w:hAnsi="Arial" w:cs="Arial"/>
          <w:sz w:val="22"/>
          <w:szCs w:val="22"/>
        </w:rPr>
        <w:t xml:space="preserve">00.000 para cada uno. Para el menor Andy Burbano y la señora Yina Buitrón no se reconocerá rubro alguno por encontrarse prueba del perjuicio y ser improcedente su presunción.  </w:t>
      </w:r>
    </w:p>
    <w:p w14:paraId="2BE8C241" w14:textId="77777777" w:rsidR="004538D3" w:rsidRPr="008D765D" w:rsidRDefault="004538D3" w:rsidP="004538D3">
      <w:pPr>
        <w:jc w:val="both"/>
        <w:rPr>
          <w:rFonts w:ascii="Arial" w:hAnsi="Arial" w:cs="Arial"/>
          <w:sz w:val="22"/>
          <w:szCs w:val="22"/>
        </w:rPr>
      </w:pPr>
    </w:p>
    <w:p w14:paraId="5B83A324" w14:textId="77777777" w:rsidR="004538D3" w:rsidRPr="008D765D" w:rsidRDefault="004538D3" w:rsidP="00C43563">
      <w:pPr>
        <w:jc w:val="both"/>
        <w:rPr>
          <w:rFonts w:ascii="Arial" w:hAnsi="Arial" w:cs="Arial"/>
          <w:sz w:val="22"/>
          <w:szCs w:val="22"/>
        </w:rPr>
      </w:pPr>
    </w:p>
    <w:p w14:paraId="0BE58502" w14:textId="5D5ECB82" w:rsidR="00593D87" w:rsidRPr="008D765D" w:rsidRDefault="004538D3" w:rsidP="004538D3">
      <w:pPr>
        <w:pStyle w:val="Prrafodelista"/>
        <w:numPr>
          <w:ilvl w:val="0"/>
          <w:numId w:val="14"/>
        </w:numPr>
        <w:rPr>
          <w:rFonts w:cs="Arial"/>
          <w:szCs w:val="22"/>
        </w:rPr>
      </w:pPr>
      <w:r w:rsidRPr="008D765D">
        <w:rPr>
          <w:rFonts w:cs="Arial"/>
          <w:szCs w:val="22"/>
        </w:rPr>
        <w:t>Deducible: 10% de la pérdida mínimo 4%</w:t>
      </w:r>
    </w:p>
    <w:p w14:paraId="0492EC83" w14:textId="235E1ADA" w:rsidR="004538D3" w:rsidRPr="008D765D" w:rsidRDefault="008D765D" w:rsidP="006F574A">
      <w:pPr>
        <w:jc w:val="both"/>
        <w:rPr>
          <w:rFonts w:ascii="Arial" w:hAnsi="Arial" w:cs="Arial"/>
          <w:sz w:val="22"/>
          <w:szCs w:val="22"/>
        </w:rPr>
      </w:pPr>
      <w:r w:rsidRPr="008D765D">
        <w:rPr>
          <w:rFonts w:ascii="Arial" w:hAnsi="Arial" w:cs="Arial"/>
          <w:sz w:val="22"/>
          <w:szCs w:val="22"/>
        </w:rPr>
        <w:t>Como el</w:t>
      </w:r>
      <w:r w:rsidR="004538D3" w:rsidRPr="008D765D">
        <w:rPr>
          <w:rFonts w:ascii="Arial" w:hAnsi="Arial" w:cs="Arial"/>
          <w:sz w:val="22"/>
          <w:szCs w:val="22"/>
        </w:rPr>
        <w:t xml:space="preserve"> total de la pérdida asciende a </w:t>
      </w:r>
      <w:r w:rsidR="006F574A" w:rsidRPr="008D765D">
        <w:rPr>
          <w:rFonts w:ascii="Arial" w:hAnsi="Arial" w:cs="Arial"/>
          <w:sz w:val="22"/>
          <w:szCs w:val="22"/>
        </w:rPr>
        <w:t>$</w:t>
      </w:r>
      <w:r w:rsidRPr="008D765D">
        <w:rPr>
          <w:rFonts w:ascii="Arial" w:hAnsi="Arial" w:cs="Arial"/>
          <w:sz w:val="22"/>
          <w:szCs w:val="22"/>
        </w:rPr>
        <w:t>476.224.286</w:t>
      </w:r>
      <w:r w:rsidR="006F574A" w:rsidRPr="008D765D">
        <w:rPr>
          <w:rFonts w:ascii="Arial" w:hAnsi="Arial" w:cs="Arial"/>
          <w:sz w:val="22"/>
          <w:szCs w:val="22"/>
        </w:rPr>
        <w:t>, el 10% representa un valor de $</w:t>
      </w:r>
      <w:r w:rsidRPr="008D765D">
        <w:rPr>
          <w:rFonts w:ascii="Arial" w:hAnsi="Arial" w:cs="Arial"/>
          <w:sz w:val="22"/>
          <w:szCs w:val="22"/>
        </w:rPr>
        <w:t>47.622.428</w:t>
      </w:r>
      <w:r w:rsidR="006F574A" w:rsidRPr="008D765D">
        <w:rPr>
          <w:rFonts w:ascii="Arial" w:hAnsi="Arial" w:cs="Arial"/>
          <w:sz w:val="22"/>
          <w:szCs w:val="22"/>
        </w:rPr>
        <w:t xml:space="preserve"> que deberá asumir el asegurado</w:t>
      </w:r>
      <w:r w:rsidRPr="008D765D">
        <w:rPr>
          <w:rFonts w:ascii="Arial" w:hAnsi="Arial" w:cs="Arial"/>
          <w:sz w:val="22"/>
          <w:szCs w:val="22"/>
        </w:rPr>
        <w:t xml:space="preserve"> por concepto de deducible</w:t>
      </w:r>
      <w:r w:rsidR="006F574A" w:rsidRPr="008D765D">
        <w:rPr>
          <w:rFonts w:ascii="Arial" w:hAnsi="Arial" w:cs="Arial"/>
          <w:sz w:val="22"/>
          <w:szCs w:val="22"/>
        </w:rPr>
        <w:t>. Por lo tanto, el riesgo de exposición de la compañía es de $</w:t>
      </w:r>
      <w:r w:rsidRPr="008D765D">
        <w:rPr>
          <w:rFonts w:ascii="Arial" w:hAnsi="Arial" w:cs="Arial"/>
          <w:sz w:val="22"/>
          <w:szCs w:val="22"/>
        </w:rPr>
        <w:t>428.601.857.</w:t>
      </w:r>
    </w:p>
    <w:p w14:paraId="15621BE5" w14:textId="77777777" w:rsidR="004538D3" w:rsidRPr="008D765D" w:rsidRDefault="004538D3" w:rsidP="004538D3">
      <w:pPr>
        <w:pStyle w:val="Prrafodelista"/>
        <w:rPr>
          <w:rFonts w:cs="Arial"/>
          <w:szCs w:val="22"/>
        </w:rPr>
      </w:pPr>
    </w:p>
    <w:p w14:paraId="10369ED3" w14:textId="77777777" w:rsidR="00561C30" w:rsidRPr="008D765D" w:rsidRDefault="00561C30" w:rsidP="00561C30">
      <w:pPr>
        <w:rPr>
          <w:rFonts w:ascii="Arial" w:hAnsi="Arial" w:cs="Arial"/>
          <w:sz w:val="22"/>
          <w:szCs w:val="22"/>
        </w:rPr>
      </w:pPr>
    </w:p>
    <w:p w14:paraId="016BF2CC" w14:textId="77777777" w:rsidR="00561C30" w:rsidRPr="008D765D" w:rsidRDefault="00561C30" w:rsidP="00561C30">
      <w:pPr>
        <w:rPr>
          <w:rFonts w:ascii="Arial" w:hAnsi="Arial" w:cs="Arial"/>
          <w:sz w:val="22"/>
          <w:szCs w:val="22"/>
        </w:rPr>
      </w:pPr>
    </w:p>
    <w:sectPr w:rsidR="00561C30" w:rsidRPr="008D76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7418A8"/>
    <w:multiLevelType w:val="hybridMultilevel"/>
    <w:tmpl w:val="63C883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A5742E"/>
    <w:multiLevelType w:val="multilevel"/>
    <w:tmpl w:val="D1BA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8597EEB"/>
    <w:multiLevelType w:val="multilevel"/>
    <w:tmpl w:val="AD062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7" w15:restartNumberingAfterBreak="0">
    <w:nsid w:val="48330ED2"/>
    <w:multiLevelType w:val="multilevel"/>
    <w:tmpl w:val="6EB6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341296C"/>
    <w:multiLevelType w:val="multilevel"/>
    <w:tmpl w:val="BACA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12929C1"/>
    <w:multiLevelType w:val="hybridMultilevel"/>
    <w:tmpl w:val="05644EE2"/>
    <w:lvl w:ilvl="0" w:tplc="BBCC0646">
      <w:start w:val="7"/>
      <w:numFmt w:val="bullet"/>
      <w:lvlText w:val=""/>
      <w:lvlJc w:val="left"/>
      <w:pPr>
        <w:ind w:left="720" w:hanging="360"/>
      </w:pPr>
      <w:rPr>
        <w:rFonts w:ascii="Symbol" w:eastAsiaTheme="minorHAnsi" w:hAnsi="Symbol" w:cs="Open Sans" w:hint="default"/>
        <w:color w:val="5A6573"/>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FE0A9A"/>
    <w:multiLevelType w:val="hybridMultilevel"/>
    <w:tmpl w:val="B4E09A72"/>
    <w:lvl w:ilvl="0" w:tplc="BBCC0646">
      <w:start w:val="7"/>
      <w:numFmt w:val="bullet"/>
      <w:lvlText w:val=""/>
      <w:lvlJc w:val="left"/>
      <w:pPr>
        <w:ind w:left="720" w:hanging="360"/>
      </w:pPr>
      <w:rPr>
        <w:rFonts w:ascii="Symbol" w:eastAsiaTheme="minorHAnsi" w:hAnsi="Symbol" w:cs="Open Sans" w:hint="default"/>
        <w:color w:val="5A6573"/>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31585B"/>
    <w:multiLevelType w:val="multilevel"/>
    <w:tmpl w:val="BF7A1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03C0DFB"/>
    <w:multiLevelType w:val="multilevel"/>
    <w:tmpl w:val="F670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3"/>
  </w:num>
  <w:num w:numId="4">
    <w:abstractNumId w:val="15"/>
  </w:num>
  <w:num w:numId="5">
    <w:abstractNumId w:val="12"/>
  </w:num>
  <w:num w:numId="6">
    <w:abstractNumId w:val="12"/>
  </w:num>
  <w:num w:numId="7">
    <w:abstractNumId w:val="0"/>
  </w:num>
  <w:num w:numId="8">
    <w:abstractNumId w:val="10"/>
  </w:num>
  <w:num w:numId="9">
    <w:abstractNumId w:val="6"/>
  </w:num>
  <w:num w:numId="10">
    <w:abstractNumId w:val="5"/>
  </w:num>
  <w:num w:numId="11">
    <w:abstractNumId w:val="9"/>
  </w:num>
  <w:num w:numId="12">
    <w:abstractNumId w:val="9"/>
  </w:num>
  <w:num w:numId="13">
    <w:abstractNumId w:val="18"/>
  </w:num>
  <w:num w:numId="14">
    <w:abstractNumId w:val="13"/>
  </w:num>
  <w:num w:numId="15">
    <w:abstractNumId w:val="1"/>
  </w:num>
  <w:num w:numId="16">
    <w:abstractNumId w:val="2"/>
  </w:num>
  <w:num w:numId="17">
    <w:abstractNumId w:val="16"/>
  </w:num>
  <w:num w:numId="18">
    <w:abstractNumId w:val="7"/>
  </w:num>
  <w:num w:numId="19">
    <w:abstractNumId w:val="4"/>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25"/>
    <w:rsid w:val="000522AB"/>
    <w:rsid w:val="00056EE0"/>
    <w:rsid w:val="000C1301"/>
    <w:rsid w:val="00107A59"/>
    <w:rsid w:val="001A7FE8"/>
    <w:rsid w:val="001D1D37"/>
    <w:rsid w:val="001D5AA7"/>
    <w:rsid w:val="001E2CD5"/>
    <w:rsid w:val="001F1A2E"/>
    <w:rsid w:val="001F51AC"/>
    <w:rsid w:val="00281ABA"/>
    <w:rsid w:val="0035738E"/>
    <w:rsid w:val="00376FA5"/>
    <w:rsid w:val="00377046"/>
    <w:rsid w:val="00383A7C"/>
    <w:rsid w:val="003C132D"/>
    <w:rsid w:val="00400C68"/>
    <w:rsid w:val="004538D3"/>
    <w:rsid w:val="00480136"/>
    <w:rsid w:val="00483B31"/>
    <w:rsid w:val="004A0F09"/>
    <w:rsid w:val="004B16B1"/>
    <w:rsid w:val="004B3E21"/>
    <w:rsid w:val="004D010D"/>
    <w:rsid w:val="00561C30"/>
    <w:rsid w:val="0057405B"/>
    <w:rsid w:val="00575AD9"/>
    <w:rsid w:val="00593D87"/>
    <w:rsid w:val="005A11A4"/>
    <w:rsid w:val="006F574A"/>
    <w:rsid w:val="007167F8"/>
    <w:rsid w:val="0084570A"/>
    <w:rsid w:val="0087729C"/>
    <w:rsid w:val="008B1DC8"/>
    <w:rsid w:val="008D765D"/>
    <w:rsid w:val="00953437"/>
    <w:rsid w:val="00957714"/>
    <w:rsid w:val="00A545E8"/>
    <w:rsid w:val="00B67DAB"/>
    <w:rsid w:val="00C3386E"/>
    <w:rsid w:val="00C43563"/>
    <w:rsid w:val="00D16DD3"/>
    <w:rsid w:val="00D957AE"/>
    <w:rsid w:val="00DA2376"/>
    <w:rsid w:val="00DB20C5"/>
    <w:rsid w:val="00E22006"/>
    <w:rsid w:val="00E26317"/>
    <w:rsid w:val="00E87825"/>
    <w:rsid w:val="00F250D8"/>
    <w:rsid w:val="00FC1E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7A0E"/>
  <w15:chartTrackingRefBased/>
  <w15:docId w15:val="{64ABDFED-D0A9-E346-98B0-4D0A6355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next w:val="Normal"/>
    <w:link w:val="Ttulo1Car"/>
    <w:autoRedefine/>
    <w:uiPriority w:val="9"/>
    <w:qFormat/>
    <w:rsid w:val="0084570A"/>
    <w:pPr>
      <w:keepNext/>
      <w:keepLines/>
      <w:spacing w:before="240" w:line="360" w:lineRule="auto"/>
      <w:jc w:val="center"/>
      <w:outlineLvl w:val="0"/>
    </w:pPr>
    <w:rPr>
      <w:rFonts w:ascii="Arial" w:eastAsiaTheme="majorEastAsia" w:hAnsi="Arial" w:cstheme="majorBidi"/>
      <w:b/>
      <w:szCs w:val="32"/>
      <w:lang w:val="es-CO"/>
    </w:rPr>
  </w:style>
  <w:style w:type="paragraph" w:styleId="Ttulo2">
    <w:name w:val="heading 2"/>
    <w:basedOn w:val="Normal"/>
    <w:next w:val="Normal"/>
    <w:link w:val="Ttulo2Car"/>
    <w:autoRedefine/>
    <w:uiPriority w:val="9"/>
    <w:unhideWhenUsed/>
    <w:qFormat/>
    <w:rsid w:val="0084570A"/>
    <w:pPr>
      <w:keepNext/>
      <w:keepLines/>
      <w:spacing w:before="40" w:line="360" w:lineRule="auto"/>
      <w:jc w:val="both"/>
      <w:outlineLvl w:val="1"/>
    </w:pPr>
    <w:rPr>
      <w:rFonts w:ascii="Arial" w:eastAsiaTheme="majorEastAsia" w:hAnsi="Arial" w:cstheme="majorBidi"/>
      <w:szCs w:val="26"/>
      <w:lang w:val="es-CO"/>
    </w:rPr>
  </w:style>
  <w:style w:type="paragraph" w:styleId="Ttulo3">
    <w:name w:val="heading 3"/>
    <w:basedOn w:val="Normal"/>
    <w:next w:val="Normal"/>
    <w:link w:val="Ttulo3Car"/>
    <w:autoRedefine/>
    <w:uiPriority w:val="9"/>
    <w:unhideWhenUsed/>
    <w:qFormat/>
    <w:rsid w:val="00B67DAB"/>
    <w:pPr>
      <w:keepNext/>
      <w:keepLines/>
      <w:spacing w:before="40" w:line="360" w:lineRule="auto"/>
      <w:jc w:val="both"/>
      <w:outlineLvl w:val="2"/>
    </w:pPr>
    <w:rPr>
      <w:rFonts w:ascii="Arial" w:eastAsiaTheme="majorEastAsia" w:hAnsi="Arial" w:cstheme="majorBidi"/>
      <w:b/>
      <w:lang w:val="es-CO"/>
    </w:rPr>
  </w:style>
  <w:style w:type="paragraph" w:styleId="Ttulo4">
    <w:name w:val="heading 4"/>
    <w:basedOn w:val="Normal"/>
    <w:next w:val="Normal"/>
    <w:link w:val="Ttulo4Car"/>
    <w:autoRedefine/>
    <w:uiPriority w:val="9"/>
    <w:unhideWhenUsed/>
    <w:qFormat/>
    <w:rsid w:val="00DA2376"/>
    <w:pPr>
      <w:keepNext/>
      <w:keepLines/>
      <w:widowControl w:val="0"/>
      <w:autoSpaceDE w:val="0"/>
      <w:autoSpaceDN w:val="0"/>
      <w:spacing w:before="40" w:line="360" w:lineRule="auto"/>
      <w:jc w:val="both"/>
      <w:outlineLvl w:val="3"/>
    </w:pPr>
    <w:rPr>
      <w:rFonts w:ascii="Arial" w:eastAsiaTheme="majorEastAsia" w:hAnsi="Arial" w:cstheme="majorBidi"/>
      <w:b/>
      <w:iCs/>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70A"/>
    <w:rPr>
      <w:rFonts w:ascii="Arial" w:eastAsiaTheme="majorEastAsia" w:hAnsi="Arial" w:cstheme="majorBidi"/>
      <w:b/>
      <w:szCs w:val="32"/>
    </w:rPr>
  </w:style>
  <w:style w:type="character" w:customStyle="1" w:styleId="Ttulo2Car">
    <w:name w:val="Título 2 Car"/>
    <w:basedOn w:val="Fuentedeprrafopredeter"/>
    <w:link w:val="Ttulo2"/>
    <w:uiPriority w:val="9"/>
    <w:rsid w:val="0084570A"/>
    <w:rPr>
      <w:rFonts w:ascii="Arial" w:eastAsiaTheme="majorEastAsia" w:hAnsi="Arial" w:cstheme="majorBidi"/>
      <w:szCs w:val="26"/>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B67DAB"/>
    <w:rPr>
      <w:rFonts w:ascii="Arial" w:eastAsiaTheme="majorEastAsia" w:hAnsi="Arial" w:cstheme="majorBidi"/>
      <w:b/>
    </w:rPr>
  </w:style>
  <w:style w:type="character" w:customStyle="1" w:styleId="Ttulo4Car">
    <w:name w:val="Título 4 Car"/>
    <w:basedOn w:val="Fuentedeprrafopredeter"/>
    <w:link w:val="Ttulo4"/>
    <w:uiPriority w:val="9"/>
    <w:rsid w:val="00DA2376"/>
    <w:rPr>
      <w:rFonts w:ascii="Arial" w:eastAsiaTheme="majorEastAsia" w:hAnsi="Arial" w:cstheme="majorBidi"/>
      <w:b/>
      <w:iCs/>
      <w:kern w:val="0"/>
      <w:sz w:val="22"/>
      <w:szCs w:val="22"/>
      <w:lang w:val="es-ES"/>
      <w14:ligatures w14:val="none"/>
    </w:rPr>
  </w:style>
  <w:style w:type="paragraph" w:styleId="Prrafodelista">
    <w:name w:val="List Paragraph"/>
    <w:basedOn w:val="Normal"/>
    <w:link w:val="PrrafodelistaCar"/>
    <w:autoRedefine/>
    <w:uiPriority w:val="34"/>
    <w:qFormat/>
    <w:rsid w:val="00E26317"/>
    <w:pPr>
      <w:ind w:left="720"/>
      <w:contextualSpacing/>
      <w:jc w:val="both"/>
    </w:pPr>
    <w:rPr>
      <w:rFonts w:ascii="Arial" w:eastAsiaTheme="minorEastAsia" w:hAnsi="Arial"/>
      <w:bCs/>
      <w:kern w:val="0"/>
      <w:sz w:val="22"/>
      <w:lang w:val="es-ES_tradnl" w:eastAsia="es-ES"/>
      <w14:ligatures w14:val="none"/>
    </w:rPr>
  </w:style>
  <w:style w:type="character" w:customStyle="1" w:styleId="PrrafodelistaCar">
    <w:name w:val="Párrafo de lista Car"/>
    <w:link w:val="Prrafodelista"/>
    <w:uiPriority w:val="34"/>
    <w:locked/>
    <w:rsid w:val="00E26317"/>
    <w:rPr>
      <w:rFonts w:ascii="Arial" w:eastAsiaTheme="minorEastAsia" w:hAnsi="Arial"/>
      <w:bCs/>
      <w:kern w:val="0"/>
      <w:sz w:val="22"/>
      <w:lang w:val="es-ES_tradnl" w:eastAsia="es-ES"/>
      <w14:ligatures w14:val="none"/>
    </w:rPr>
  </w:style>
  <w:style w:type="paragraph" w:styleId="NormalWeb">
    <w:name w:val="Normal (Web)"/>
    <w:basedOn w:val="Normal"/>
    <w:uiPriority w:val="99"/>
    <w:semiHidden/>
    <w:unhideWhenUsed/>
    <w:rsid w:val="006F574A"/>
    <w:pPr>
      <w:spacing w:before="100" w:beforeAutospacing="1" w:after="100" w:afterAutospacing="1"/>
    </w:pPr>
    <w:rPr>
      <w:rFonts w:ascii="Times New Roman" w:eastAsia="Times New Roman" w:hAnsi="Times New Roman" w:cs="Times New Roman"/>
      <w:kern w:val="0"/>
      <w:lang w:val="es-CO" w:eastAsia="es-MX"/>
      <w14:ligatures w14:val="none"/>
    </w:rPr>
  </w:style>
  <w:style w:type="character" w:styleId="nfasis">
    <w:name w:val="Emphasis"/>
    <w:basedOn w:val="Fuentedeprrafopredeter"/>
    <w:uiPriority w:val="20"/>
    <w:qFormat/>
    <w:rsid w:val="00480136"/>
    <w:rPr>
      <w:i/>
      <w:iCs/>
    </w:rPr>
  </w:style>
  <w:style w:type="character" w:styleId="Textoennegrita">
    <w:name w:val="Strong"/>
    <w:basedOn w:val="Fuentedeprrafopredeter"/>
    <w:uiPriority w:val="22"/>
    <w:qFormat/>
    <w:rsid w:val="004801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7078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asus</cp:lastModifiedBy>
  <cp:revision>2</cp:revision>
  <dcterms:created xsi:type="dcterms:W3CDTF">2024-02-01T19:51:00Z</dcterms:created>
  <dcterms:modified xsi:type="dcterms:W3CDTF">2024-02-01T19:51:00Z</dcterms:modified>
</cp:coreProperties>
</file>