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3F747" w14:textId="3A697491" w:rsidR="00AB7CA0" w:rsidRPr="00F20BA7" w:rsidRDefault="001C281E" w:rsidP="00C57A64">
      <w:pPr>
        <w:jc w:val="center"/>
        <w:rPr>
          <w:rFonts w:ascii="Arial" w:hAnsi="Arial" w:cs="Arial"/>
          <w:b/>
          <w:bCs/>
          <w:sz w:val="22"/>
          <w:szCs w:val="22"/>
        </w:rPr>
      </w:pPr>
      <w:r w:rsidRPr="00F20BA7">
        <w:rPr>
          <w:rFonts w:ascii="Arial" w:hAnsi="Arial" w:cs="Arial"/>
          <w:b/>
          <w:bCs/>
          <w:sz w:val="22"/>
          <w:szCs w:val="22"/>
        </w:rPr>
        <w:t>FORMATO PROCESO NUEVO – RESUMEN INICIAL</w:t>
      </w:r>
    </w:p>
    <w:p w14:paraId="7AA9A987" w14:textId="05731379" w:rsidR="00B977DA" w:rsidRPr="00F20BA7" w:rsidRDefault="00B977DA" w:rsidP="00C57A64">
      <w:pPr>
        <w:jc w:val="center"/>
        <w:rPr>
          <w:rFonts w:ascii="Arial" w:hAnsi="Arial" w:cs="Arial"/>
          <w:b/>
          <w:bCs/>
          <w:sz w:val="22"/>
          <w:szCs w:val="22"/>
        </w:rPr>
      </w:pPr>
      <w:r w:rsidRPr="00F20BA7">
        <w:rPr>
          <w:rFonts w:ascii="Arial" w:hAnsi="Arial" w:cs="Arial"/>
          <w:b/>
          <w:bCs/>
          <w:sz w:val="22"/>
          <w:szCs w:val="22"/>
        </w:rPr>
        <w:br/>
      </w:r>
    </w:p>
    <w:p w14:paraId="45A36DE7" w14:textId="0A118AF8" w:rsidR="00672B99" w:rsidRPr="00F20BA7" w:rsidRDefault="001C281E" w:rsidP="00B977DA">
      <w:pPr>
        <w:rPr>
          <w:rFonts w:ascii="Arial" w:hAnsi="Arial" w:cs="Arial"/>
          <w:sz w:val="22"/>
          <w:szCs w:val="22"/>
        </w:rPr>
      </w:pPr>
      <w:r w:rsidRPr="00F20BA7">
        <w:rPr>
          <w:rFonts w:ascii="Arial" w:hAnsi="Arial" w:cs="Arial"/>
          <w:b/>
          <w:bCs/>
          <w:sz w:val="22"/>
          <w:szCs w:val="22"/>
        </w:rPr>
        <w:t>Destina</w:t>
      </w:r>
      <w:r w:rsidR="00734BD8" w:rsidRPr="00F20BA7">
        <w:rPr>
          <w:rFonts w:ascii="Arial" w:hAnsi="Arial" w:cs="Arial"/>
          <w:b/>
          <w:bCs/>
          <w:sz w:val="22"/>
          <w:szCs w:val="22"/>
        </w:rPr>
        <w:t>ta</w:t>
      </w:r>
      <w:r w:rsidRPr="00F20BA7">
        <w:rPr>
          <w:rFonts w:ascii="Arial" w:hAnsi="Arial" w:cs="Arial"/>
          <w:b/>
          <w:bCs/>
          <w:sz w:val="22"/>
          <w:szCs w:val="22"/>
        </w:rPr>
        <w:t xml:space="preserve">rio: </w:t>
      </w:r>
      <w:r w:rsidRPr="00F20BA7">
        <w:rPr>
          <w:rFonts w:ascii="Arial" w:hAnsi="Arial" w:cs="Arial"/>
          <w:b/>
          <w:bCs/>
          <w:sz w:val="22"/>
          <w:szCs w:val="22"/>
        </w:rPr>
        <w:tab/>
      </w:r>
      <w:r w:rsidRPr="00F20BA7">
        <w:rPr>
          <w:rFonts w:ascii="Arial" w:hAnsi="Arial" w:cs="Arial"/>
          <w:b/>
          <w:bCs/>
          <w:sz w:val="22"/>
          <w:szCs w:val="22"/>
        </w:rPr>
        <w:tab/>
      </w:r>
      <w:r w:rsidR="000401A8" w:rsidRPr="00F20BA7">
        <w:rPr>
          <w:rFonts w:ascii="Arial" w:hAnsi="Arial" w:cs="Arial"/>
          <w:b/>
          <w:bCs/>
          <w:sz w:val="22"/>
          <w:szCs w:val="22"/>
        </w:rPr>
        <w:tab/>
      </w:r>
      <w:r w:rsidR="000401A8" w:rsidRPr="00F20BA7">
        <w:rPr>
          <w:rFonts w:ascii="Arial" w:hAnsi="Arial" w:cs="Arial"/>
          <w:b/>
          <w:bCs/>
          <w:sz w:val="22"/>
          <w:szCs w:val="22"/>
        </w:rPr>
        <w:tab/>
      </w:r>
      <w:r w:rsidRPr="00F20BA7">
        <w:rPr>
          <w:rFonts w:ascii="Arial" w:hAnsi="Arial" w:cs="Arial"/>
          <w:sz w:val="22"/>
          <w:szCs w:val="22"/>
        </w:rPr>
        <w:t xml:space="preserve">Dirección </w:t>
      </w:r>
      <w:r w:rsidR="00F94E43" w:rsidRPr="00F20BA7">
        <w:rPr>
          <w:rFonts w:ascii="Arial" w:hAnsi="Arial" w:cs="Arial"/>
          <w:sz w:val="22"/>
          <w:szCs w:val="22"/>
        </w:rPr>
        <w:t>Asuntos Legales</w:t>
      </w:r>
      <w:r w:rsidRPr="00F20BA7">
        <w:rPr>
          <w:rFonts w:ascii="Arial" w:hAnsi="Arial" w:cs="Arial"/>
          <w:sz w:val="22"/>
          <w:szCs w:val="22"/>
        </w:rPr>
        <w:t xml:space="preserve"> </w:t>
      </w:r>
      <w:r w:rsidR="004803E3" w:rsidRPr="00F20BA7">
        <w:rPr>
          <w:rFonts w:ascii="Arial" w:hAnsi="Arial" w:cs="Arial"/>
          <w:sz w:val="22"/>
          <w:szCs w:val="22"/>
        </w:rPr>
        <w:t xml:space="preserve">Occidente </w:t>
      </w:r>
    </w:p>
    <w:p w14:paraId="2B6C631D" w14:textId="61B407B1" w:rsidR="000401A8" w:rsidRPr="00F20BA7" w:rsidRDefault="000401A8" w:rsidP="00484071">
      <w:pPr>
        <w:rPr>
          <w:rFonts w:ascii="Arial" w:hAnsi="Arial" w:cs="Arial"/>
          <w:sz w:val="22"/>
          <w:szCs w:val="22"/>
        </w:rPr>
      </w:pPr>
      <w:r w:rsidRPr="00F20BA7">
        <w:rPr>
          <w:rFonts w:ascii="Arial" w:hAnsi="Arial" w:cs="Arial"/>
          <w:b/>
          <w:bCs/>
          <w:sz w:val="22"/>
          <w:szCs w:val="22"/>
        </w:rPr>
        <w:t>Abogado externo responsable:</w:t>
      </w:r>
      <w:r w:rsidRPr="00F20BA7">
        <w:rPr>
          <w:rFonts w:ascii="Arial" w:hAnsi="Arial" w:cs="Arial"/>
          <w:b/>
          <w:bCs/>
          <w:sz w:val="22"/>
          <w:szCs w:val="22"/>
        </w:rPr>
        <w:tab/>
      </w:r>
      <w:r w:rsidR="00522B60" w:rsidRPr="00F20BA7">
        <w:rPr>
          <w:rFonts w:ascii="Arial" w:hAnsi="Arial" w:cs="Arial"/>
          <w:iCs/>
          <w:sz w:val="22"/>
          <w:szCs w:val="22"/>
        </w:rPr>
        <w:t xml:space="preserve">Gustavo Alberto Herrera Ávila </w:t>
      </w:r>
    </w:p>
    <w:p w14:paraId="3A8F7659" w14:textId="77B1801D" w:rsidR="00672B99" w:rsidRPr="00F20BA7" w:rsidRDefault="00672B99" w:rsidP="00C57A64">
      <w:pPr>
        <w:rPr>
          <w:rFonts w:ascii="Arial" w:hAnsi="Arial" w:cs="Arial"/>
          <w:sz w:val="22"/>
          <w:szCs w:val="22"/>
        </w:rPr>
      </w:pPr>
    </w:p>
    <w:p w14:paraId="23433B3B" w14:textId="77777777" w:rsidR="00734BD8" w:rsidRPr="00F20BA7" w:rsidRDefault="00734BD8" w:rsidP="00C57A64">
      <w:pPr>
        <w:rPr>
          <w:rFonts w:ascii="Arial" w:hAnsi="Arial" w:cs="Arial"/>
          <w:sz w:val="22"/>
          <w:szCs w:val="22"/>
        </w:rPr>
      </w:pPr>
    </w:p>
    <w:p w14:paraId="40E0D8BA" w14:textId="501DD362" w:rsidR="00672B99" w:rsidRPr="00F20BA7" w:rsidRDefault="00247E08" w:rsidP="00C57A64">
      <w:pPr>
        <w:rPr>
          <w:rFonts w:ascii="Arial" w:hAnsi="Arial" w:cs="Arial"/>
          <w:b/>
          <w:bCs/>
          <w:sz w:val="22"/>
          <w:szCs w:val="22"/>
        </w:rPr>
      </w:pPr>
      <w:r w:rsidRPr="00F20BA7">
        <w:rPr>
          <w:rFonts w:ascii="Arial" w:hAnsi="Arial" w:cs="Arial"/>
          <w:b/>
          <w:bCs/>
          <w:sz w:val="22"/>
          <w:szCs w:val="22"/>
        </w:rPr>
        <w:t xml:space="preserve">Datos </w:t>
      </w:r>
      <w:r w:rsidR="00FF66F3" w:rsidRPr="00F20BA7">
        <w:rPr>
          <w:rFonts w:ascii="Arial" w:hAnsi="Arial" w:cs="Arial"/>
          <w:b/>
          <w:bCs/>
          <w:sz w:val="22"/>
          <w:szCs w:val="22"/>
        </w:rPr>
        <w:t>generales del</w:t>
      </w:r>
      <w:r w:rsidRPr="00F20BA7">
        <w:rPr>
          <w:rFonts w:ascii="Arial" w:hAnsi="Arial" w:cs="Arial"/>
          <w:b/>
          <w:bCs/>
          <w:sz w:val="22"/>
          <w:szCs w:val="22"/>
        </w:rPr>
        <w:t xml:space="preserve"> proceso</w:t>
      </w:r>
    </w:p>
    <w:p w14:paraId="509B5BEA" w14:textId="77777777" w:rsidR="00E028BD" w:rsidRPr="00F20BA7" w:rsidRDefault="00E028BD" w:rsidP="00E028BD">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F20BA7" w14:paraId="361F998D" w14:textId="77777777" w:rsidTr="008F3801">
        <w:trPr>
          <w:trHeight w:val="340"/>
        </w:trPr>
        <w:tc>
          <w:tcPr>
            <w:tcW w:w="2338" w:type="dxa"/>
            <w:shd w:val="clear" w:color="auto" w:fill="0033A0"/>
            <w:vAlign w:val="center"/>
          </w:tcPr>
          <w:p w14:paraId="39820FDF" w14:textId="2DE0FE6C" w:rsidR="00AB7CA0" w:rsidRPr="00F20BA7" w:rsidRDefault="006F1BB7" w:rsidP="00AF4F23">
            <w:pPr>
              <w:rPr>
                <w:rFonts w:ascii="Arial" w:hAnsi="Arial" w:cs="Arial"/>
                <w:b/>
                <w:sz w:val="22"/>
                <w:szCs w:val="22"/>
              </w:rPr>
            </w:pPr>
            <w:r w:rsidRPr="00F20BA7">
              <w:rPr>
                <w:rFonts w:ascii="Arial" w:hAnsi="Arial" w:cs="Arial"/>
                <w:b/>
                <w:sz w:val="22"/>
                <w:szCs w:val="22"/>
              </w:rPr>
              <w:t>Compañía vinculada</w:t>
            </w:r>
          </w:p>
        </w:tc>
        <w:tc>
          <w:tcPr>
            <w:tcW w:w="7512" w:type="dxa"/>
            <w:gridSpan w:val="3"/>
            <w:vAlign w:val="center"/>
          </w:tcPr>
          <w:p w14:paraId="4DA7B6E0" w14:textId="360C44D4" w:rsidR="00AB7CA0" w:rsidRPr="00F20BA7" w:rsidRDefault="00037812" w:rsidP="00B14936">
            <w:pPr>
              <w:pStyle w:val="Ttulo4"/>
              <w:rPr>
                <w:rFonts w:ascii="Arial" w:hAnsi="Arial" w:cs="Arial"/>
                <w:b w:val="0"/>
                <w:iCs/>
                <w:szCs w:val="22"/>
                <w:lang w:val="es-CO"/>
              </w:rPr>
            </w:pPr>
            <w:r w:rsidRPr="00F20BA7">
              <w:rPr>
                <w:rFonts w:ascii="Arial" w:hAnsi="Arial" w:cs="Arial"/>
                <w:b w:val="0"/>
                <w:iCs/>
                <w:szCs w:val="22"/>
                <w:lang w:val="es-CO"/>
              </w:rPr>
              <w:t xml:space="preserve">Seguros Generales Suramericana </w:t>
            </w:r>
            <w:r w:rsidR="00655F2D" w:rsidRPr="00F20BA7">
              <w:rPr>
                <w:rFonts w:ascii="Arial" w:hAnsi="Arial" w:cs="Arial"/>
                <w:b w:val="0"/>
                <w:iCs/>
                <w:szCs w:val="22"/>
                <w:lang w:val="es-CO"/>
              </w:rPr>
              <w:t>S.A.</w:t>
            </w:r>
          </w:p>
        </w:tc>
      </w:tr>
      <w:tr w:rsidR="00611F74" w:rsidRPr="00F20BA7" w14:paraId="1D5C2B9E" w14:textId="77777777" w:rsidTr="008F3801">
        <w:trPr>
          <w:trHeight w:val="340"/>
        </w:trPr>
        <w:tc>
          <w:tcPr>
            <w:tcW w:w="2338" w:type="dxa"/>
            <w:shd w:val="clear" w:color="auto" w:fill="0033A0"/>
            <w:vAlign w:val="center"/>
          </w:tcPr>
          <w:p w14:paraId="71926149" w14:textId="08884289" w:rsidR="00611F74" w:rsidRPr="00F20BA7" w:rsidRDefault="00611F74" w:rsidP="00AF4F23">
            <w:pPr>
              <w:rPr>
                <w:rFonts w:ascii="Arial" w:hAnsi="Arial" w:cs="Arial"/>
                <w:b/>
                <w:sz w:val="22"/>
                <w:szCs w:val="22"/>
              </w:rPr>
            </w:pPr>
            <w:r w:rsidRPr="00F20BA7">
              <w:rPr>
                <w:rFonts w:ascii="Arial" w:hAnsi="Arial" w:cs="Arial"/>
                <w:b/>
                <w:sz w:val="22"/>
                <w:szCs w:val="22"/>
              </w:rPr>
              <w:t>Tipo de vinculación</w:t>
            </w:r>
          </w:p>
        </w:tc>
        <w:tc>
          <w:tcPr>
            <w:tcW w:w="7512" w:type="dxa"/>
            <w:gridSpan w:val="3"/>
            <w:vAlign w:val="center"/>
          </w:tcPr>
          <w:p w14:paraId="17AB2FF9" w14:textId="678A7835" w:rsidR="00611F74" w:rsidRPr="00F20BA7" w:rsidRDefault="0016002E" w:rsidP="009534D1">
            <w:pPr>
              <w:pStyle w:val="Ttulo4"/>
              <w:rPr>
                <w:rFonts w:ascii="Arial" w:hAnsi="Arial" w:cs="Arial"/>
                <w:b w:val="0"/>
                <w:iCs/>
                <w:szCs w:val="22"/>
                <w:lang w:val="es-CO"/>
              </w:rPr>
            </w:pPr>
            <w:r w:rsidRPr="00F20BA7">
              <w:rPr>
                <w:rFonts w:ascii="Arial" w:hAnsi="Arial" w:cs="Arial"/>
                <w:b w:val="0"/>
                <w:iCs/>
                <w:szCs w:val="22"/>
                <w:lang w:val="es-CO"/>
              </w:rPr>
              <w:t>Llamado en garantía</w:t>
            </w:r>
          </w:p>
        </w:tc>
      </w:tr>
      <w:tr w:rsidR="00314784" w:rsidRPr="00F20BA7" w14:paraId="034F2DF5" w14:textId="77777777" w:rsidTr="008F3801">
        <w:trPr>
          <w:trHeight w:val="340"/>
        </w:trPr>
        <w:tc>
          <w:tcPr>
            <w:tcW w:w="2338" w:type="dxa"/>
            <w:shd w:val="clear" w:color="auto" w:fill="0033A0"/>
            <w:vAlign w:val="center"/>
          </w:tcPr>
          <w:p w14:paraId="75527875" w14:textId="0D08D2BA" w:rsidR="00314784" w:rsidRPr="00F20BA7" w:rsidRDefault="00314784" w:rsidP="00AF4F23">
            <w:pPr>
              <w:rPr>
                <w:rFonts w:ascii="Arial" w:hAnsi="Arial" w:cs="Arial"/>
                <w:b/>
                <w:sz w:val="22"/>
                <w:szCs w:val="22"/>
              </w:rPr>
            </w:pPr>
            <w:r w:rsidRPr="00F20BA7">
              <w:rPr>
                <w:rFonts w:ascii="Arial" w:hAnsi="Arial" w:cs="Arial"/>
                <w:b/>
                <w:sz w:val="22"/>
                <w:szCs w:val="22"/>
              </w:rPr>
              <w:t>Jurisdicción</w:t>
            </w:r>
          </w:p>
        </w:tc>
        <w:tc>
          <w:tcPr>
            <w:tcW w:w="3402" w:type="dxa"/>
            <w:vAlign w:val="center"/>
          </w:tcPr>
          <w:p w14:paraId="36469FA3" w14:textId="3D74F271" w:rsidR="00314784" w:rsidRPr="00F20BA7" w:rsidRDefault="00FF326C" w:rsidP="004B709D">
            <w:pPr>
              <w:jc w:val="both"/>
              <w:rPr>
                <w:rFonts w:ascii="Arial" w:hAnsi="Arial" w:cs="Arial"/>
                <w:iCs/>
                <w:sz w:val="22"/>
                <w:szCs w:val="22"/>
              </w:rPr>
            </w:pPr>
            <w:r w:rsidRPr="00F20BA7">
              <w:rPr>
                <w:rFonts w:ascii="Arial" w:hAnsi="Arial" w:cs="Arial"/>
                <w:iCs/>
                <w:sz w:val="22"/>
                <w:szCs w:val="22"/>
              </w:rPr>
              <w:t>Civil</w:t>
            </w:r>
          </w:p>
        </w:tc>
        <w:tc>
          <w:tcPr>
            <w:tcW w:w="1701" w:type="dxa"/>
            <w:tcBorders>
              <w:top w:val="single" w:sz="4" w:space="0" w:color="auto"/>
            </w:tcBorders>
            <w:shd w:val="clear" w:color="auto" w:fill="0033A0"/>
            <w:vAlign w:val="center"/>
          </w:tcPr>
          <w:p w14:paraId="4E66F66C" w14:textId="19E62604" w:rsidR="00314784" w:rsidRPr="00F20BA7" w:rsidRDefault="00FD7619" w:rsidP="00DE5A62">
            <w:pPr>
              <w:rPr>
                <w:rFonts w:ascii="Arial" w:hAnsi="Arial" w:cs="Arial"/>
                <w:b/>
                <w:sz w:val="22"/>
                <w:szCs w:val="22"/>
              </w:rPr>
            </w:pPr>
            <w:r w:rsidRPr="00F20BA7">
              <w:rPr>
                <w:rFonts w:ascii="Arial" w:hAnsi="Arial" w:cs="Arial"/>
                <w:b/>
                <w:sz w:val="22"/>
                <w:szCs w:val="22"/>
              </w:rPr>
              <w:t>Tipo de proceso</w:t>
            </w:r>
          </w:p>
        </w:tc>
        <w:tc>
          <w:tcPr>
            <w:tcW w:w="2409" w:type="dxa"/>
            <w:vAlign w:val="center"/>
          </w:tcPr>
          <w:p w14:paraId="77E41038" w14:textId="1B0FD8B7" w:rsidR="00314784" w:rsidRPr="00F20BA7" w:rsidRDefault="00037812" w:rsidP="0016002E">
            <w:pPr>
              <w:jc w:val="both"/>
              <w:rPr>
                <w:rFonts w:ascii="Arial" w:hAnsi="Arial" w:cs="Arial"/>
                <w:iCs/>
                <w:sz w:val="22"/>
                <w:szCs w:val="22"/>
              </w:rPr>
            </w:pPr>
            <w:r w:rsidRPr="00F20BA7">
              <w:rPr>
                <w:rFonts w:ascii="Arial" w:hAnsi="Arial" w:cs="Arial"/>
                <w:iCs/>
                <w:sz w:val="22"/>
                <w:szCs w:val="22"/>
              </w:rPr>
              <w:t xml:space="preserve">Responsabilidad Civil </w:t>
            </w:r>
            <w:r w:rsidR="0016002E" w:rsidRPr="00F20BA7">
              <w:rPr>
                <w:rFonts w:ascii="Arial" w:hAnsi="Arial" w:cs="Arial"/>
                <w:iCs/>
                <w:sz w:val="22"/>
                <w:szCs w:val="22"/>
              </w:rPr>
              <w:t>Médica</w:t>
            </w:r>
          </w:p>
        </w:tc>
      </w:tr>
      <w:tr w:rsidR="001C4AB7" w:rsidRPr="00F20BA7" w14:paraId="57977954" w14:textId="77777777" w:rsidTr="008F3801">
        <w:trPr>
          <w:trHeight w:val="340"/>
        </w:trPr>
        <w:tc>
          <w:tcPr>
            <w:tcW w:w="2338" w:type="dxa"/>
            <w:shd w:val="clear" w:color="auto" w:fill="0033A0"/>
            <w:vAlign w:val="center"/>
          </w:tcPr>
          <w:p w14:paraId="2D4749EF" w14:textId="01E5A1BD" w:rsidR="001C4AB7" w:rsidRPr="00F20BA7" w:rsidRDefault="001C4AB7" w:rsidP="00AF4F23">
            <w:pPr>
              <w:rPr>
                <w:rFonts w:ascii="Arial" w:hAnsi="Arial" w:cs="Arial"/>
                <w:b/>
                <w:sz w:val="22"/>
                <w:szCs w:val="22"/>
              </w:rPr>
            </w:pPr>
            <w:r w:rsidRPr="00F20BA7">
              <w:rPr>
                <w:rFonts w:ascii="Arial" w:hAnsi="Arial" w:cs="Arial"/>
                <w:b/>
                <w:sz w:val="22"/>
                <w:szCs w:val="22"/>
              </w:rPr>
              <w:t>Instancia</w:t>
            </w:r>
          </w:p>
        </w:tc>
        <w:tc>
          <w:tcPr>
            <w:tcW w:w="7512" w:type="dxa"/>
            <w:gridSpan w:val="3"/>
            <w:vAlign w:val="center"/>
          </w:tcPr>
          <w:p w14:paraId="22EC2015" w14:textId="4F1A5862" w:rsidR="001C4AB7" w:rsidRPr="00F20BA7" w:rsidRDefault="00037812" w:rsidP="00AF4F23">
            <w:pPr>
              <w:pStyle w:val="Ttulo4"/>
              <w:rPr>
                <w:rFonts w:ascii="Arial" w:hAnsi="Arial" w:cs="Arial"/>
                <w:b w:val="0"/>
                <w:iCs/>
                <w:szCs w:val="22"/>
                <w:lang w:val="es-CO"/>
              </w:rPr>
            </w:pPr>
            <w:r w:rsidRPr="00F20BA7">
              <w:rPr>
                <w:rFonts w:ascii="Arial" w:hAnsi="Arial" w:cs="Arial"/>
                <w:b w:val="0"/>
                <w:iCs/>
                <w:szCs w:val="22"/>
                <w:lang w:val="es-CO"/>
              </w:rPr>
              <w:t>Primera Instancia</w:t>
            </w:r>
          </w:p>
        </w:tc>
      </w:tr>
      <w:tr w:rsidR="00AB7CA0" w:rsidRPr="00F20BA7" w14:paraId="23C82D5B" w14:textId="77777777" w:rsidTr="008F3801">
        <w:trPr>
          <w:trHeight w:val="340"/>
        </w:trPr>
        <w:tc>
          <w:tcPr>
            <w:tcW w:w="2338" w:type="dxa"/>
            <w:shd w:val="clear" w:color="auto" w:fill="0033A0"/>
            <w:vAlign w:val="center"/>
          </w:tcPr>
          <w:p w14:paraId="69174905" w14:textId="6B29FFBA" w:rsidR="00AB7CA0" w:rsidRPr="00F20BA7" w:rsidRDefault="00AB7CA0" w:rsidP="00AF4F23">
            <w:pPr>
              <w:rPr>
                <w:rFonts w:ascii="Arial" w:hAnsi="Arial" w:cs="Arial"/>
                <w:b/>
                <w:sz w:val="22"/>
                <w:szCs w:val="22"/>
              </w:rPr>
            </w:pPr>
            <w:r w:rsidRPr="00F20BA7">
              <w:rPr>
                <w:rFonts w:ascii="Arial" w:hAnsi="Arial" w:cs="Arial"/>
                <w:b/>
                <w:sz w:val="22"/>
                <w:szCs w:val="22"/>
              </w:rPr>
              <w:t xml:space="preserve">Fecha de </w:t>
            </w:r>
            <w:r w:rsidR="00475D6D" w:rsidRPr="00F20BA7">
              <w:rPr>
                <w:rFonts w:ascii="Arial" w:hAnsi="Arial" w:cs="Arial"/>
                <w:b/>
                <w:sz w:val="22"/>
                <w:szCs w:val="22"/>
              </w:rPr>
              <w:t>notificación</w:t>
            </w:r>
          </w:p>
        </w:tc>
        <w:tc>
          <w:tcPr>
            <w:tcW w:w="7512" w:type="dxa"/>
            <w:gridSpan w:val="3"/>
            <w:vAlign w:val="center"/>
          </w:tcPr>
          <w:p w14:paraId="3D593EBA" w14:textId="3EA5921E" w:rsidR="00AB7CA0" w:rsidRPr="00F20BA7" w:rsidRDefault="00B468BC" w:rsidP="00337E0F">
            <w:pPr>
              <w:jc w:val="both"/>
              <w:rPr>
                <w:rFonts w:ascii="Arial" w:hAnsi="Arial" w:cs="Arial"/>
                <w:iCs/>
                <w:sz w:val="22"/>
                <w:szCs w:val="22"/>
              </w:rPr>
            </w:pPr>
            <w:r w:rsidRPr="00F20BA7">
              <w:rPr>
                <w:rFonts w:ascii="Arial" w:hAnsi="Arial" w:cs="Arial"/>
                <w:iCs/>
                <w:sz w:val="22"/>
                <w:szCs w:val="22"/>
              </w:rPr>
              <w:t>20 de octubre de 2023</w:t>
            </w:r>
          </w:p>
        </w:tc>
      </w:tr>
      <w:tr w:rsidR="001C4AB7" w:rsidRPr="00F20BA7" w14:paraId="3DB10669" w14:textId="77777777" w:rsidTr="008F3801">
        <w:trPr>
          <w:trHeight w:val="340"/>
        </w:trPr>
        <w:tc>
          <w:tcPr>
            <w:tcW w:w="2338" w:type="dxa"/>
            <w:shd w:val="clear" w:color="auto" w:fill="0033A0"/>
            <w:vAlign w:val="center"/>
          </w:tcPr>
          <w:p w14:paraId="184540C8" w14:textId="704D403B" w:rsidR="001C4AB7" w:rsidRPr="00F20BA7" w:rsidRDefault="001C4AB7" w:rsidP="00AF4F23">
            <w:pPr>
              <w:rPr>
                <w:rFonts w:ascii="Arial" w:hAnsi="Arial" w:cs="Arial"/>
                <w:b/>
                <w:sz w:val="22"/>
                <w:szCs w:val="22"/>
              </w:rPr>
            </w:pPr>
            <w:r w:rsidRPr="00F20BA7">
              <w:rPr>
                <w:rFonts w:ascii="Arial" w:hAnsi="Arial" w:cs="Arial"/>
                <w:b/>
                <w:sz w:val="22"/>
                <w:szCs w:val="22"/>
              </w:rPr>
              <w:t>Abogado demandante</w:t>
            </w:r>
          </w:p>
        </w:tc>
        <w:tc>
          <w:tcPr>
            <w:tcW w:w="3402" w:type="dxa"/>
            <w:vAlign w:val="center"/>
          </w:tcPr>
          <w:p w14:paraId="17CC82B4" w14:textId="482030BD" w:rsidR="001C4AB7" w:rsidRPr="00F20BA7" w:rsidRDefault="0016002E" w:rsidP="00AF4F23">
            <w:pPr>
              <w:jc w:val="both"/>
              <w:rPr>
                <w:rFonts w:ascii="Arial" w:hAnsi="Arial" w:cs="Arial"/>
                <w:iCs/>
                <w:sz w:val="22"/>
                <w:szCs w:val="22"/>
              </w:rPr>
            </w:pPr>
            <w:r w:rsidRPr="00F20BA7">
              <w:rPr>
                <w:rFonts w:ascii="Arial" w:hAnsi="Arial" w:cs="Arial"/>
                <w:iCs/>
                <w:sz w:val="22"/>
                <w:szCs w:val="22"/>
              </w:rPr>
              <w:t xml:space="preserve">Liliana Poveda Herrera </w:t>
            </w:r>
          </w:p>
        </w:tc>
        <w:tc>
          <w:tcPr>
            <w:tcW w:w="1701" w:type="dxa"/>
            <w:shd w:val="clear" w:color="auto" w:fill="0033A0"/>
            <w:vAlign w:val="center"/>
          </w:tcPr>
          <w:p w14:paraId="1BBF04FD" w14:textId="14BBB21D" w:rsidR="001C4AB7" w:rsidRPr="00F20BA7" w:rsidRDefault="001C4AB7" w:rsidP="00AF4F23">
            <w:pPr>
              <w:jc w:val="both"/>
              <w:rPr>
                <w:rFonts w:ascii="Arial" w:hAnsi="Arial" w:cs="Arial"/>
                <w:b/>
                <w:bCs/>
                <w:sz w:val="22"/>
                <w:szCs w:val="22"/>
              </w:rPr>
            </w:pPr>
            <w:r w:rsidRPr="00F20BA7">
              <w:rPr>
                <w:rFonts w:ascii="Arial" w:hAnsi="Arial" w:cs="Arial"/>
                <w:b/>
                <w:bCs/>
                <w:sz w:val="22"/>
                <w:szCs w:val="22"/>
              </w:rPr>
              <w:t>Identificación</w:t>
            </w:r>
          </w:p>
        </w:tc>
        <w:tc>
          <w:tcPr>
            <w:tcW w:w="2409" w:type="dxa"/>
            <w:vAlign w:val="center"/>
          </w:tcPr>
          <w:p w14:paraId="5F3D8D76" w14:textId="3C1C363F" w:rsidR="00037812" w:rsidRPr="00F20BA7" w:rsidRDefault="00037812" w:rsidP="00037812">
            <w:pPr>
              <w:jc w:val="both"/>
              <w:rPr>
                <w:rFonts w:ascii="Arial" w:hAnsi="Arial" w:cs="Arial"/>
                <w:iCs/>
                <w:sz w:val="22"/>
                <w:szCs w:val="22"/>
              </w:rPr>
            </w:pPr>
            <w:r w:rsidRPr="00F20BA7">
              <w:rPr>
                <w:rFonts w:ascii="Arial" w:hAnsi="Arial" w:cs="Arial"/>
                <w:iCs/>
                <w:sz w:val="22"/>
                <w:szCs w:val="22"/>
              </w:rPr>
              <w:t>Cédula No. 6</w:t>
            </w:r>
            <w:r w:rsidR="0016002E" w:rsidRPr="00F20BA7">
              <w:rPr>
                <w:rFonts w:ascii="Arial" w:hAnsi="Arial" w:cs="Arial"/>
                <w:iCs/>
                <w:sz w:val="22"/>
                <w:szCs w:val="22"/>
              </w:rPr>
              <w:t>6.810.652</w:t>
            </w:r>
          </w:p>
          <w:p w14:paraId="33D2EBE9" w14:textId="5832EB99" w:rsidR="001C4AB7" w:rsidRPr="00F20BA7" w:rsidRDefault="0016002E" w:rsidP="0016002E">
            <w:pPr>
              <w:jc w:val="both"/>
              <w:rPr>
                <w:rFonts w:ascii="Arial" w:hAnsi="Arial" w:cs="Arial"/>
                <w:iCs/>
                <w:sz w:val="22"/>
                <w:szCs w:val="22"/>
              </w:rPr>
            </w:pPr>
            <w:r w:rsidRPr="00F20BA7">
              <w:rPr>
                <w:rFonts w:ascii="Arial" w:hAnsi="Arial" w:cs="Arial"/>
                <w:iCs/>
                <w:sz w:val="22"/>
                <w:szCs w:val="22"/>
              </w:rPr>
              <w:t>T.P. No. 84</w:t>
            </w:r>
            <w:r w:rsidR="00037812" w:rsidRPr="00F20BA7">
              <w:rPr>
                <w:rFonts w:ascii="Arial" w:hAnsi="Arial" w:cs="Arial"/>
                <w:iCs/>
                <w:sz w:val="22"/>
                <w:szCs w:val="22"/>
              </w:rPr>
              <w:t>.</w:t>
            </w:r>
            <w:r w:rsidRPr="00F20BA7">
              <w:rPr>
                <w:rFonts w:ascii="Arial" w:hAnsi="Arial" w:cs="Arial"/>
                <w:iCs/>
                <w:sz w:val="22"/>
                <w:szCs w:val="22"/>
              </w:rPr>
              <w:t>785</w:t>
            </w:r>
          </w:p>
        </w:tc>
      </w:tr>
    </w:tbl>
    <w:p w14:paraId="4D702E80" w14:textId="77777777" w:rsidR="009E7D3B" w:rsidRPr="00F20BA7" w:rsidRDefault="009E7D3B" w:rsidP="00D06467">
      <w:pPr>
        <w:rPr>
          <w:rFonts w:ascii="Arial" w:hAnsi="Arial" w:cs="Arial"/>
          <w:b/>
          <w:sz w:val="22"/>
          <w:szCs w:val="22"/>
          <w:u w:val="single"/>
        </w:rPr>
      </w:pPr>
    </w:p>
    <w:p w14:paraId="168B2FE3" w14:textId="77777777" w:rsidR="00734BD8" w:rsidRPr="00F20BA7" w:rsidRDefault="00734BD8" w:rsidP="00D06467">
      <w:pPr>
        <w:rPr>
          <w:rFonts w:ascii="Arial" w:hAnsi="Arial" w:cs="Arial"/>
          <w:b/>
          <w:sz w:val="22"/>
          <w:szCs w:val="22"/>
        </w:rPr>
      </w:pPr>
    </w:p>
    <w:p w14:paraId="27A8C1F6" w14:textId="2A40E483" w:rsidR="00FF66F3" w:rsidRPr="00F20BA7" w:rsidRDefault="007B6543" w:rsidP="00D06467">
      <w:pPr>
        <w:rPr>
          <w:rFonts w:ascii="Arial" w:hAnsi="Arial" w:cs="Arial"/>
          <w:b/>
          <w:sz w:val="22"/>
          <w:szCs w:val="22"/>
        </w:rPr>
      </w:pPr>
      <w:r w:rsidRPr="00F20BA7">
        <w:rPr>
          <w:rFonts w:ascii="Arial" w:hAnsi="Arial" w:cs="Arial"/>
          <w:b/>
          <w:sz w:val="22"/>
          <w:szCs w:val="22"/>
        </w:rPr>
        <w:t>Seguro</w:t>
      </w:r>
      <w:r w:rsidR="00FF66F3" w:rsidRPr="00F20BA7">
        <w:rPr>
          <w:rFonts w:ascii="Arial" w:hAnsi="Arial" w:cs="Arial"/>
          <w:b/>
          <w:sz w:val="22"/>
          <w:szCs w:val="22"/>
        </w:rPr>
        <w:t xml:space="preserve"> afectad</w:t>
      </w:r>
      <w:r w:rsidRPr="00F20BA7">
        <w:rPr>
          <w:rFonts w:ascii="Arial" w:hAnsi="Arial" w:cs="Arial"/>
          <w:b/>
          <w:sz w:val="22"/>
          <w:szCs w:val="22"/>
        </w:rPr>
        <w:t>o</w:t>
      </w:r>
    </w:p>
    <w:p w14:paraId="4F9AC8BF" w14:textId="0014293F" w:rsidR="00FF66F3" w:rsidRPr="00F20BA7" w:rsidRDefault="00FF66F3" w:rsidP="00D06467">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F20BA7" w14:paraId="22179AB8" w14:textId="77777777" w:rsidTr="008F3801">
        <w:trPr>
          <w:trHeight w:val="340"/>
        </w:trPr>
        <w:tc>
          <w:tcPr>
            <w:tcW w:w="2353" w:type="dxa"/>
            <w:shd w:val="clear" w:color="auto" w:fill="0033A0"/>
            <w:vAlign w:val="center"/>
          </w:tcPr>
          <w:p w14:paraId="01016211" w14:textId="6458D9D1" w:rsidR="007B6543" w:rsidRPr="00F20BA7" w:rsidRDefault="007B6543" w:rsidP="00F2776B">
            <w:pPr>
              <w:jc w:val="both"/>
              <w:rPr>
                <w:rFonts w:ascii="Arial" w:hAnsi="Arial" w:cs="Arial"/>
                <w:b/>
                <w:sz w:val="22"/>
                <w:szCs w:val="22"/>
              </w:rPr>
            </w:pPr>
            <w:r w:rsidRPr="00F20BA7">
              <w:rPr>
                <w:rFonts w:ascii="Arial" w:hAnsi="Arial" w:cs="Arial"/>
                <w:b/>
                <w:sz w:val="22"/>
                <w:szCs w:val="22"/>
              </w:rPr>
              <w:t>Asegurado / afiliado</w:t>
            </w:r>
          </w:p>
        </w:tc>
        <w:tc>
          <w:tcPr>
            <w:tcW w:w="3386" w:type="dxa"/>
            <w:vAlign w:val="center"/>
          </w:tcPr>
          <w:p w14:paraId="2F24F64D" w14:textId="496A77F7" w:rsidR="004B709D" w:rsidRPr="00F20BA7" w:rsidRDefault="00B41F9E" w:rsidP="00407B3B">
            <w:pPr>
              <w:jc w:val="both"/>
              <w:rPr>
                <w:rFonts w:ascii="Arial" w:hAnsi="Arial" w:cs="Arial"/>
                <w:iCs/>
                <w:sz w:val="22"/>
                <w:szCs w:val="22"/>
              </w:rPr>
            </w:pPr>
            <w:r w:rsidRPr="00F20BA7">
              <w:rPr>
                <w:rFonts w:ascii="Arial" w:hAnsi="Arial" w:cs="Arial"/>
                <w:bCs/>
                <w:sz w:val="22"/>
                <w:szCs w:val="22"/>
              </w:rPr>
              <w:t>Clínica de Occidente S.A.</w:t>
            </w:r>
          </w:p>
        </w:tc>
        <w:tc>
          <w:tcPr>
            <w:tcW w:w="1702" w:type="dxa"/>
            <w:shd w:val="clear" w:color="auto" w:fill="0033A0"/>
            <w:vAlign w:val="center"/>
          </w:tcPr>
          <w:p w14:paraId="3809BB4B" w14:textId="2BAD8CE6" w:rsidR="007B6543" w:rsidRPr="00F20BA7" w:rsidRDefault="007B6543" w:rsidP="00F2776B">
            <w:pPr>
              <w:jc w:val="both"/>
              <w:rPr>
                <w:rFonts w:ascii="Arial" w:hAnsi="Arial" w:cs="Arial"/>
                <w:b/>
                <w:sz w:val="22"/>
                <w:szCs w:val="22"/>
              </w:rPr>
            </w:pPr>
            <w:r w:rsidRPr="00F20BA7">
              <w:rPr>
                <w:rFonts w:ascii="Arial" w:hAnsi="Arial" w:cs="Arial"/>
                <w:b/>
                <w:bCs/>
                <w:sz w:val="22"/>
                <w:szCs w:val="22"/>
              </w:rPr>
              <w:t>Identificación</w:t>
            </w:r>
          </w:p>
        </w:tc>
        <w:tc>
          <w:tcPr>
            <w:tcW w:w="2408" w:type="dxa"/>
            <w:gridSpan w:val="2"/>
            <w:vAlign w:val="center"/>
          </w:tcPr>
          <w:p w14:paraId="2D1BE471" w14:textId="72232F78" w:rsidR="004B709D" w:rsidRPr="00F20BA7" w:rsidRDefault="00B41F9E" w:rsidP="00407B3B">
            <w:pPr>
              <w:jc w:val="both"/>
              <w:rPr>
                <w:rFonts w:ascii="Arial" w:hAnsi="Arial" w:cs="Arial"/>
                <w:iCs/>
                <w:sz w:val="22"/>
                <w:szCs w:val="22"/>
              </w:rPr>
            </w:pPr>
            <w:r w:rsidRPr="00F20BA7">
              <w:rPr>
                <w:rFonts w:ascii="Arial" w:hAnsi="Arial" w:cs="Arial"/>
                <w:iCs/>
                <w:sz w:val="22"/>
                <w:szCs w:val="22"/>
              </w:rPr>
              <w:t>890.300.513-3</w:t>
            </w:r>
          </w:p>
        </w:tc>
      </w:tr>
      <w:tr w:rsidR="00FF66F3" w:rsidRPr="00F20BA7" w14:paraId="1184BD96" w14:textId="77777777" w:rsidTr="008F3801">
        <w:trPr>
          <w:trHeight w:val="340"/>
        </w:trPr>
        <w:tc>
          <w:tcPr>
            <w:tcW w:w="2353" w:type="dxa"/>
            <w:shd w:val="clear" w:color="auto" w:fill="0033A0"/>
            <w:vAlign w:val="center"/>
          </w:tcPr>
          <w:p w14:paraId="21AAE966" w14:textId="1C6A7B98" w:rsidR="00FF66F3" w:rsidRPr="00F20BA7" w:rsidRDefault="00703C75" w:rsidP="00F2776B">
            <w:pPr>
              <w:jc w:val="both"/>
              <w:rPr>
                <w:rFonts w:ascii="Arial" w:hAnsi="Arial" w:cs="Arial"/>
                <w:b/>
                <w:sz w:val="22"/>
                <w:szCs w:val="22"/>
              </w:rPr>
            </w:pPr>
            <w:r w:rsidRPr="00F20BA7">
              <w:rPr>
                <w:rFonts w:ascii="Arial" w:hAnsi="Arial" w:cs="Arial"/>
                <w:b/>
                <w:sz w:val="22"/>
                <w:szCs w:val="22"/>
              </w:rPr>
              <w:t xml:space="preserve">Fecha </w:t>
            </w:r>
            <w:r w:rsidR="003E59C2" w:rsidRPr="00F20BA7">
              <w:rPr>
                <w:rFonts w:ascii="Arial" w:hAnsi="Arial" w:cs="Arial"/>
                <w:b/>
                <w:sz w:val="22"/>
                <w:szCs w:val="22"/>
              </w:rPr>
              <w:t>del siniestro</w:t>
            </w:r>
          </w:p>
        </w:tc>
        <w:tc>
          <w:tcPr>
            <w:tcW w:w="7496" w:type="dxa"/>
            <w:gridSpan w:val="4"/>
            <w:vAlign w:val="center"/>
          </w:tcPr>
          <w:p w14:paraId="34C8AC3F" w14:textId="17188706" w:rsidR="00484071" w:rsidRPr="00F20BA7" w:rsidRDefault="002C06F6" w:rsidP="00B41F9E">
            <w:pPr>
              <w:jc w:val="both"/>
              <w:rPr>
                <w:rFonts w:ascii="Arial" w:hAnsi="Arial" w:cs="Arial"/>
                <w:iCs/>
                <w:sz w:val="22"/>
                <w:szCs w:val="22"/>
              </w:rPr>
            </w:pPr>
            <w:r w:rsidRPr="00F20BA7">
              <w:rPr>
                <w:rFonts w:ascii="Arial" w:hAnsi="Arial" w:cs="Arial"/>
                <w:iCs/>
                <w:sz w:val="22"/>
                <w:szCs w:val="22"/>
              </w:rPr>
              <w:t>A partir del 21 de febrero de 2019</w:t>
            </w:r>
          </w:p>
        </w:tc>
      </w:tr>
      <w:tr w:rsidR="007B6543" w:rsidRPr="00F20BA7" w14:paraId="1BAC1C46" w14:textId="77777777" w:rsidTr="008F3801">
        <w:trPr>
          <w:trHeight w:val="292"/>
        </w:trPr>
        <w:tc>
          <w:tcPr>
            <w:tcW w:w="2353" w:type="dxa"/>
            <w:shd w:val="clear" w:color="auto" w:fill="0033A0"/>
            <w:vAlign w:val="center"/>
          </w:tcPr>
          <w:p w14:paraId="7E9757C0" w14:textId="7568D394" w:rsidR="007B6543" w:rsidRPr="00F20BA7" w:rsidRDefault="007B6543" w:rsidP="00F2776B">
            <w:pPr>
              <w:rPr>
                <w:rFonts w:ascii="Arial" w:hAnsi="Arial" w:cs="Arial"/>
                <w:b/>
                <w:sz w:val="22"/>
                <w:szCs w:val="22"/>
              </w:rPr>
            </w:pPr>
            <w:r w:rsidRPr="00F20BA7">
              <w:rPr>
                <w:rFonts w:ascii="Arial" w:hAnsi="Arial" w:cs="Arial"/>
                <w:b/>
                <w:sz w:val="22"/>
                <w:szCs w:val="22"/>
              </w:rPr>
              <w:t>Nro. póliza afectada</w:t>
            </w:r>
          </w:p>
        </w:tc>
        <w:tc>
          <w:tcPr>
            <w:tcW w:w="3386" w:type="dxa"/>
            <w:vAlign w:val="center"/>
          </w:tcPr>
          <w:p w14:paraId="0F0E4D36" w14:textId="0A66CC02" w:rsidR="00C26408" w:rsidRPr="00F20BA7" w:rsidRDefault="00B41F9E" w:rsidP="00FF326C">
            <w:pPr>
              <w:jc w:val="both"/>
              <w:rPr>
                <w:rFonts w:ascii="Arial" w:hAnsi="Arial" w:cs="Arial"/>
                <w:sz w:val="22"/>
                <w:szCs w:val="22"/>
              </w:rPr>
            </w:pPr>
            <w:r w:rsidRPr="00F20BA7">
              <w:rPr>
                <w:rFonts w:ascii="Arial" w:hAnsi="Arial" w:cs="Arial"/>
                <w:sz w:val="22"/>
                <w:szCs w:val="22"/>
              </w:rPr>
              <w:t>721814</w:t>
            </w:r>
          </w:p>
        </w:tc>
        <w:tc>
          <w:tcPr>
            <w:tcW w:w="1702" w:type="dxa"/>
            <w:shd w:val="clear" w:color="auto" w:fill="0033A0"/>
            <w:vAlign w:val="center"/>
          </w:tcPr>
          <w:p w14:paraId="5E464232" w14:textId="5615B8FD" w:rsidR="007B6543" w:rsidRPr="00F20BA7" w:rsidRDefault="00212C67" w:rsidP="00F2776B">
            <w:pPr>
              <w:autoSpaceDE w:val="0"/>
              <w:autoSpaceDN w:val="0"/>
              <w:adjustRightInd w:val="0"/>
              <w:jc w:val="both"/>
              <w:rPr>
                <w:rFonts w:ascii="Arial" w:hAnsi="Arial" w:cs="Arial"/>
                <w:b/>
                <w:sz w:val="22"/>
                <w:szCs w:val="22"/>
              </w:rPr>
            </w:pPr>
            <w:r w:rsidRPr="00F20BA7">
              <w:rPr>
                <w:rFonts w:ascii="Arial" w:hAnsi="Arial" w:cs="Arial"/>
                <w:b/>
                <w:sz w:val="22"/>
                <w:szCs w:val="22"/>
              </w:rPr>
              <w:t>Ramo</w:t>
            </w:r>
          </w:p>
        </w:tc>
        <w:tc>
          <w:tcPr>
            <w:tcW w:w="2408" w:type="dxa"/>
            <w:gridSpan w:val="2"/>
            <w:vAlign w:val="center"/>
          </w:tcPr>
          <w:p w14:paraId="486667E2" w14:textId="3FE1F455" w:rsidR="00C26408" w:rsidRPr="00F20BA7" w:rsidRDefault="002C06F6" w:rsidP="00FF326C">
            <w:pPr>
              <w:jc w:val="both"/>
              <w:rPr>
                <w:rFonts w:ascii="Arial" w:hAnsi="Arial" w:cs="Arial"/>
                <w:bCs/>
                <w:iCs/>
                <w:sz w:val="22"/>
                <w:szCs w:val="22"/>
              </w:rPr>
            </w:pPr>
            <w:r w:rsidRPr="00F20BA7">
              <w:rPr>
                <w:rFonts w:ascii="Arial" w:hAnsi="Arial" w:cs="Arial"/>
                <w:bCs/>
                <w:iCs/>
                <w:sz w:val="22"/>
                <w:szCs w:val="22"/>
              </w:rPr>
              <w:t>013</w:t>
            </w:r>
          </w:p>
        </w:tc>
      </w:tr>
      <w:tr w:rsidR="0001168F" w:rsidRPr="00F20BA7" w14:paraId="4EF15043" w14:textId="77777777" w:rsidTr="008F3801">
        <w:trPr>
          <w:cantSplit/>
          <w:trHeight w:val="340"/>
        </w:trPr>
        <w:tc>
          <w:tcPr>
            <w:tcW w:w="2353" w:type="dxa"/>
            <w:shd w:val="clear" w:color="auto" w:fill="0033A0"/>
            <w:vAlign w:val="center"/>
          </w:tcPr>
          <w:p w14:paraId="34C574BC" w14:textId="15D93DCE" w:rsidR="00FF66F3" w:rsidRPr="00F20BA7" w:rsidRDefault="00212C67" w:rsidP="00F2776B">
            <w:pPr>
              <w:rPr>
                <w:rFonts w:ascii="Arial" w:hAnsi="Arial" w:cs="Arial"/>
                <w:b/>
                <w:sz w:val="22"/>
                <w:szCs w:val="22"/>
              </w:rPr>
            </w:pPr>
            <w:r w:rsidRPr="00F20BA7">
              <w:rPr>
                <w:rFonts w:ascii="Arial" w:hAnsi="Arial" w:cs="Arial"/>
                <w:b/>
                <w:sz w:val="22"/>
                <w:szCs w:val="22"/>
              </w:rPr>
              <w:t>Vigencia</w:t>
            </w:r>
            <w:r w:rsidR="009572C0" w:rsidRPr="00F20BA7">
              <w:rPr>
                <w:rFonts w:ascii="Arial" w:hAnsi="Arial" w:cs="Arial"/>
                <w:b/>
                <w:sz w:val="22"/>
                <w:szCs w:val="22"/>
              </w:rPr>
              <w:t xml:space="preserve"> afectada</w:t>
            </w:r>
          </w:p>
        </w:tc>
        <w:tc>
          <w:tcPr>
            <w:tcW w:w="7496" w:type="dxa"/>
            <w:gridSpan w:val="4"/>
            <w:vAlign w:val="center"/>
          </w:tcPr>
          <w:p w14:paraId="161C18D5" w14:textId="31B51AA6" w:rsidR="00C26408" w:rsidRPr="00F20BA7" w:rsidRDefault="00B41F9E" w:rsidP="00B41F9E">
            <w:pPr>
              <w:jc w:val="both"/>
              <w:rPr>
                <w:rFonts w:ascii="Arial" w:hAnsi="Arial" w:cs="Arial"/>
                <w:bCs/>
                <w:iCs/>
                <w:sz w:val="22"/>
                <w:szCs w:val="22"/>
              </w:rPr>
            </w:pPr>
            <w:r w:rsidRPr="00F20BA7">
              <w:rPr>
                <w:rFonts w:ascii="Arial" w:hAnsi="Arial" w:cs="Arial"/>
                <w:bCs/>
                <w:iCs/>
                <w:sz w:val="22"/>
                <w:szCs w:val="22"/>
              </w:rPr>
              <w:t>30</w:t>
            </w:r>
            <w:r w:rsidR="00E24B49" w:rsidRPr="00F20BA7">
              <w:rPr>
                <w:rFonts w:ascii="Arial" w:hAnsi="Arial" w:cs="Arial"/>
                <w:bCs/>
                <w:iCs/>
                <w:sz w:val="22"/>
                <w:szCs w:val="22"/>
              </w:rPr>
              <w:t xml:space="preserve"> de </w:t>
            </w:r>
            <w:r w:rsidRPr="00F20BA7">
              <w:rPr>
                <w:rFonts w:ascii="Arial" w:hAnsi="Arial" w:cs="Arial"/>
                <w:bCs/>
                <w:iCs/>
                <w:sz w:val="22"/>
                <w:szCs w:val="22"/>
              </w:rPr>
              <w:t>septiembre de 2020 al 30</w:t>
            </w:r>
            <w:r w:rsidR="00E24B49" w:rsidRPr="00F20BA7">
              <w:rPr>
                <w:rFonts w:ascii="Arial" w:hAnsi="Arial" w:cs="Arial"/>
                <w:bCs/>
                <w:iCs/>
                <w:sz w:val="22"/>
                <w:szCs w:val="22"/>
              </w:rPr>
              <w:t xml:space="preserve"> de </w:t>
            </w:r>
            <w:r w:rsidRPr="00F20BA7">
              <w:rPr>
                <w:rFonts w:ascii="Arial" w:hAnsi="Arial" w:cs="Arial"/>
                <w:bCs/>
                <w:iCs/>
                <w:sz w:val="22"/>
                <w:szCs w:val="22"/>
              </w:rPr>
              <w:t>septiembre</w:t>
            </w:r>
            <w:r w:rsidR="00E24B49" w:rsidRPr="00F20BA7">
              <w:rPr>
                <w:rFonts w:ascii="Arial" w:hAnsi="Arial" w:cs="Arial"/>
                <w:bCs/>
                <w:iCs/>
                <w:sz w:val="22"/>
                <w:szCs w:val="22"/>
              </w:rPr>
              <w:t xml:space="preserve"> </w:t>
            </w:r>
            <w:r w:rsidRPr="00F20BA7">
              <w:rPr>
                <w:rFonts w:ascii="Arial" w:hAnsi="Arial" w:cs="Arial"/>
                <w:bCs/>
                <w:iCs/>
                <w:sz w:val="22"/>
                <w:szCs w:val="22"/>
              </w:rPr>
              <w:t>de 2021</w:t>
            </w:r>
          </w:p>
        </w:tc>
      </w:tr>
      <w:tr w:rsidR="00A70A97" w:rsidRPr="00F20BA7" w14:paraId="25047409" w14:textId="77777777" w:rsidTr="008F3801">
        <w:trPr>
          <w:cantSplit/>
          <w:trHeight w:val="340"/>
        </w:trPr>
        <w:tc>
          <w:tcPr>
            <w:tcW w:w="2353" w:type="dxa"/>
            <w:shd w:val="clear" w:color="auto" w:fill="0033A0"/>
            <w:vAlign w:val="center"/>
          </w:tcPr>
          <w:p w14:paraId="1AA0EC9D" w14:textId="77777777" w:rsidR="00A70A97" w:rsidRPr="00F20BA7" w:rsidRDefault="00A70A97" w:rsidP="00F2776B">
            <w:pPr>
              <w:rPr>
                <w:rFonts w:ascii="Arial" w:hAnsi="Arial" w:cs="Arial"/>
                <w:b/>
                <w:sz w:val="22"/>
                <w:szCs w:val="22"/>
              </w:rPr>
            </w:pPr>
            <w:r w:rsidRPr="00F20BA7">
              <w:rPr>
                <w:rFonts w:ascii="Arial" w:hAnsi="Arial" w:cs="Arial"/>
                <w:b/>
                <w:sz w:val="22"/>
                <w:szCs w:val="22"/>
              </w:rPr>
              <w:t>Valor Asegurado</w:t>
            </w:r>
          </w:p>
        </w:tc>
        <w:tc>
          <w:tcPr>
            <w:tcW w:w="3386" w:type="dxa"/>
            <w:vAlign w:val="center"/>
          </w:tcPr>
          <w:p w14:paraId="1E069347" w14:textId="3607EC20" w:rsidR="00C26408" w:rsidRPr="00F20BA7" w:rsidRDefault="00B41F9E" w:rsidP="00FF326C">
            <w:pPr>
              <w:autoSpaceDE w:val="0"/>
              <w:autoSpaceDN w:val="0"/>
              <w:adjustRightInd w:val="0"/>
              <w:rPr>
                <w:rFonts w:ascii="Arial" w:hAnsi="Arial" w:cs="Arial"/>
                <w:bCs/>
                <w:sz w:val="22"/>
                <w:szCs w:val="22"/>
              </w:rPr>
            </w:pPr>
            <w:r w:rsidRPr="00F20BA7">
              <w:rPr>
                <w:rFonts w:ascii="Arial" w:hAnsi="Arial" w:cs="Arial"/>
                <w:bCs/>
                <w:sz w:val="22"/>
                <w:szCs w:val="22"/>
              </w:rPr>
              <w:t>$</w:t>
            </w:r>
            <w:r w:rsidR="00F44E98" w:rsidRPr="00F20BA7">
              <w:rPr>
                <w:rFonts w:ascii="Arial" w:hAnsi="Arial" w:cs="Arial"/>
                <w:bCs/>
                <w:sz w:val="22"/>
                <w:szCs w:val="22"/>
              </w:rPr>
              <w:t xml:space="preserve"> </w:t>
            </w:r>
            <w:r w:rsidRPr="00F20BA7">
              <w:rPr>
                <w:rFonts w:ascii="Arial" w:hAnsi="Arial" w:cs="Arial"/>
                <w:bCs/>
                <w:sz w:val="22"/>
                <w:szCs w:val="22"/>
              </w:rPr>
              <w:t>1.500.000.000</w:t>
            </w:r>
          </w:p>
        </w:tc>
        <w:tc>
          <w:tcPr>
            <w:tcW w:w="1718" w:type="dxa"/>
            <w:gridSpan w:val="2"/>
            <w:shd w:val="clear" w:color="auto" w:fill="0033A0"/>
            <w:vAlign w:val="center"/>
          </w:tcPr>
          <w:p w14:paraId="7D4CD472" w14:textId="438AC017" w:rsidR="00A70A97" w:rsidRPr="00F20BA7" w:rsidRDefault="00A70A97" w:rsidP="00F2776B">
            <w:pPr>
              <w:autoSpaceDE w:val="0"/>
              <w:autoSpaceDN w:val="0"/>
              <w:adjustRightInd w:val="0"/>
              <w:rPr>
                <w:rFonts w:ascii="Arial" w:hAnsi="Arial" w:cs="Arial"/>
                <w:b/>
                <w:bCs/>
                <w:sz w:val="22"/>
                <w:szCs w:val="22"/>
              </w:rPr>
            </w:pPr>
            <w:r w:rsidRPr="00F20BA7">
              <w:rPr>
                <w:rFonts w:ascii="Arial" w:hAnsi="Arial" w:cs="Arial"/>
                <w:b/>
                <w:bCs/>
                <w:sz w:val="22"/>
                <w:szCs w:val="22"/>
              </w:rPr>
              <w:t>Placa</w:t>
            </w:r>
            <w:r w:rsidR="0091430C" w:rsidRPr="00F20BA7">
              <w:rPr>
                <w:rFonts w:ascii="Arial" w:hAnsi="Arial" w:cs="Arial"/>
                <w:b/>
                <w:bCs/>
                <w:sz w:val="22"/>
                <w:szCs w:val="22"/>
              </w:rPr>
              <w:t xml:space="preserve"> </w:t>
            </w:r>
          </w:p>
        </w:tc>
        <w:tc>
          <w:tcPr>
            <w:tcW w:w="2392" w:type="dxa"/>
            <w:vAlign w:val="center"/>
          </w:tcPr>
          <w:p w14:paraId="2AA20772" w14:textId="14354FDB" w:rsidR="00A70A97" w:rsidRPr="00F20BA7" w:rsidRDefault="00FF326C" w:rsidP="00F2776B">
            <w:pPr>
              <w:autoSpaceDE w:val="0"/>
              <w:autoSpaceDN w:val="0"/>
              <w:adjustRightInd w:val="0"/>
              <w:rPr>
                <w:rFonts w:ascii="Arial" w:hAnsi="Arial" w:cs="Arial"/>
                <w:bCs/>
                <w:iCs/>
                <w:sz w:val="22"/>
                <w:szCs w:val="22"/>
              </w:rPr>
            </w:pPr>
            <w:r w:rsidRPr="00F20BA7">
              <w:rPr>
                <w:rFonts w:ascii="Arial" w:hAnsi="Arial" w:cs="Arial"/>
                <w:bCs/>
                <w:iCs/>
                <w:sz w:val="22"/>
                <w:szCs w:val="22"/>
              </w:rPr>
              <w:t>N/A</w:t>
            </w:r>
          </w:p>
        </w:tc>
      </w:tr>
    </w:tbl>
    <w:p w14:paraId="7BBF8ED2" w14:textId="77777777" w:rsidR="00FF66F3" w:rsidRPr="00F20BA7" w:rsidRDefault="00FF66F3" w:rsidP="00FF66F3">
      <w:pPr>
        <w:rPr>
          <w:rFonts w:ascii="Arial" w:hAnsi="Arial" w:cs="Arial"/>
          <w:b/>
          <w:sz w:val="22"/>
          <w:szCs w:val="22"/>
          <w:u w:val="single"/>
        </w:rPr>
      </w:pPr>
    </w:p>
    <w:p w14:paraId="207F11E8" w14:textId="45DEB7B7" w:rsidR="00FF66F3" w:rsidRPr="00F20BA7" w:rsidRDefault="00FF66F3" w:rsidP="00D06467">
      <w:pPr>
        <w:rPr>
          <w:rFonts w:ascii="Arial" w:hAnsi="Arial" w:cs="Arial"/>
          <w:b/>
          <w:sz w:val="22"/>
          <w:szCs w:val="22"/>
        </w:rPr>
      </w:pPr>
    </w:p>
    <w:p w14:paraId="0C3AC512" w14:textId="5AD7BD07" w:rsidR="00FF66F3" w:rsidRPr="00F20BA7" w:rsidRDefault="009E7D3B" w:rsidP="00D06467">
      <w:pPr>
        <w:rPr>
          <w:rFonts w:ascii="Arial" w:hAnsi="Arial" w:cs="Arial"/>
          <w:b/>
          <w:sz w:val="22"/>
          <w:szCs w:val="22"/>
        </w:rPr>
      </w:pPr>
      <w:r w:rsidRPr="00F20BA7">
        <w:rPr>
          <w:rFonts w:ascii="Arial" w:hAnsi="Arial" w:cs="Arial"/>
          <w:b/>
          <w:sz w:val="22"/>
          <w:szCs w:val="22"/>
        </w:rPr>
        <w:t>Datos específicos del proceso</w:t>
      </w:r>
    </w:p>
    <w:p w14:paraId="4D7ECE1C" w14:textId="77777777" w:rsidR="00247E08" w:rsidRPr="00F20BA7" w:rsidRDefault="00247E08" w:rsidP="00D06467">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F20BA7" w14:paraId="7AFB6461" w14:textId="77777777" w:rsidTr="008F3801">
        <w:trPr>
          <w:trHeight w:val="340"/>
        </w:trPr>
        <w:tc>
          <w:tcPr>
            <w:tcW w:w="2338" w:type="dxa"/>
            <w:shd w:val="clear" w:color="auto" w:fill="0033A0"/>
            <w:vAlign w:val="center"/>
          </w:tcPr>
          <w:p w14:paraId="61666A84" w14:textId="6256291F" w:rsidR="00247E08" w:rsidRPr="00F20BA7" w:rsidRDefault="00247E08" w:rsidP="00F2776B">
            <w:pPr>
              <w:rPr>
                <w:rFonts w:ascii="Arial" w:hAnsi="Arial" w:cs="Arial"/>
                <w:b/>
                <w:sz w:val="22"/>
                <w:szCs w:val="22"/>
              </w:rPr>
            </w:pPr>
            <w:r w:rsidRPr="00F20BA7">
              <w:rPr>
                <w:rFonts w:ascii="Arial" w:hAnsi="Arial" w:cs="Arial"/>
                <w:b/>
                <w:sz w:val="22"/>
                <w:szCs w:val="22"/>
              </w:rPr>
              <w:t>Demandante</w:t>
            </w:r>
            <w:r w:rsidR="009E7D3B" w:rsidRPr="00F20BA7">
              <w:rPr>
                <w:rFonts w:ascii="Arial" w:hAnsi="Arial" w:cs="Arial"/>
                <w:b/>
                <w:sz w:val="22"/>
                <w:szCs w:val="22"/>
              </w:rPr>
              <w:t>s</w:t>
            </w:r>
          </w:p>
        </w:tc>
        <w:tc>
          <w:tcPr>
            <w:tcW w:w="7512" w:type="dxa"/>
            <w:gridSpan w:val="3"/>
            <w:vAlign w:val="center"/>
          </w:tcPr>
          <w:p w14:paraId="331B97D6" w14:textId="03216D0D" w:rsidR="00F20BA7" w:rsidRDefault="00863605" w:rsidP="006641D1">
            <w:pPr>
              <w:pStyle w:val="Prrafodelista"/>
              <w:numPr>
                <w:ilvl w:val="0"/>
                <w:numId w:val="34"/>
              </w:numPr>
              <w:jc w:val="both"/>
              <w:rPr>
                <w:rFonts w:ascii="Arial" w:hAnsi="Arial" w:cs="Arial"/>
                <w:iCs/>
                <w:sz w:val="22"/>
                <w:szCs w:val="22"/>
              </w:rPr>
            </w:pPr>
            <w:r w:rsidRPr="00F20BA7">
              <w:rPr>
                <w:rFonts w:ascii="Arial" w:hAnsi="Arial" w:cs="Arial"/>
                <w:iCs/>
                <w:sz w:val="22"/>
                <w:szCs w:val="22"/>
              </w:rPr>
              <w:t xml:space="preserve">Alba Marina Ramírez Gómez </w:t>
            </w:r>
          </w:p>
          <w:p w14:paraId="2F76E2CF" w14:textId="34614A5D" w:rsidR="00F20BA7" w:rsidRDefault="00863605" w:rsidP="006641D1">
            <w:pPr>
              <w:pStyle w:val="Prrafodelista"/>
              <w:numPr>
                <w:ilvl w:val="0"/>
                <w:numId w:val="34"/>
              </w:numPr>
              <w:jc w:val="both"/>
              <w:rPr>
                <w:rFonts w:ascii="Arial" w:hAnsi="Arial" w:cs="Arial"/>
                <w:iCs/>
                <w:sz w:val="22"/>
                <w:szCs w:val="22"/>
              </w:rPr>
            </w:pPr>
            <w:r w:rsidRPr="00F20BA7">
              <w:rPr>
                <w:rFonts w:ascii="Arial" w:hAnsi="Arial" w:cs="Arial"/>
                <w:iCs/>
                <w:sz w:val="22"/>
                <w:szCs w:val="22"/>
              </w:rPr>
              <w:t>Heber García Bermúdez</w:t>
            </w:r>
          </w:p>
          <w:p w14:paraId="631FFC6F" w14:textId="16E08BA2" w:rsidR="00F20BA7" w:rsidRDefault="00863605" w:rsidP="006641D1">
            <w:pPr>
              <w:pStyle w:val="Prrafodelista"/>
              <w:numPr>
                <w:ilvl w:val="0"/>
                <w:numId w:val="34"/>
              </w:numPr>
              <w:jc w:val="both"/>
              <w:rPr>
                <w:rFonts w:ascii="Arial" w:hAnsi="Arial" w:cs="Arial"/>
                <w:iCs/>
                <w:sz w:val="22"/>
                <w:szCs w:val="22"/>
              </w:rPr>
            </w:pPr>
            <w:r w:rsidRPr="00F20BA7">
              <w:rPr>
                <w:rFonts w:ascii="Arial" w:hAnsi="Arial" w:cs="Arial"/>
                <w:iCs/>
                <w:sz w:val="22"/>
                <w:szCs w:val="22"/>
              </w:rPr>
              <w:t xml:space="preserve">Jorge Hernán Andrade Ramírez </w:t>
            </w:r>
          </w:p>
          <w:p w14:paraId="1985CA69" w14:textId="3F59761B" w:rsidR="00F20BA7" w:rsidRDefault="00863605" w:rsidP="006641D1">
            <w:pPr>
              <w:pStyle w:val="Prrafodelista"/>
              <w:numPr>
                <w:ilvl w:val="0"/>
                <w:numId w:val="34"/>
              </w:numPr>
              <w:jc w:val="both"/>
              <w:rPr>
                <w:rFonts w:ascii="Arial" w:hAnsi="Arial" w:cs="Arial"/>
                <w:iCs/>
                <w:sz w:val="22"/>
                <w:szCs w:val="22"/>
              </w:rPr>
            </w:pPr>
            <w:r w:rsidRPr="00F20BA7">
              <w:rPr>
                <w:rFonts w:ascii="Arial" w:hAnsi="Arial" w:cs="Arial"/>
                <w:iCs/>
                <w:sz w:val="22"/>
                <w:szCs w:val="22"/>
              </w:rPr>
              <w:t>Víctor Hugo Blasquez Ramírez</w:t>
            </w:r>
          </w:p>
          <w:p w14:paraId="6E245B1D" w14:textId="45800A87" w:rsidR="00F20BA7" w:rsidRDefault="00863605" w:rsidP="006641D1">
            <w:pPr>
              <w:pStyle w:val="Prrafodelista"/>
              <w:numPr>
                <w:ilvl w:val="0"/>
                <w:numId w:val="34"/>
              </w:numPr>
              <w:jc w:val="both"/>
              <w:rPr>
                <w:rFonts w:ascii="Arial" w:hAnsi="Arial" w:cs="Arial"/>
                <w:iCs/>
                <w:sz w:val="22"/>
                <w:szCs w:val="22"/>
              </w:rPr>
            </w:pPr>
            <w:r w:rsidRPr="00F20BA7">
              <w:rPr>
                <w:rFonts w:ascii="Arial" w:hAnsi="Arial" w:cs="Arial"/>
                <w:iCs/>
                <w:sz w:val="22"/>
                <w:szCs w:val="22"/>
              </w:rPr>
              <w:t>Miguel Ángel Blasquez Gutiérrez</w:t>
            </w:r>
          </w:p>
          <w:p w14:paraId="09619C63" w14:textId="5C20C185" w:rsidR="00F20BA7" w:rsidRDefault="00863605" w:rsidP="006641D1">
            <w:pPr>
              <w:pStyle w:val="Prrafodelista"/>
              <w:numPr>
                <w:ilvl w:val="0"/>
                <w:numId w:val="34"/>
              </w:numPr>
              <w:jc w:val="both"/>
              <w:rPr>
                <w:rFonts w:ascii="Arial" w:hAnsi="Arial" w:cs="Arial"/>
                <w:iCs/>
                <w:sz w:val="22"/>
                <w:szCs w:val="22"/>
              </w:rPr>
            </w:pPr>
            <w:r w:rsidRPr="00F20BA7">
              <w:rPr>
                <w:rFonts w:ascii="Arial" w:hAnsi="Arial" w:cs="Arial"/>
                <w:iCs/>
                <w:sz w:val="22"/>
                <w:szCs w:val="22"/>
              </w:rPr>
              <w:t>Brandon Blasquez Gutiérrez</w:t>
            </w:r>
          </w:p>
          <w:p w14:paraId="49DBA2D0" w14:textId="6FACFB68" w:rsidR="00F20BA7" w:rsidRDefault="00863605" w:rsidP="006641D1">
            <w:pPr>
              <w:pStyle w:val="Prrafodelista"/>
              <w:numPr>
                <w:ilvl w:val="0"/>
                <w:numId w:val="34"/>
              </w:numPr>
              <w:jc w:val="both"/>
              <w:rPr>
                <w:rFonts w:ascii="Arial" w:hAnsi="Arial" w:cs="Arial"/>
                <w:iCs/>
                <w:sz w:val="22"/>
                <w:szCs w:val="22"/>
              </w:rPr>
            </w:pPr>
            <w:r w:rsidRPr="00F20BA7">
              <w:rPr>
                <w:rFonts w:ascii="Arial" w:hAnsi="Arial" w:cs="Arial"/>
                <w:iCs/>
                <w:sz w:val="22"/>
                <w:szCs w:val="22"/>
              </w:rPr>
              <w:t xml:space="preserve">Alexandra García Ramírez </w:t>
            </w:r>
          </w:p>
          <w:p w14:paraId="31112D16" w14:textId="5B864A42" w:rsidR="00247E08" w:rsidRPr="00F20BA7" w:rsidRDefault="00863605" w:rsidP="006641D1">
            <w:pPr>
              <w:pStyle w:val="Prrafodelista"/>
              <w:numPr>
                <w:ilvl w:val="0"/>
                <w:numId w:val="34"/>
              </w:numPr>
              <w:jc w:val="both"/>
              <w:rPr>
                <w:rFonts w:ascii="Arial" w:hAnsi="Arial" w:cs="Arial"/>
                <w:iCs/>
                <w:sz w:val="22"/>
                <w:szCs w:val="22"/>
              </w:rPr>
            </w:pPr>
            <w:r w:rsidRPr="00F20BA7">
              <w:rPr>
                <w:rFonts w:ascii="Arial" w:hAnsi="Arial" w:cs="Arial"/>
                <w:iCs/>
                <w:sz w:val="22"/>
                <w:szCs w:val="22"/>
              </w:rPr>
              <w:t xml:space="preserve">Luciana Giraldo García. </w:t>
            </w:r>
          </w:p>
        </w:tc>
      </w:tr>
      <w:tr w:rsidR="00954C7D" w:rsidRPr="00F20BA7" w14:paraId="3184660E" w14:textId="77777777" w:rsidTr="008F3801">
        <w:trPr>
          <w:trHeight w:val="545"/>
        </w:trPr>
        <w:tc>
          <w:tcPr>
            <w:tcW w:w="2338" w:type="dxa"/>
            <w:shd w:val="clear" w:color="auto" w:fill="0033A0"/>
            <w:vAlign w:val="center"/>
          </w:tcPr>
          <w:p w14:paraId="1946D0B5" w14:textId="1E747231" w:rsidR="00954C7D" w:rsidRPr="00F20BA7" w:rsidRDefault="00954C7D" w:rsidP="00954C7D">
            <w:pPr>
              <w:rPr>
                <w:rFonts w:ascii="Arial" w:hAnsi="Arial" w:cs="Arial"/>
                <w:b/>
                <w:sz w:val="22"/>
                <w:szCs w:val="22"/>
              </w:rPr>
            </w:pPr>
            <w:r w:rsidRPr="00F20BA7">
              <w:rPr>
                <w:rFonts w:ascii="Arial" w:hAnsi="Arial" w:cs="Arial"/>
                <w:b/>
                <w:sz w:val="22"/>
                <w:szCs w:val="22"/>
              </w:rPr>
              <w:t>Demandados</w:t>
            </w:r>
          </w:p>
        </w:tc>
        <w:tc>
          <w:tcPr>
            <w:tcW w:w="7512" w:type="dxa"/>
            <w:gridSpan w:val="3"/>
            <w:vAlign w:val="center"/>
          </w:tcPr>
          <w:p w14:paraId="0C0E345F" w14:textId="5A35BACB" w:rsidR="00F20BA7" w:rsidRPr="006641D1" w:rsidRDefault="00863605" w:rsidP="006641D1">
            <w:pPr>
              <w:pStyle w:val="Prrafodelista"/>
              <w:numPr>
                <w:ilvl w:val="0"/>
                <w:numId w:val="35"/>
              </w:numPr>
              <w:jc w:val="both"/>
              <w:rPr>
                <w:rFonts w:ascii="Arial" w:hAnsi="Arial" w:cs="Arial"/>
                <w:iCs/>
                <w:sz w:val="22"/>
                <w:szCs w:val="22"/>
              </w:rPr>
            </w:pPr>
            <w:r w:rsidRPr="00F20BA7">
              <w:rPr>
                <w:rFonts w:ascii="Arial" w:hAnsi="Arial" w:cs="Arial"/>
                <w:bCs/>
                <w:sz w:val="22"/>
                <w:szCs w:val="22"/>
              </w:rPr>
              <w:t>Salud Total E.P.S. S.A.</w:t>
            </w:r>
          </w:p>
          <w:p w14:paraId="75D23BE4" w14:textId="5A4BDAE1" w:rsidR="00F20BA7" w:rsidRPr="006641D1" w:rsidRDefault="00863605" w:rsidP="006641D1">
            <w:pPr>
              <w:pStyle w:val="Prrafodelista"/>
              <w:numPr>
                <w:ilvl w:val="0"/>
                <w:numId w:val="35"/>
              </w:numPr>
              <w:jc w:val="both"/>
              <w:rPr>
                <w:rFonts w:ascii="Arial" w:hAnsi="Arial" w:cs="Arial"/>
                <w:iCs/>
                <w:sz w:val="22"/>
                <w:szCs w:val="22"/>
              </w:rPr>
            </w:pPr>
            <w:r w:rsidRPr="00F20BA7">
              <w:rPr>
                <w:rFonts w:ascii="Arial" w:hAnsi="Arial" w:cs="Arial"/>
                <w:bCs/>
                <w:sz w:val="22"/>
                <w:szCs w:val="22"/>
              </w:rPr>
              <w:t>Clínica de Occidente S.A.</w:t>
            </w:r>
          </w:p>
          <w:p w14:paraId="22DB45C7" w14:textId="2B18E17A" w:rsidR="00F20BA7" w:rsidRPr="006641D1" w:rsidRDefault="00863605" w:rsidP="006641D1">
            <w:pPr>
              <w:pStyle w:val="Prrafodelista"/>
              <w:numPr>
                <w:ilvl w:val="0"/>
                <w:numId w:val="35"/>
              </w:numPr>
              <w:jc w:val="both"/>
              <w:rPr>
                <w:rFonts w:ascii="Arial" w:hAnsi="Arial" w:cs="Arial"/>
                <w:iCs/>
                <w:sz w:val="22"/>
                <w:szCs w:val="22"/>
              </w:rPr>
            </w:pPr>
            <w:r w:rsidRPr="00F20BA7">
              <w:rPr>
                <w:rFonts w:ascii="Arial" w:hAnsi="Arial" w:cs="Arial"/>
                <w:bCs/>
                <w:sz w:val="22"/>
                <w:szCs w:val="22"/>
              </w:rPr>
              <w:t xml:space="preserve">Medimas E.P.S. S.A.S. </w:t>
            </w:r>
          </w:p>
          <w:p w14:paraId="4CC15FC8" w14:textId="04288DF9" w:rsidR="002C6436" w:rsidRPr="00F20BA7" w:rsidRDefault="00863605" w:rsidP="006641D1">
            <w:pPr>
              <w:pStyle w:val="Prrafodelista"/>
              <w:numPr>
                <w:ilvl w:val="0"/>
                <w:numId w:val="35"/>
              </w:numPr>
              <w:jc w:val="both"/>
              <w:rPr>
                <w:rFonts w:ascii="Arial" w:hAnsi="Arial" w:cs="Arial"/>
                <w:iCs/>
                <w:sz w:val="22"/>
                <w:szCs w:val="22"/>
              </w:rPr>
            </w:pPr>
            <w:r w:rsidRPr="00F20BA7">
              <w:rPr>
                <w:rFonts w:ascii="Arial" w:hAnsi="Arial" w:cs="Arial"/>
                <w:bCs/>
                <w:sz w:val="22"/>
                <w:szCs w:val="22"/>
              </w:rPr>
              <w:t xml:space="preserve">Saludcoop </w:t>
            </w:r>
            <w:r w:rsidR="00756D23" w:rsidRPr="00F20BA7">
              <w:rPr>
                <w:rFonts w:ascii="Arial" w:hAnsi="Arial" w:cs="Arial"/>
                <w:bCs/>
                <w:sz w:val="22"/>
                <w:szCs w:val="22"/>
              </w:rPr>
              <w:t xml:space="preserve">E.P.S. </w:t>
            </w:r>
            <w:r w:rsidRPr="00F20BA7">
              <w:rPr>
                <w:rFonts w:ascii="Arial" w:hAnsi="Arial" w:cs="Arial"/>
                <w:bCs/>
                <w:sz w:val="22"/>
                <w:szCs w:val="22"/>
              </w:rPr>
              <w:t>en liquidación</w:t>
            </w:r>
          </w:p>
        </w:tc>
      </w:tr>
      <w:tr w:rsidR="003152D5" w:rsidRPr="00F20BA7" w14:paraId="45AB4561" w14:textId="77777777" w:rsidTr="008F3801">
        <w:trPr>
          <w:trHeight w:val="545"/>
        </w:trPr>
        <w:tc>
          <w:tcPr>
            <w:tcW w:w="2338" w:type="dxa"/>
            <w:shd w:val="clear" w:color="auto" w:fill="0033A0"/>
            <w:vAlign w:val="center"/>
          </w:tcPr>
          <w:p w14:paraId="0220664F" w14:textId="74168ED4" w:rsidR="003152D5" w:rsidRPr="00F20BA7" w:rsidRDefault="003152D5" w:rsidP="003152D5">
            <w:pPr>
              <w:rPr>
                <w:rFonts w:ascii="Arial" w:hAnsi="Arial" w:cs="Arial"/>
                <w:b/>
                <w:sz w:val="22"/>
                <w:szCs w:val="22"/>
              </w:rPr>
            </w:pPr>
            <w:r w:rsidRPr="00F20BA7">
              <w:rPr>
                <w:rFonts w:ascii="Arial" w:hAnsi="Arial" w:cs="Arial"/>
                <w:b/>
                <w:sz w:val="22"/>
                <w:szCs w:val="22"/>
              </w:rPr>
              <w:t>Llamante en garantía</w:t>
            </w:r>
          </w:p>
        </w:tc>
        <w:tc>
          <w:tcPr>
            <w:tcW w:w="7512" w:type="dxa"/>
            <w:gridSpan w:val="3"/>
            <w:vAlign w:val="center"/>
          </w:tcPr>
          <w:p w14:paraId="3001872B" w14:textId="7DE5014F" w:rsidR="003152D5" w:rsidRPr="00F20BA7" w:rsidRDefault="00863605" w:rsidP="003152D5">
            <w:pPr>
              <w:jc w:val="both"/>
              <w:rPr>
                <w:rFonts w:ascii="Arial" w:hAnsi="Arial" w:cs="Arial"/>
                <w:iCs/>
                <w:sz w:val="22"/>
                <w:szCs w:val="22"/>
              </w:rPr>
            </w:pPr>
            <w:r w:rsidRPr="00F20BA7">
              <w:rPr>
                <w:rFonts w:ascii="Arial" w:hAnsi="Arial" w:cs="Arial"/>
                <w:bCs/>
                <w:sz w:val="22"/>
                <w:szCs w:val="22"/>
              </w:rPr>
              <w:t>Seguros Generales Suramericana S.A.</w:t>
            </w:r>
          </w:p>
        </w:tc>
      </w:tr>
      <w:tr w:rsidR="003152D5" w:rsidRPr="00F20BA7" w14:paraId="5BFE20EE" w14:textId="77777777" w:rsidTr="008F3801">
        <w:trPr>
          <w:cantSplit/>
          <w:trHeight w:val="566"/>
        </w:trPr>
        <w:tc>
          <w:tcPr>
            <w:tcW w:w="2338" w:type="dxa"/>
            <w:shd w:val="clear" w:color="auto" w:fill="0033A0"/>
            <w:vAlign w:val="center"/>
          </w:tcPr>
          <w:p w14:paraId="3F4BFE3A" w14:textId="14FECE14" w:rsidR="003152D5" w:rsidRPr="00F20BA7" w:rsidRDefault="003152D5" w:rsidP="003152D5">
            <w:pPr>
              <w:rPr>
                <w:rFonts w:ascii="Arial" w:hAnsi="Arial" w:cs="Arial"/>
                <w:b/>
                <w:sz w:val="22"/>
                <w:szCs w:val="22"/>
              </w:rPr>
            </w:pPr>
            <w:r w:rsidRPr="00F20BA7">
              <w:rPr>
                <w:rFonts w:ascii="Arial" w:hAnsi="Arial" w:cs="Arial"/>
                <w:b/>
                <w:sz w:val="22"/>
                <w:szCs w:val="22"/>
              </w:rPr>
              <w:t>Autoridad de conocimiento</w:t>
            </w:r>
          </w:p>
        </w:tc>
        <w:tc>
          <w:tcPr>
            <w:tcW w:w="3827" w:type="dxa"/>
            <w:vAlign w:val="center"/>
          </w:tcPr>
          <w:p w14:paraId="52AE397D" w14:textId="4910AD54" w:rsidR="003152D5" w:rsidRPr="00F20BA7" w:rsidRDefault="00372040" w:rsidP="00863605">
            <w:pPr>
              <w:jc w:val="both"/>
              <w:rPr>
                <w:rFonts w:ascii="Arial" w:hAnsi="Arial" w:cs="Arial"/>
                <w:iCs/>
                <w:sz w:val="22"/>
                <w:szCs w:val="22"/>
              </w:rPr>
            </w:pPr>
            <w:r w:rsidRPr="00F20BA7">
              <w:rPr>
                <w:rFonts w:ascii="Arial" w:hAnsi="Arial" w:cs="Arial"/>
                <w:iCs/>
                <w:sz w:val="22"/>
                <w:szCs w:val="22"/>
              </w:rPr>
              <w:t xml:space="preserve">Juzgado </w:t>
            </w:r>
            <w:r w:rsidR="00863605" w:rsidRPr="00F20BA7">
              <w:rPr>
                <w:rFonts w:ascii="Arial" w:hAnsi="Arial" w:cs="Arial"/>
                <w:iCs/>
                <w:sz w:val="22"/>
                <w:szCs w:val="22"/>
              </w:rPr>
              <w:t>Quince (15</w:t>
            </w:r>
            <w:r w:rsidRPr="00F20BA7">
              <w:rPr>
                <w:rFonts w:ascii="Arial" w:hAnsi="Arial" w:cs="Arial"/>
                <w:iCs/>
                <w:sz w:val="22"/>
                <w:szCs w:val="22"/>
              </w:rPr>
              <w:t>) Civil Del Circuito</w:t>
            </w:r>
            <w:r w:rsidR="00863605" w:rsidRPr="00F20BA7">
              <w:rPr>
                <w:rFonts w:ascii="Arial" w:hAnsi="Arial" w:cs="Arial"/>
                <w:iCs/>
                <w:sz w:val="22"/>
                <w:szCs w:val="22"/>
              </w:rPr>
              <w:t xml:space="preserve"> De Cali</w:t>
            </w:r>
          </w:p>
        </w:tc>
        <w:tc>
          <w:tcPr>
            <w:tcW w:w="1276" w:type="dxa"/>
            <w:shd w:val="clear" w:color="auto" w:fill="0033A0"/>
            <w:vAlign w:val="center"/>
          </w:tcPr>
          <w:p w14:paraId="6164DA6C" w14:textId="179A804C" w:rsidR="003152D5" w:rsidRPr="00F20BA7" w:rsidRDefault="003152D5" w:rsidP="003152D5">
            <w:pPr>
              <w:jc w:val="both"/>
              <w:rPr>
                <w:rFonts w:ascii="Arial" w:hAnsi="Arial" w:cs="Arial"/>
                <w:b/>
                <w:bCs/>
                <w:sz w:val="22"/>
                <w:szCs w:val="22"/>
              </w:rPr>
            </w:pPr>
            <w:r w:rsidRPr="00F20BA7">
              <w:rPr>
                <w:rFonts w:ascii="Arial" w:hAnsi="Arial" w:cs="Arial"/>
                <w:b/>
                <w:bCs/>
                <w:sz w:val="22"/>
                <w:szCs w:val="22"/>
              </w:rPr>
              <w:t>Radicado</w:t>
            </w:r>
          </w:p>
        </w:tc>
        <w:tc>
          <w:tcPr>
            <w:tcW w:w="2409" w:type="dxa"/>
            <w:vAlign w:val="center"/>
          </w:tcPr>
          <w:p w14:paraId="751C5BE4" w14:textId="2BABA6F3" w:rsidR="003152D5" w:rsidRPr="00F20BA7" w:rsidRDefault="006641D1" w:rsidP="003152D5">
            <w:pPr>
              <w:jc w:val="both"/>
              <w:rPr>
                <w:rFonts w:ascii="Arial" w:hAnsi="Arial" w:cs="Arial"/>
                <w:sz w:val="22"/>
                <w:szCs w:val="22"/>
              </w:rPr>
            </w:pPr>
            <w:r w:rsidRPr="006641D1">
              <w:rPr>
                <w:rFonts w:ascii="Arial" w:hAnsi="Arial" w:cs="Arial"/>
                <w:sz w:val="22"/>
                <w:szCs w:val="22"/>
              </w:rPr>
              <w:t>760013103015-2022-00128-00</w:t>
            </w:r>
            <w:r>
              <w:rPr>
                <w:rFonts w:ascii="Arial" w:hAnsi="Arial" w:cs="Arial"/>
                <w:sz w:val="22"/>
                <w:szCs w:val="22"/>
              </w:rPr>
              <w:t xml:space="preserve"> </w:t>
            </w:r>
          </w:p>
        </w:tc>
      </w:tr>
      <w:tr w:rsidR="003152D5" w:rsidRPr="00F20BA7" w14:paraId="2335A9D5" w14:textId="77777777" w:rsidTr="008F3801">
        <w:trPr>
          <w:trHeight w:val="516"/>
        </w:trPr>
        <w:tc>
          <w:tcPr>
            <w:tcW w:w="2338" w:type="dxa"/>
            <w:shd w:val="clear" w:color="auto" w:fill="0033A0"/>
            <w:vAlign w:val="center"/>
          </w:tcPr>
          <w:p w14:paraId="3F4221E7" w14:textId="120AFAC3" w:rsidR="003152D5" w:rsidRPr="00F20BA7" w:rsidRDefault="003152D5" w:rsidP="003152D5">
            <w:pPr>
              <w:pStyle w:val="Ttulo7"/>
              <w:rPr>
                <w:rFonts w:ascii="Arial" w:hAnsi="Arial" w:cs="Arial"/>
                <w:szCs w:val="22"/>
              </w:rPr>
            </w:pPr>
            <w:r w:rsidRPr="00F20BA7">
              <w:rPr>
                <w:rFonts w:ascii="Arial" w:hAnsi="Arial" w:cs="Arial"/>
                <w:szCs w:val="22"/>
              </w:rPr>
              <w:lastRenderedPageBreak/>
              <w:t>Pretensiones solicitadas</w:t>
            </w:r>
          </w:p>
        </w:tc>
        <w:tc>
          <w:tcPr>
            <w:tcW w:w="7512" w:type="dxa"/>
            <w:gridSpan w:val="3"/>
            <w:vAlign w:val="center"/>
          </w:tcPr>
          <w:p w14:paraId="14D14BDC" w14:textId="77777777" w:rsidR="00FF326C" w:rsidRPr="00F20BA7" w:rsidRDefault="003152D5" w:rsidP="00FF326C">
            <w:pPr>
              <w:pStyle w:val="Textoindependiente"/>
              <w:spacing w:line="360" w:lineRule="auto"/>
              <w:jc w:val="both"/>
              <w:rPr>
                <w:rFonts w:ascii="Arial" w:hAnsi="Arial" w:cs="Arial"/>
                <w:b/>
                <w:bCs/>
                <w:noProof/>
                <w:sz w:val="22"/>
                <w:szCs w:val="22"/>
                <w:u w:val="single"/>
              </w:rPr>
            </w:pPr>
            <w:r w:rsidRPr="00F20BA7">
              <w:rPr>
                <w:rFonts w:ascii="Arial" w:hAnsi="Arial" w:cs="Arial"/>
                <w:b/>
                <w:bCs/>
                <w:noProof/>
                <w:sz w:val="22"/>
                <w:szCs w:val="22"/>
                <w:u w:val="single"/>
              </w:rPr>
              <w:t xml:space="preserve">Pretensiones: </w:t>
            </w:r>
          </w:p>
          <w:p w14:paraId="1D7FDEF5" w14:textId="45326DEE" w:rsidR="000D00EE" w:rsidRPr="00F20BA7" w:rsidRDefault="000D00EE" w:rsidP="00FF326C">
            <w:pPr>
              <w:pStyle w:val="Textoindependiente"/>
              <w:spacing w:line="360" w:lineRule="auto"/>
              <w:jc w:val="both"/>
              <w:rPr>
                <w:rFonts w:ascii="Arial" w:hAnsi="Arial" w:cs="Arial"/>
                <w:b/>
                <w:noProof/>
                <w:sz w:val="22"/>
                <w:szCs w:val="22"/>
              </w:rPr>
            </w:pPr>
            <w:r w:rsidRPr="00F20BA7">
              <w:rPr>
                <w:rFonts w:ascii="Arial" w:hAnsi="Arial" w:cs="Arial"/>
                <w:b/>
                <w:noProof/>
                <w:sz w:val="22"/>
                <w:szCs w:val="22"/>
              </w:rPr>
              <w:t>Condenatorias</w:t>
            </w:r>
          </w:p>
          <w:p w14:paraId="55E2F9D9" w14:textId="748EC2D5" w:rsidR="00956C8F" w:rsidRPr="00F20BA7" w:rsidRDefault="00863605" w:rsidP="00FF326C">
            <w:pPr>
              <w:pStyle w:val="Textoindependiente"/>
              <w:spacing w:line="360" w:lineRule="auto"/>
              <w:jc w:val="both"/>
              <w:rPr>
                <w:rFonts w:ascii="Arial" w:hAnsi="Arial" w:cs="Arial"/>
                <w:noProof/>
                <w:sz w:val="22"/>
                <w:szCs w:val="22"/>
              </w:rPr>
            </w:pPr>
            <w:r w:rsidRPr="00F20BA7">
              <w:rPr>
                <w:rFonts w:ascii="Arial" w:hAnsi="Arial" w:cs="Arial"/>
                <w:noProof/>
                <w:sz w:val="22"/>
                <w:szCs w:val="22"/>
              </w:rPr>
              <w:t>Daño moral: 650 SMLMV</w:t>
            </w:r>
            <w:r w:rsidR="00BA7302">
              <w:rPr>
                <w:rFonts w:ascii="Arial" w:hAnsi="Arial" w:cs="Arial"/>
                <w:noProof/>
                <w:sz w:val="22"/>
                <w:szCs w:val="22"/>
              </w:rPr>
              <w:t xml:space="preserve"> equivalentes a</w:t>
            </w:r>
            <w:r w:rsidRPr="00F20BA7">
              <w:rPr>
                <w:rFonts w:ascii="Arial" w:hAnsi="Arial" w:cs="Arial"/>
                <w:noProof/>
                <w:sz w:val="22"/>
                <w:szCs w:val="22"/>
              </w:rPr>
              <w:t xml:space="preserve"> $ 754.000.000 </w:t>
            </w:r>
          </w:p>
          <w:p w14:paraId="462B0985" w14:textId="23D56A74" w:rsidR="00EB4B9B" w:rsidRPr="00F20BA7" w:rsidRDefault="00EB4B9B" w:rsidP="002F4FCF">
            <w:pPr>
              <w:pStyle w:val="Textoindependiente"/>
              <w:spacing w:line="360" w:lineRule="auto"/>
              <w:jc w:val="both"/>
              <w:rPr>
                <w:rFonts w:ascii="Arial" w:hAnsi="Arial" w:cs="Arial"/>
                <w:noProof/>
                <w:sz w:val="22"/>
                <w:szCs w:val="22"/>
              </w:rPr>
            </w:pPr>
            <w:r w:rsidRPr="00F20BA7">
              <w:rPr>
                <w:rFonts w:ascii="Arial" w:hAnsi="Arial" w:cs="Arial"/>
                <w:noProof/>
                <w:sz w:val="22"/>
                <w:szCs w:val="22"/>
              </w:rPr>
              <w:t xml:space="preserve">Daño a la salud: </w:t>
            </w:r>
            <w:r w:rsidR="002F4FCF" w:rsidRPr="00F20BA7">
              <w:rPr>
                <w:rFonts w:ascii="Arial" w:hAnsi="Arial" w:cs="Arial"/>
                <w:noProof/>
                <w:sz w:val="22"/>
                <w:szCs w:val="22"/>
              </w:rPr>
              <w:t>100 SMLMV</w:t>
            </w:r>
            <w:r w:rsidR="00BA7302">
              <w:rPr>
                <w:rFonts w:ascii="Arial" w:hAnsi="Arial" w:cs="Arial"/>
                <w:noProof/>
                <w:sz w:val="22"/>
                <w:szCs w:val="22"/>
              </w:rPr>
              <w:t xml:space="preserve"> equivalentes a</w:t>
            </w:r>
            <w:r w:rsidR="002F4FCF" w:rsidRPr="00F20BA7">
              <w:rPr>
                <w:rFonts w:ascii="Arial" w:hAnsi="Arial" w:cs="Arial"/>
                <w:noProof/>
                <w:sz w:val="22"/>
                <w:szCs w:val="22"/>
              </w:rPr>
              <w:t xml:space="preserve"> $ 116.000.000</w:t>
            </w:r>
          </w:p>
          <w:p w14:paraId="74E6E4D6" w14:textId="4D61AE65" w:rsidR="002F4FCF" w:rsidRPr="006641D1" w:rsidRDefault="002F4FCF">
            <w:pPr>
              <w:pStyle w:val="Textoindependiente"/>
              <w:spacing w:line="360" w:lineRule="auto"/>
              <w:jc w:val="both"/>
              <w:rPr>
                <w:rFonts w:ascii="Arial" w:hAnsi="Arial" w:cs="Arial"/>
                <w:b/>
                <w:sz w:val="22"/>
                <w:szCs w:val="22"/>
              </w:rPr>
            </w:pPr>
            <w:r w:rsidRPr="00F20BA7">
              <w:rPr>
                <w:rFonts w:ascii="Arial" w:hAnsi="Arial" w:cs="Arial"/>
                <w:noProof/>
                <w:sz w:val="22"/>
                <w:szCs w:val="22"/>
              </w:rPr>
              <w:t xml:space="preserve">Bienes constitucionales: 100 SMLMV </w:t>
            </w:r>
            <w:r w:rsidR="00BA7302">
              <w:rPr>
                <w:rFonts w:ascii="Arial" w:hAnsi="Arial" w:cs="Arial"/>
                <w:noProof/>
                <w:sz w:val="22"/>
                <w:szCs w:val="22"/>
              </w:rPr>
              <w:t>equivalentes a</w:t>
            </w:r>
            <w:r w:rsidRPr="00F20BA7">
              <w:rPr>
                <w:rFonts w:ascii="Arial" w:hAnsi="Arial" w:cs="Arial"/>
                <w:noProof/>
                <w:sz w:val="22"/>
                <w:szCs w:val="22"/>
              </w:rPr>
              <w:t xml:space="preserve"> $ 116.000.000  </w:t>
            </w:r>
          </w:p>
        </w:tc>
      </w:tr>
      <w:tr w:rsidR="003152D5" w:rsidRPr="00F20BA7" w14:paraId="2CCDBF49" w14:textId="77777777" w:rsidTr="008F3801">
        <w:trPr>
          <w:trHeight w:val="340"/>
        </w:trPr>
        <w:tc>
          <w:tcPr>
            <w:tcW w:w="2338" w:type="dxa"/>
            <w:shd w:val="clear" w:color="auto" w:fill="0033A0"/>
            <w:vAlign w:val="center"/>
          </w:tcPr>
          <w:p w14:paraId="5CC1129D" w14:textId="03354AA7" w:rsidR="003152D5" w:rsidRPr="00F20BA7" w:rsidRDefault="003152D5" w:rsidP="003152D5">
            <w:pPr>
              <w:pStyle w:val="Ttulo7"/>
              <w:rPr>
                <w:rFonts w:ascii="Arial" w:hAnsi="Arial" w:cs="Arial"/>
                <w:szCs w:val="22"/>
              </w:rPr>
            </w:pPr>
            <w:r w:rsidRPr="00F20BA7">
              <w:rPr>
                <w:rFonts w:ascii="Arial" w:hAnsi="Arial" w:cs="Arial"/>
                <w:szCs w:val="22"/>
              </w:rPr>
              <w:lastRenderedPageBreak/>
              <w:t>Pretensiones objetivadas</w:t>
            </w:r>
          </w:p>
        </w:tc>
        <w:tc>
          <w:tcPr>
            <w:tcW w:w="7512" w:type="dxa"/>
            <w:gridSpan w:val="3"/>
            <w:vAlign w:val="center"/>
          </w:tcPr>
          <w:p w14:paraId="32201D86" w14:textId="77777777" w:rsidR="00F44E98" w:rsidRPr="00F20BA7" w:rsidRDefault="00F44E98" w:rsidP="00F44E98">
            <w:pPr>
              <w:pStyle w:val="Sangra2detindependiente"/>
              <w:spacing w:after="0" w:line="240" w:lineRule="auto"/>
              <w:ind w:left="0"/>
              <w:jc w:val="both"/>
              <w:rPr>
                <w:rFonts w:ascii="Arial" w:hAnsi="Arial" w:cs="Arial"/>
                <w:sz w:val="22"/>
                <w:szCs w:val="22"/>
                <w:lang w:val="es-CO"/>
              </w:rPr>
            </w:pPr>
            <w:r w:rsidRPr="00F20BA7">
              <w:rPr>
                <w:rFonts w:ascii="Arial" w:hAnsi="Arial" w:cs="Arial"/>
                <w:b/>
                <w:sz w:val="22"/>
                <w:szCs w:val="22"/>
                <w:lang w:val="es-CO"/>
              </w:rPr>
              <w:t>PRETENSIONES OBJETIVADAS</w:t>
            </w:r>
            <w:r w:rsidRPr="00F20BA7">
              <w:rPr>
                <w:rFonts w:ascii="Arial" w:hAnsi="Arial" w:cs="Arial"/>
                <w:sz w:val="22"/>
                <w:szCs w:val="22"/>
                <w:lang w:val="es-CO"/>
              </w:rPr>
              <w:t xml:space="preserve">: </w:t>
            </w:r>
          </w:p>
          <w:p w14:paraId="15195D39" w14:textId="77777777" w:rsidR="00F44E98" w:rsidRPr="00F20BA7" w:rsidRDefault="00F44E98" w:rsidP="00F44E98">
            <w:pPr>
              <w:pStyle w:val="Sangra2detindependiente"/>
              <w:spacing w:after="0" w:line="240" w:lineRule="auto"/>
              <w:ind w:left="0"/>
              <w:jc w:val="both"/>
              <w:rPr>
                <w:rFonts w:ascii="Arial" w:hAnsi="Arial" w:cs="Arial"/>
                <w:sz w:val="22"/>
                <w:szCs w:val="22"/>
                <w:highlight w:val="yellow"/>
                <w:lang w:val="es-CO"/>
              </w:rPr>
            </w:pPr>
          </w:p>
          <w:p w14:paraId="091A0863" w14:textId="7E454B14" w:rsidR="00F44E98" w:rsidRPr="00F20BA7" w:rsidRDefault="00F44E98" w:rsidP="00F44E98">
            <w:pPr>
              <w:pStyle w:val="Sangra2detindependiente"/>
              <w:spacing w:after="0" w:line="240" w:lineRule="auto"/>
              <w:ind w:left="0"/>
              <w:jc w:val="both"/>
              <w:rPr>
                <w:rFonts w:ascii="Arial" w:hAnsi="Arial" w:cs="Arial"/>
                <w:noProof/>
                <w:sz w:val="22"/>
                <w:szCs w:val="22"/>
                <w:lang w:val="es-CO"/>
              </w:rPr>
            </w:pPr>
            <w:r w:rsidRPr="00F20BA7">
              <w:rPr>
                <w:rFonts w:ascii="Arial" w:hAnsi="Arial" w:cs="Arial"/>
                <w:noProof/>
                <w:sz w:val="22"/>
                <w:szCs w:val="22"/>
                <w:lang w:val="es-CO"/>
              </w:rPr>
              <w:t xml:space="preserve">Como liquidación objetiva provisional de perjuicios se tiene la suma de </w:t>
            </w:r>
            <w:r w:rsidRPr="00F20BA7">
              <w:rPr>
                <w:rFonts w:ascii="Arial" w:hAnsi="Arial" w:cs="Arial"/>
                <w:b/>
                <w:noProof/>
                <w:sz w:val="22"/>
                <w:szCs w:val="22"/>
                <w:lang w:val="es-CO"/>
              </w:rPr>
              <w:t xml:space="preserve">$ </w:t>
            </w:r>
            <w:r w:rsidR="00160EEF" w:rsidRPr="00F20BA7">
              <w:rPr>
                <w:rFonts w:ascii="Arial" w:hAnsi="Arial" w:cs="Arial"/>
                <w:b/>
                <w:noProof/>
                <w:sz w:val="22"/>
                <w:szCs w:val="22"/>
                <w:lang w:val="es-CO"/>
              </w:rPr>
              <w:t>16.250.000</w:t>
            </w:r>
            <w:r w:rsidRPr="00F20BA7">
              <w:rPr>
                <w:rFonts w:ascii="Arial" w:hAnsi="Arial" w:cs="Arial"/>
                <w:noProof/>
                <w:sz w:val="22"/>
                <w:szCs w:val="22"/>
                <w:lang w:val="es-CO"/>
              </w:rPr>
              <w:t xml:space="preserve"> valor al que se llegó de la siguiente manera:</w:t>
            </w:r>
          </w:p>
          <w:p w14:paraId="46C065AD" w14:textId="77777777" w:rsidR="00F44E98" w:rsidRPr="00F20BA7" w:rsidRDefault="00F44E98" w:rsidP="00F44E98">
            <w:pPr>
              <w:pStyle w:val="Sangra2detindependiente"/>
              <w:spacing w:after="0" w:line="240" w:lineRule="auto"/>
              <w:ind w:left="0"/>
              <w:jc w:val="both"/>
              <w:rPr>
                <w:rFonts w:ascii="Arial" w:hAnsi="Arial" w:cs="Arial"/>
                <w:noProof/>
                <w:sz w:val="22"/>
                <w:szCs w:val="22"/>
                <w:lang w:val="es-CO"/>
              </w:rPr>
            </w:pPr>
          </w:p>
          <w:p w14:paraId="5E098206" w14:textId="4767A9C7" w:rsidR="00F44E98" w:rsidRPr="00F20BA7" w:rsidRDefault="00F44E98" w:rsidP="00F44E98">
            <w:pPr>
              <w:pStyle w:val="Sangra2detindependiente"/>
              <w:spacing w:line="240" w:lineRule="auto"/>
              <w:ind w:left="0"/>
              <w:jc w:val="both"/>
              <w:rPr>
                <w:rFonts w:ascii="Arial" w:hAnsi="Arial" w:cs="Arial"/>
                <w:noProof/>
                <w:sz w:val="22"/>
                <w:szCs w:val="22"/>
                <w:lang w:val="es-CO"/>
              </w:rPr>
            </w:pPr>
            <w:r w:rsidRPr="00F20BA7">
              <w:rPr>
                <w:rFonts w:ascii="Arial" w:hAnsi="Arial" w:cs="Arial"/>
                <w:b/>
                <w:noProof/>
                <w:sz w:val="22"/>
                <w:szCs w:val="22"/>
                <w:lang w:val="es-CO"/>
              </w:rPr>
              <w:t xml:space="preserve">1. </w:t>
            </w:r>
            <w:r w:rsidRPr="00F20BA7">
              <w:rPr>
                <w:rFonts w:ascii="Arial" w:hAnsi="Arial" w:cs="Arial"/>
                <w:b/>
                <w:noProof/>
                <w:sz w:val="22"/>
                <w:szCs w:val="22"/>
                <w:u w:val="single"/>
                <w:lang w:val="es-CO"/>
              </w:rPr>
              <w:t>Daño moral</w:t>
            </w:r>
            <w:r w:rsidRPr="00F20BA7">
              <w:rPr>
                <w:rFonts w:ascii="Arial" w:hAnsi="Arial" w:cs="Arial"/>
                <w:b/>
                <w:noProof/>
                <w:sz w:val="22"/>
                <w:szCs w:val="22"/>
                <w:lang w:val="es-CO"/>
              </w:rPr>
              <w:t>:</w:t>
            </w:r>
            <w:r w:rsidRPr="00F20BA7">
              <w:rPr>
                <w:rFonts w:ascii="Arial" w:hAnsi="Arial" w:cs="Arial"/>
                <w:noProof/>
                <w:sz w:val="22"/>
                <w:szCs w:val="22"/>
                <w:lang w:val="es-CO"/>
              </w:rPr>
              <w:t xml:space="preserve"> se reconoce la suma total de </w:t>
            </w:r>
            <w:r w:rsidRPr="00F20BA7">
              <w:rPr>
                <w:rFonts w:ascii="Arial" w:hAnsi="Arial" w:cs="Arial"/>
                <w:b/>
                <w:noProof/>
                <w:sz w:val="22"/>
                <w:szCs w:val="22"/>
                <w:lang w:val="es-CO"/>
              </w:rPr>
              <w:t xml:space="preserve">$ </w:t>
            </w:r>
            <w:r w:rsidR="00DE65A7" w:rsidRPr="00F20BA7">
              <w:rPr>
                <w:rFonts w:ascii="Arial" w:hAnsi="Arial" w:cs="Arial"/>
                <w:b/>
                <w:noProof/>
                <w:sz w:val="22"/>
                <w:szCs w:val="22"/>
                <w:lang w:val="es-CO"/>
              </w:rPr>
              <w:t>56.250.000</w:t>
            </w:r>
            <w:r w:rsidRPr="00F20BA7">
              <w:rPr>
                <w:rFonts w:ascii="Arial" w:hAnsi="Arial" w:cs="Arial"/>
                <w:noProof/>
                <w:sz w:val="22"/>
                <w:szCs w:val="22"/>
                <w:lang w:val="es-CO"/>
              </w:rPr>
              <w:t xml:space="preserve">. Valor discriminado así: </w:t>
            </w:r>
          </w:p>
          <w:p w14:paraId="2DCE1AC4" w14:textId="77777777" w:rsidR="00F44E98" w:rsidRPr="00F20BA7" w:rsidRDefault="00F44E98" w:rsidP="00F44E98">
            <w:pPr>
              <w:pStyle w:val="Sangra2detindependiente"/>
              <w:spacing w:line="240" w:lineRule="auto"/>
              <w:ind w:left="0"/>
              <w:jc w:val="both"/>
              <w:rPr>
                <w:rFonts w:ascii="Arial" w:hAnsi="Arial" w:cs="Arial"/>
                <w:noProof/>
                <w:sz w:val="22"/>
                <w:szCs w:val="22"/>
                <w:lang w:val="es-CO"/>
              </w:rPr>
            </w:pPr>
            <w:r w:rsidRPr="00F20BA7">
              <w:rPr>
                <w:rFonts w:ascii="Arial" w:hAnsi="Arial" w:cs="Arial"/>
                <w:b/>
                <w:noProof/>
                <w:sz w:val="22"/>
                <w:szCs w:val="22"/>
                <w:lang w:val="es-CO"/>
              </w:rPr>
              <w:t>(i)</w:t>
            </w:r>
            <w:r w:rsidRPr="00F20BA7">
              <w:rPr>
                <w:rFonts w:ascii="Arial" w:hAnsi="Arial" w:cs="Arial"/>
                <w:noProof/>
                <w:sz w:val="22"/>
                <w:szCs w:val="22"/>
                <w:lang w:val="es-CO"/>
              </w:rPr>
              <w:t xml:space="preserve"> Para </w:t>
            </w:r>
            <w:r w:rsidRPr="00F20BA7">
              <w:rPr>
                <w:rFonts w:ascii="Arial" w:hAnsi="Arial" w:cs="Arial"/>
                <w:iCs/>
                <w:sz w:val="22"/>
                <w:szCs w:val="22"/>
              </w:rPr>
              <w:t>Alba Marina Ramírez Gómez</w:t>
            </w:r>
            <w:r w:rsidRPr="00F20BA7">
              <w:rPr>
                <w:rFonts w:ascii="Arial" w:hAnsi="Arial" w:cs="Arial"/>
                <w:noProof/>
                <w:sz w:val="22"/>
                <w:szCs w:val="22"/>
                <w:lang w:val="es-CO"/>
              </w:rPr>
              <w:t xml:space="preserve"> la suma de $ 15.000.000.  </w:t>
            </w:r>
          </w:p>
          <w:p w14:paraId="56E58AF9" w14:textId="77777777" w:rsidR="00F44E98" w:rsidRPr="00F20BA7" w:rsidRDefault="00F44E98" w:rsidP="00F44E98">
            <w:pPr>
              <w:pStyle w:val="Sangra2detindependiente"/>
              <w:spacing w:line="240" w:lineRule="auto"/>
              <w:ind w:left="0"/>
              <w:jc w:val="both"/>
              <w:rPr>
                <w:rFonts w:ascii="Arial" w:hAnsi="Arial" w:cs="Arial"/>
                <w:noProof/>
                <w:sz w:val="22"/>
                <w:szCs w:val="22"/>
                <w:lang w:val="es-CO"/>
              </w:rPr>
            </w:pPr>
            <w:r w:rsidRPr="00F20BA7">
              <w:rPr>
                <w:rFonts w:ascii="Arial" w:hAnsi="Arial" w:cs="Arial"/>
                <w:b/>
                <w:noProof/>
                <w:sz w:val="22"/>
                <w:szCs w:val="22"/>
                <w:lang w:val="es-CO"/>
              </w:rPr>
              <w:t>(ii)</w:t>
            </w:r>
            <w:r w:rsidRPr="00F20BA7">
              <w:rPr>
                <w:rFonts w:ascii="Arial" w:hAnsi="Arial" w:cs="Arial"/>
                <w:noProof/>
                <w:sz w:val="22"/>
                <w:szCs w:val="22"/>
                <w:lang w:val="es-CO"/>
              </w:rPr>
              <w:t xml:space="preserve"> Para su cónyuge </w:t>
            </w:r>
            <w:r w:rsidRPr="00F20BA7">
              <w:rPr>
                <w:rFonts w:ascii="Arial" w:hAnsi="Arial" w:cs="Arial"/>
                <w:iCs/>
                <w:sz w:val="22"/>
                <w:szCs w:val="22"/>
              </w:rPr>
              <w:t>Heber García Bermúdez y sus hijos Jorge Hernán Andrade Ramírez, Víctor Hugo Blasquez Ramírez y Alexandra García Ramírez</w:t>
            </w:r>
            <w:r w:rsidRPr="00F20BA7">
              <w:rPr>
                <w:rFonts w:ascii="Arial" w:hAnsi="Arial" w:cs="Arial"/>
                <w:noProof/>
                <w:sz w:val="22"/>
                <w:szCs w:val="22"/>
                <w:lang w:val="es-CO"/>
              </w:rPr>
              <w:t xml:space="preserve">, la suma de $ 7.500.000 para cada uno, para un total de $ 30.000.000. </w:t>
            </w:r>
          </w:p>
          <w:p w14:paraId="3F114E05" w14:textId="77777777" w:rsidR="00F44E98" w:rsidRPr="00F20BA7" w:rsidRDefault="00F44E98" w:rsidP="00F44E98">
            <w:pPr>
              <w:pStyle w:val="Sangra2detindependiente"/>
              <w:spacing w:line="240" w:lineRule="auto"/>
              <w:ind w:left="0"/>
              <w:jc w:val="both"/>
              <w:rPr>
                <w:rFonts w:ascii="Arial" w:hAnsi="Arial" w:cs="Arial"/>
                <w:noProof/>
                <w:sz w:val="22"/>
                <w:szCs w:val="22"/>
                <w:lang w:val="es-CO"/>
              </w:rPr>
            </w:pPr>
            <w:r w:rsidRPr="00F20BA7">
              <w:rPr>
                <w:rFonts w:ascii="Arial" w:hAnsi="Arial" w:cs="Arial"/>
                <w:b/>
                <w:noProof/>
                <w:sz w:val="22"/>
                <w:szCs w:val="22"/>
                <w:lang w:val="es-CO"/>
              </w:rPr>
              <w:t>(iii)</w:t>
            </w:r>
            <w:r w:rsidRPr="00F20BA7">
              <w:rPr>
                <w:rFonts w:ascii="Arial" w:hAnsi="Arial" w:cs="Arial"/>
                <w:noProof/>
                <w:sz w:val="22"/>
                <w:szCs w:val="22"/>
                <w:lang w:val="es-CO"/>
              </w:rPr>
              <w:t xml:space="preserve"> Para cada uno de sus nietos </w:t>
            </w:r>
            <w:r w:rsidRPr="00F20BA7">
              <w:rPr>
                <w:rFonts w:ascii="Arial" w:hAnsi="Arial" w:cs="Arial"/>
                <w:iCs/>
                <w:sz w:val="22"/>
                <w:szCs w:val="22"/>
              </w:rPr>
              <w:t xml:space="preserve">Miguel Ángel Blasquez Gutiérrez, Brandon Blasquez Gutiérrez y Luciana Giraldo García, la suma de $ 3.750.000, para un total de $ 11.250.000.   </w:t>
            </w:r>
            <w:r w:rsidRPr="00F20BA7">
              <w:rPr>
                <w:rFonts w:ascii="Arial" w:hAnsi="Arial" w:cs="Arial"/>
                <w:noProof/>
                <w:sz w:val="22"/>
                <w:szCs w:val="22"/>
                <w:lang w:val="es-CO"/>
              </w:rPr>
              <w:t xml:space="preserve">  </w:t>
            </w:r>
          </w:p>
          <w:p w14:paraId="15EAEE4F" w14:textId="77777777" w:rsidR="00F44E98" w:rsidRPr="00F20BA7" w:rsidRDefault="00F44E98" w:rsidP="00F44E98">
            <w:pPr>
              <w:pStyle w:val="Sangra2detindependiente"/>
              <w:spacing w:line="240" w:lineRule="auto"/>
              <w:ind w:left="0"/>
              <w:jc w:val="both"/>
              <w:rPr>
                <w:rFonts w:ascii="Arial" w:hAnsi="Arial" w:cs="Arial"/>
                <w:noProof/>
                <w:sz w:val="22"/>
                <w:szCs w:val="22"/>
                <w:lang w:val="es-CO"/>
              </w:rPr>
            </w:pPr>
            <w:r w:rsidRPr="00F20BA7">
              <w:rPr>
                <w:rFonts w:ascii="Arial" w:hAnsi="Arial" w:cs="Arial"/>
                <w:noProof/>
                <w:sz w:val="22"/>
                <w:szCs w:val="22"/>
                <w:lang w:val="es-CO"/>
              </w:rPr>
              <w:t xml:space="preserve">Lo anterior tomando como base la sentencia de casación SC5885 del 6 de mayo de 2016 en la que se reconoció la suma de $ 15.000.000 a favor de una menor por las lesiones que le generaron una PCL del 20.65 % producto de un accidente de tránsito. Además, en sentencia del 7 de marzo de 2019. M.P. Octavio Augusto Tejeiro Duque, en la que se indicó, en otras cosas, el reconocimiento de este perjuicio para los familiares en primer grado de consanguinidad de la víctima directa y de forma proporcional a los familiares de segundo grado.  </w:t>
            </w:r>
          </w:p>
          <w:p w14:paraId="70C51407" w14:textId="77777777" w:rsidR="00F44E98" w:rsidRPr="00F20BA7" w:rsidRDefault="00F44E98" w:rsidP="00F44E98">
            <w:pPr>
              <w:pStyle w:val="Sangra2detindependiente"/>
              <w:spacing w:after="0" w:line="240" w:lineRule="auto"/>
              <w:ind w:left="0"/>
              <w:jc w:val="both"/>
              <w:rPr>
                <w:rFonts w:ascii="Arial" w:hAnsi="Arial" w:cs="Arial"/>
                <w:noProof/>
                <w:sz w:val="22"/>
                <w:szCs w:val="22"/>
                <w:lang w:val="es-CO"/>
              </w:rPr>
            </w:pPr>
            <w:r w:rsidRPr="00F20BA7">
              <w:rPr>
                <w:rFonts w:ascii="Arial" w:hAnsi="Arial" w:cs="Arial"/>
                <w:noProof/>
                <w:sz w:val="22"/>
                <w:szCs w:val="22"/>
                <w:lang w:val="es-CO"/>
              </w:rPr>
              <w:t xml:space="preserve">En el expediente reposa la historia clínica del paciente, donde se observa su delicado estado de salud con ocasión a sus comorbilidades, consistentes en cáncer de recto en estadio II, las quimioterapias recibidas, los procedimeintos realizados, las sondas que debe utilizar y demás. Sin embargo, no existe un dictamen de PCL que permita verificar el estado de salud actual del paciente y tampoco existen informes periciales de medicina legal, por lo que no es posible objetivamente conocer las secuelas del paciente con ocasión a los hechos de la demanda. Finalmente, el estado de salud actual del paciente se debe a las enfermedades que de antaño padece.  </w:t>
            </w:r>
          </w:p>
          <w:p w14:paraId="539E4DBF" w14:textId="77777777" w:rsidR="00F44E98" w:rsidRPr="00F20BA7" w:rsidRDefault="00F44E98" w:rsidP="00F44E98">
            <w:pPr>
              <w:pStyle w:val="Sangra2detindependiente"/>
              <w:spacing w:after="0" w:line="240" w:lineRule="auto"/>
              <w:ind w:left="0"/>
              <w:jc w:val="both"/>
              <w:rPr>
                <w:rFonts w:ascii="Arial" w:hAnsi="Arial" w:cs="Arial"/>
                <w:noProof/>
                <w:sz w:val="22"/>
                <w:szCs w:val="22"/>
                <w:lang w:val="es-CO"/>
              </w:rPr>
            </w:pPr>
          </w:p>
          <w:p w14:paraId="7B19864E" w14:textId="254BECE0" w:rsidR="00F44E98" w:rsidRPr="00F20BA7" w:rsidRDefault="00F44E98" w:rsidP="00F44E98">
            <w:pPr>
              <w:pStyle w:val="Sangra2detindependiente"/>
              <w:spacing w:line="240" w:lineRule="auto"/>
              <w:ind w:left="0"/>
              <w:jc w:val="both"/>
              <w:rPr>
                <w:rFonts w:ascii="Arial" w:hAnsi="Arial" w:cs="Arial"/>
                <w:noProof/>
                <w:sz w:val="22"/>
                <w:szCs w:val="22"/>
                <w:lang w:val="es-CO"/>
              </w:rPr>
            </w:pPr>
            <w:r w:rsidRPr="00F20BA7">
              <w:rPr>
                <w:rFonts w:ascii="Arial" w:hAnsi="Arial" w:cs="Arial"/>
                <w:b/>
                <w:noProof/>
                <w:sz w:val="22"/>
                <w:szCs w:val="22"/>
                <w:lang w:val="es-CO"/>
              </w:rPr>
              <w:t xml:space="preserve">2. </w:t>
            </w:r>
            <w:r w:rsidRPr="00F20BA7">
              <w:rPr>
                <w:rFonts w:ascii="Arial" w:hAnsi="Arial" w:cs="Arial"/>
                <w:b/>
                <w:noProof/>
                <w:sz w:val="22"/>
                <w:szCs w:val="22"/>
                <w:u w:val="single"/>
                <w:lang w:val="es-CO"/>
              </w:rPr>
              <w:t xml:space="preserve">Daño a la </w:t>
            </w:r>
            <w:r w:rsidR="006B01C9">
              <w:rPr>
                <w:rFonts w:ascii="Arial" w:hAnsi="Arial" w:cs="Arial"/>
                <w:b/>
                <w:noProof/>
                <w:sz w:val="22"/>
                <w:szCs w:val="22"/>
                <w:u w:val="single"/>
                <w:lang w:val="es-CO"/>
              </w:rPr>
              <w:t xml:space="preserve">vida de relación (“daño a la </w:t>
            </w:r>
            <w:r w:rsidRPr="00F20BA7">
              <w:rPr>
                <w:rFonts w:ascii="Arial" w:hAnsi="Arial" w:cs="Arial"/>
                <w:b/>
                <w:noProof/>
                <w:sz w:val="22"/>
                <w:szCs w:val="22"/>
                <w:u w:val="single"/>
                <w:lang w:val="es-CO"/>
              </w:rPr>
              <w:t>salud</w:t>
            </w:r>
            <w:r w:rsidR="006B01C9">
              <w:rPr>
                <w:rFonts w:ascii="Arial" w:hAnsi="Arial" w:cs="Arial"/>
                <w:b/>
                <w:noProof/>
                <w:sz w:val="22"/>
                <w:szCs w:val="22"/>
                <w:u w:val="single"/>
                <w:lang w:val="es-CO"/>
              </w:rPr>
              <w:t>”)</w:t>
            </w:r>
            <w:r w:rsidRPr="00F20BA7">
              <w:rPr>
                <w:rFonts w:ascii="Arial" w:hAnsi="Arial" w:cs="Arial"/>
                <w:b/>
                <w:noProof/>
                <w:sz w:val="22"/>
                <w:szCs w:val="22"/>
                <w:lang w:val="es-CO"/>
              </w:rPr>
              <w:t>:</w:t>
            </w:r>
            <w:r w:rsidRPr="00F20BA7">
              <w:rPr>
                <w:rFonts w:ascii="Arial" w:hAnsi="Arial" w:cs="Arial"/>
                <w:noProof/>
                <w:sz w:val="22"/>
                <w:szCs w:val="22"/>
                <w:lang w:val="es-CO"/>
              </w:rPr>
              <w:t xml:space="preserve"> se reconoce la suma total de </w:t>
            </w:r>
            <w:r w:rsidRPr="00F20BA7">
              <w:rPr>
                <w:rFonts w:ascii="Arial" w:hAnsi="Arial" w:cs="Arial"/>
                <w:b/>
                <w:noProof/>
                <w:sz w:val="22"/>
                <w:szCs w:val="22"/>
                <w:lang w:val="es-CO"/>
              </w:rPr>
              <w:t>$ 20.000.000</w:t>
            </w:r>
            <w:r w:rsidRPr="00F20BA7">
              <w:rPr>
                <w:rFonts w:ascii="Arial" w:hAnsi="Arial" w:cs="Arial"/>
                <w:noProof/>
                <w:sz w:val="22"/>
                <w:szCs w:val="22"/>
                <w:lang w:val="es-CO"/>
              </w:rPr>
              <w:t xml:space="preserve">. para </w:t>
            </w:r>
            <w:r w:rsidRPr="00F20BA7">
              <w:rPr>
                <w:rFonts w:ascii="Arial" w:hAnsi="Arial" w:cs="Arial"/>
                <w:iCs/>
                <w:sz w:val="22"/>
                <w:szCs w:val="22"/>
              </w:rPr>
              <w:t>Alba Marina Ramírez Gómez</w:t>
            </w:r>
            <w:r w:rsidRPr="00F20BA7">
              <w:rPr>
                <w:rFonts w:ascii="Arial" w:hAnsi="Arial" w:cs="Arial"/>
                <w:noProof/>
                <w:sz w:val="22"/>
                <w:szCs w:val="22"/>
                <w:lang w:val="es-CO"/>
              </w:rPr>
              <w:t xml:space="preserve">.  </w:t>
            </w:r>
          </w:p>
          <w:p w14:paraId="1D424A16" w14:textId="63388411" w:rsidR="00F44E98" w:rsidRPr="00F20BA7" w:rsidRDefault="00F44E98" w:rsidP="00F44E98">
            <w:pPr>
              <w:pStyle w:val="Sangra2detindependiente"/>
              <w:spacing w:line="240" w:lineRule="auto"/>
              <w:ind w:left="0"/>
              <w:jc w:val="both"/>
              <w:rPr>
                <w:rFonts w:ascii="Arial" w:hAnsi="Arial" w:cs="Arial"/>
                <w:noProof/>
                <w:sz w:val="22"/>
                <w:szCs w:val="22"/>
                <w:lang w:val="es-CO"/>
              </w:rPr>
            </w:pPr>
            <w:r w:rsidRPr="00F20BA7">
              <w:rPr>
                <w:rFonts w:ascii="Arial" w:hAnsi="Arial" w:cs="Arial"/>
                <w:noProof/>
                <w:sz w:val="22"/>
                <w:szCs w:val="22"/>
                <w:lang w:val="es-CO"/>
              </w:rPr>
              <w:t>Inicialmente se debe advertir que este concepto indemnizatorio es equiparado jurisprudencialmente con el daño a la vida en relación (Sentencia SC562-2020 del 27 de febrero de 2020, radicado 2012-00279-01, M.P. Ariel Salazar Ramírez), por lo que es procedente su reconocimiento</w:t>
            </w:r>
            <w:r w:rsidR="006641D1">
              <w:rPr>
                <w:rFonts w:ascii="Arial" w:hAnsi="Arial" w:cs="Arial"/>
                <w:noProof/>
                <w:sz w:val="22"/>
                <w:szCs w:val="22"/>
                <w:lang w:val="es-CO"/>
              </w:rPr>
              <w:t xml:space="preserve">, además, el despacho puede equiparar el daño a la salud con el daño a la vida en relación en virtud del </w:t>
            </w:r>
            <w:r w:rsidR="006641D1" w:rsidRPr="006641D1">
              <w:rPr>
                <w:rFonts w:ascii="Arial" w:hAnsi="Arial" w:cs="Arial"/>
                <w:i/>
                <w:noProof/>
                <w:sz w:val="22"/>
                <w:szCs w:val="22"/>
                <w:lang w:val="es-CO"/>
              </w:rPr>
              <w:t>iura novit curia</w:t>
            </w:r>
            <w:r w:rsidRPr="00F20BA7">
              <w:rPr>
                <w:rFonts w:ascii="Arial" w:hAnsi="Arial" w:cs="Arial"/>
                <w:noProof/>
                <w:sz w:val="22"/>
                <w:szCs w:val="22"/>
                <w:lang w:val="es-CO"/>
              </w:rPr>
              <w:t xml:space="preserve">. </w:t>
            </w:r>
          </w:p>
          <w:p w14:paraId="1320E943" w14:textId="77777777" w:rsidR="00F44E98" w:rsidRPr="00F20BA7" w:rsidRDefault="00F44E98" w:rsidP="00F44E98">
            <w:pPr>
              <w:pStyle w:val="Sangra2detindependiente"/>
              <w:spacing w:line="240" w:lineRule="auto"/>
              <w:ind w:left="0"/>
              <w:jc w:val="both"/>
              <w:rPr>
                <w:rFonts w:ascii="Arial" w:hAnsi="Arial" w:cs="Arial"/>
                <w:noProof/>
                <w:sz w:val="22"/>
                <w:szCs w:val="22"/>
                <w:lang w:val="es-CO"/>
              </w:rPr>
            </w:pPr>
            <w:r w:rsidRPr="00F20BA7">
              <w:rPr>
                <w:rFonts w:ascii="Arial" w:hAnsi="Arial" w:cs="Arial"/>
                <w:noProof/>
                <w:sz w:val="22"/>
                <w:szCs w:val="22"/>
                <w:lang w:val="es-CO"/>
              </w:rPr>
              <w:t xml:space="preserve">Lo anterior tomando como base la sentencia de casación SC5885 del 6 de mayo de 2016 en la que se reconoció la suma de $ 20.000.000 a favor de una menor por las lesiones que le generaron una PCL del 20.65 % producto de un accidente de tránsito. Además, en sentencia del 7 de marzo de 2019. M.P. Octavio Augusto Tejeiro Duque, en la que se indicó, en otras cosas, el reconocimiento de este perjuicio para los familiares en primer grado de consanguinidad de la víctima directa y de forma proporcional a los familiares de segundo grado.  </w:t>
            </w:r>
          </w:p>
          <w:p w14:paraId="70A17CD0" w14:textId="77777777" w:rsidR="00F44E98" w:rsidRPr="00F20BA7" w:rsidRDefault="00F44E98" w:rsidP="00F44E98">
            <w:pPr>
              <w:pStyle w:val="Sangra2detindependiente"/>
              <w:spacing w:after="0" w:line="240" w:lineRule="auto"/>
              <w:ind w:left="0"/>
              <w:jc w:val="both"/>
              <w:rPr>
                <w:rFonts w:ascii="Arial" w:hAnsi="Arial" w:cs="Arial"/>
                <w:noProof/>
                <w:sz w:val="22"/>
                <w:szCs w:val="22"/>
                <w:lang w:val="es-CO"/>
              </w:rPr>
            </w:pPr>
            <w:r w:rsidRPr="00F20BA7">
              <w:rPr>
                <w:rFonts w:ascii="Arial" w:hAnsi="Arial" w:cs="Arial"/>
                <w:noProof/>
                <w:sz w:val="22"/>
                <w:szCs w:val="22"/>
                <w:lang w:val="es-CO"/>
              </w:rPr>
              <w:t>En el expediente reposa la historia clínica del paciente, donde se observa su delicado estado de salud con ocasión a sus comorbilidades, consistentes en cáncer de recto en estadio II, las quimioterapias recibidas, los procedimeintos realizados, las sondas que debe utilizar y demás. Sin embargo, no existe un dictamen de PCL que permita verificar el estado de salud actual del paciente y tampoco existen informes periciales de medicina legal, por lo que no es posible objetivamente conocer las secuelas del paciente con ocasión a los hechos de la demanda. Finalmente, el estado de salud actual del paciente se debe a las enfermedades que de antaño padece.</w:t>
            </w:r>
          </w:p>
          <w:p w14:paraId="7E3E30B8" w14:textId="77777777" w:rsidR="00F44E98" w:rsidRPr="00F20BA7" w:rsidRDefault="00F44E98" w:rsidP="00F44E98">
            <w:pPr>
              <w:pStyle w:val="Sangra2detindependiente"/>
              <w:spacing w:after="0" w:line="240" w:lineRule="auto"/>
              <w:ind w:left="0"/>
              <w:jc w:val="both"/>
              <w:rPr>
                <w:rFonts w:ascii="Arial" w:hAnsi="Arial" w:cs="Arial"/>
                <w:noProof/>
                <w:sz w:val="22"/>
                <w:szCs w:val="22"/>
                <w:lang w:val="es-CO"/>
              </w:rPr>
            </w:pPr>
          </w:p>
          <w:p w14:paraId="1E8093B6" w14:textId="376C32C2" w:rsidR="00560472" w:rsidRPr="00F20BA7" w:rsidRDefault="00F44E98" w:rsidP="00F44E98">
            <w:pPr>
              <w:pStyle w:val="Sangra2detindependiente"/>
              <w:spacing w:after="0" w:line="240" w:lineRule="auto"/>
              <w:ind w:left="0"/>
              <w:jc w:val="both"/>
              <w:rPr>
                <w:rFonts w:ascii="Arial" w:hAnsi="Arial" w:cs="Arial"/>
                <w:sz w:val="22"/>
                <w:szCs w:val="22"/>
              </w:rPr>
            </w:pPr>
            <w:r w:rsidRPr="00F20BA7">
              <w:rPr>
                <w:rFonts w:ascii="Arial" w:hAnsi="Arial" w:cs="Arial"/>
                <w:b/>
                <w:noProof/>
                <w:sz w:val="22"/>
                <w:szCs w:val="22"/>
                <w:lang w:val="es-CO"/>
              </w:rPr>
              <w:lastRenderedPageBreak/>
              <w:t xml:space="preserve">3. </w:t>
            </w:r>
            <w:r w:rsidRPr="00F20BA7">
              <w:rPr>
                <w:rFonts w:ascii="Arial" w:hAnsi="Arial" w:cs="Arial"/>
                <w:b/>
                <w:noProof/>
                <w:sz w:val="22"/>
                <w:szCs w:val="22"/>
                <w:u w:val="single"/>
                <w:lang w:val="es-CO"/>
              </w:rPr>
              <w:t>Daño a bienes constitucionales o convencionales</w:t>
            </w:r>
            <w:r w:rsidRPr="00F20BA7">
              <w:rPr>
                <w:rFonts w:ascii="Arial" w:hAnsi="Arial" w:cs="Arial"/>
                <w:b/>
                <w:noProof/>
                <w:sz w:val="22"/>
                <w:szCs w:val="22"/>
                <w:lang w:val="es-CO"/>
              </w:rPr>
              <w:t>:</w:t>
            </w:r>
            <w:r w:rsidRPr="00F20BA7">
              <w:rPr>
                <w:rFonts w:ascii="Arial" w:hAnsi="Arial" w:cs="Arial"/>
                <w:noProof/>
                <w:sz w:val="22"/>
                <w:szCs w:val="22"/>
                <w:lang w:val="es-CO"/>
              </w:rPr>
              <w:t xml:space="preserve"> </w:t>
            </w:r>
            <w:r w:rsidR="009643E3" w:rsidRPr="00BE7A72">
              <w:rPr>
                <w:rFonts w:ascii="Arial" w:hAnsi="Arial" w:cs="Arial"/>
                <w:b/>
                <w:noProof/>
                <w:sz w:val="22"/>
                <w:szCs w:val="22"/>
                <w:lang w:val="es-CO"/>
              </w:rPr>
              <w:t xml:space="preserve">$0. </w:t>
            </w:r>
            <w:r w:rsidR="009643E3">
              <w:rPr>
                <w:rFonts w:ascii="Arial" w:hAnsi="Arial" w:cs="Arial"/>
                <w:noProof/>
                <w:sz w:val="22"/>
                <w:szCs w:val="22"/>
                <w:lang w:val="es-CO"/>
              </w:rPr>
              <w:t>N</w:t>
            </w:r>
            <w:r w:rsidRPr="00F20BA7">
              <w:rPr>
                <w:rFonts w:ascii="Arial" w:hAnsi="Arial" w:cs="Arial"/>
                <w:noProof/>
                <w:sz w:val="22"/>
                <w:szCs w:val="22"/>
                <w:lang w:val="es-CO"/>
              </w:rPr>
              <w:t xml:space="preserve">o se reconoce suma alguna por este concepto. </w:t>
            </w:r>
            <w:r w:rsidRPr="00F20BA7">
              <w:rPr>
                <w:rFonts w:ascii="Arial" w:hAnsi="Arial" w:cs="Arial"/>
                <w:sz w:val="22"/>
                <w:szCs w:val="22"/>
              </w:rPr>
              <w:t>Lo anterior, toda vez que este tipo de daño encuadra perfectamente en lo que hoy la jurisprudencia del Consejo de Estado reconoce o identifica como parte de los bienes convencional y constitucionalmente protegidos, es decir, se trata de un perjuicio completamente extraño en la jurisdicción civil y que sólo es reconocido en la jurisdicción contencioso administrativa. Aunado a lo anterior, además de no ser un concepto indemnizatorio procedente en esta jurisdicción, lo cierto es que el mismo está encaminado a ser reconocido en casos especialísimos, como secuestro, asesinato, o al impedimento del ejercicio de derechos políticos, a la vida, a la libertad, a la libre circulación, al libre desarrollo de la personalidad o a la familia, situación que no se presenta en el caso de marras. Finalmente, cuando este concepto indemnizatorio es reconocido, su reconocimiento debe privilegiar, en cuanto resulte posible, las medidas de carácter no pecuniario, tales como un acto de disculpa o el reconocimiento de la autoría o el juzgamiento de los responsables, por lo tanto, de ninguna manera, una suma de dinero puede ser reconocida a favor de los demandantes.</w:t>
            </w:r>
          </w:p>
          <w:p w14:paraId="785AE7DF" w14:textId="77777777" w:rsidR="00560472" w:rsidRPr="00F20BA7" w:rsidRDefault="00560472" w:rsidP="00F44E98">
            <w:pPr>
              <w:pStyle w:val="Sangra2detindependiente"/>
              <w:spacing w:after="0" w:line="240" w:lineRule="auto"/>
              <w:ind w:left="0"/>
              <w:jc w:val="both"/>
              <w:rPr>
                <w:rFonts w:ascii="Arial" w:hAnsi="Arial" w:cs="Arial"/>
                <w:sz w:val="22"/>
                <w:szCs w:val="22"/>
              </w:rPr>
            </w:pPr>
          </w:p>
          <w:p w14:paraId="527E60C7" w14:textId="5B62DF03" w:rsidR="00560472" w:rsidRPr="00F20BA7" w:rsidRDefault="00560472" w:rsidP="00560472">
            <w:pPr>
              <w:pStyle w:val="Sangra2detindependiente"/>
              <w:spacing w:after="0" w:line="240" w:lineRule="auto"/>
              <w:ind w:left="0"/>
              <w:jc w:val="both"/>
              <w:rPr>
                <w:rFonts w:ascii="Arial" w:hAnsi="Arial" w:cs="Arial"/>
                <w:noProof/>
                <w:sz w:val="22"/>
                <w:szCs w:val="22"/>
                <w:lang w:val="es-CO"/>
              </w:rPr>
            </w:pPr>
            <w:r w:rsidRPr="00F20BA7">
              <w:rPr>
                <w:rFonts w:ascii="Arial" w:hAnsi="Arial" w:cs="Arial"/>
                <w:b/>
                <w:noProof/>
                <w:sz w:val="22"/>
                <w:szCs w:val="22"/>
                <w:lang w:val="es-CO"/>
              </w:rPr>
              <w:t xml:space="preserve">4. </w:t>
            </w:r>
            <w:r w:rsidRPr="00F20BA7">
              <w:rPr>
                <w:rFonts w:ascii="Arial" w:hAnsi="Arial" w:cs="Arial"/>
                <w:b/>
                <w:noProof/>
                <w:sz w:val="22"/>
                <w:szCs w:val="22"/>
                <w:u w:val="single"/>
                <w:lang w:val="es-CO"/>
              </w:rPr>
              <w:t>Deducible</w:t>
            </w:r>
            <w:r w:rsidRPr="00F20BA7">
              <w:rPr>
                <w:rFonts w:ascii="Arial" w:hAnsi="Arial" w:cs="Arial"/>
                <w:b/>
                <w:noProof/>
                <w:sz w:val="22"/>
                <w:szCs w:val="22"/>
                <w:lang w:val="es-CO"/>
              </w:rPr>
              <w:t>:</w:t>
            </w:r>
            <w:r w:rsidRPr="00F20BA7">
              <w:rPr>
                <w:rFonts w:ascii="Arial" w:hAnsi="Arial" w:cs="Arial"/>
                <w:noProof/>
                <w:sz w:val="22"/>
                <w:szCs w:val="22"/>
                <w:lang w:val="es-CO"/>
              </w:rPr>
              <w:t xml:space="preserve"> se pactó un deducible del 10 % del valor de la pérdida, mínimo $ 60.000.000, por lo tanto, al valor anterior de $ 76.250.000 se le deb</w:t>
            </w:r>
            <w:r w:rsidR="0034396D">
              <w:rPr>
                <w:rFonts w:ascii="Arial" w:hAnsi="Arial" w:cs="Arial"/>
                <w:noProof/>
                <w:sz w:val="22"/>
                <w:szCs w:val="22"/>
                <w:lang w:val="es-CO"/>
              </w:rPr>
              <w:t>e</w:t>
            </w:r>
            <w:r w:rsidRPr="00F20BA7">
              <w:rPr>
                <w:rFonts w:ascii="Arial" w:hAnsi="Arial" w:cs="Arial"/>
                <w:noProof/>
                <w:sz w:val="22"/>
                <w:szCs w:val="22"/>
                <w:lang w:val="es-CO"/>
              </w:rPr>
              <w:t xml:space="preserve"> restar por concepto de deducible la suma de $ 60.000.000, arrojando un valor final de $ 16.250.000.</w:t>
            </w:r>
          </w:p>
          <w:p w14:paraId="32DFF81C" w14:textId="45AF7CFE" w:rsidR="00F44E98" w:rsidRPr="00F20BA7" w:rsidRDefault="00F44E98" w:rsidP="00F44E98">
            <w:pPr>
              <w:pStyle w:val="Sangra2detindependiente"/>
              <w:spacing w:after="0" w:line="240" w:lineRule="auto"/>
              <w:ind w:left="0"/>
              <w:jc w:val="both"/>
              <w:rPr>
                <w:rFonts w:ascii="Arial" w:hAnsi="Arial" w:cs="Arial"/>
                <w:noProof/>
                <w:sz w:val="22"/>
                <w:szCs w:val="22"/>
                <w:lang w:val="es-CO"/>
              </w:rPr>
            </w:pPr>
            <w:r w:rsidRPr="00F20BA7">
              <w:rPr>
                <w:rFonts w:ascii="Arial" w:hAnsi="Arial" w:cs="Arial"/>
                <w:sz w:val="22"/>
                <w:szCs w:val="22"/>
              </w:rPr>
              <w:t xml:space="preserve"> </w:t>
            </w:r>
            <w:r w:rsidRPr="00F20BA7">
              <w:rPr>
                <w:rFonts w:ascii="Arial" w:hAnsi="Arial" w:cs="Arial"/>
                <w:noProof/>
                <w:sz w:val="22"/>
                <w:szCs w:val="22"/>
                <w:lang w:val="es-CO"/>
              </w:rPr>
              <w:t xml:space="preserve"> </w:t>
            </w:r>
          </w:p>
          <w:p w14:paraId="7693571E" w14:textId="1105FFB0" w:rsidR="00F44E98" w:rsidRPr="00F20BA7" w:rsidRDefault="00F44E98" w:rsidP="00F44E98">
            <w:pPr>
              <w:pStyle w:val="Sangra2detindependiente"/>
              <w:spacing w:after="0" w:line="240" w:lineRule="auto"/>
              <w:ind w:left="0"/>
              <w:jc w:val="both"/>
              <w:rPr>
                <w:rFonts w:ascii="Arial" w:hAnsi="Arial" w:cs="Arial"/>
                <w:noProof/>
                <w:sz w:val="22"/>
                <w:szCs w:val="22"/>
                <w:lang w:val="es-CO"/>
              </w:rPr>
            </w:pPr>
            <w:r w:rsidRPr="00F20BA7">
              <w:rPr>
                <w:rFonts w:ascii="Arial" w:hAnsi="Arial" w:cs="Arial"/>
                <w:noProof/>
                <w:sz w:val="22"/>
                <w:szCs w:val="22"/>
                <w:lang w:val="es-CO"/>
              </w:rPr>
              <w:t xml:space="preserve">     </w:t>
            </w:r>
            <w:r w:rsidRPr="00F20BA7">
              <w:rPr>
                <w:rFonts w:ascii="Arial" w:hAnsi="Arial" w:cs="Arial"/>
                <w:noProof/>
                <w:sz w:val="22"/>
                <w:szCs w:val="22"/>
                <w:lang w:val="es-CO"/>
              </w:rPr>
              <w:tab/>
            </w:r>
          </w:p>
          <w:p w14:paraId="5C38E66B" w14:textId="56C90497" w:rsidR="002C06F6" w:rsidRPr="00F20BA7" w:rsidRDefault="00560472" w:rsidP="00F44E98">
            <w:pPr>
              <w:pStyle w:val="Sangra2detindependiente"/>
              <w:spacing w:after="0" w:line="240" w:lineRule="auto"/>
              <w:ind w:left="0"/>
              <w:jc w:val="both"/>
              <w:rPr>
                <w:rFonts w:ascii="Arial" w:hAnsi="Arial" w:cs="Arial"/>
                <w:noProof/>
                <w:sz w:val="22"/>
                <w:szCs w:val="22"/>
                <w:lang w:val="es-CO"/>
              </w:rPr>
            </w:pPr>
            <w:r w:rsidRPr="00F20BA7">
              <w:rPr>
                <w:rFonts w:ascii="Arial" w:hAnsi="Arial" w:cs="Arial"/>
                <w:b/>
                <w:noProof/>
                <w:sz w:val="22"/>
                <w:szCs w:val="22"/>
                <w:lang w:val="es-CO"/>
              </w:rPr>
              <w:t>5</w:t>
            </w:r>
            <w:r w:rsidR="00F44E98" w:rsidRPr="00F20BA7">
              <w:rPr>
                <w:rFonts w:ascii="Arial" w:hAnsi="Arial" w:cs="Arial"/>
                <w:b/>
                <w:noProof/>
                <w:sz w:val="22"/>
                <w:szCs w:val="22"/>
                <w:lang w:val="es-CO"/>
              </w:rPr>
              <w:t xml:space="preserve">. </w:t>
            </w:r>
            <w:r w:rsidR="00F44E98" w:rsidRPr="00F20BA7">
              <w:rPr>
                <w:rFonts w:ascii="Arial" w:hAnsi="Arial" w:cs="Arial"/>
                <w:b/>
                <w:noProof/>
                <w:sz w:val="22"/>
                <w:szCs w:val="22"/>
                <w:u w:val="single"/>
                <w:lang w:val="es-CO"/>
              </w:rPr>
              <w:t>Valor de la contingencia</w:t>
            </w:r>
            <w:r w:rsidR="00F44E98" w:rsidRPr="00F20BA7">
              <w:rPr>
                <w:rFonts w:ascii="Arial" w:hAnsi="Arial" w:cs="Arial"/>
                <w:b/>
                <w:noProof/>
                <w:sz w:val="22"/>
                <w:szCs w:val="22"/>
                <w:lang w:val="es-CO"/>
              </w:rPr>
              <w:t xml:space="preserve">: </w:t>
            </w:r>
            <w:r w:rsidR="00F44E98" w:rsidRPr="00F20BA7">
              <w:rPr>
                <w:rFonts w:ascii="Arial" w:hAnsi="Arial" w:cs="Arial"/>
                <w:noProof/>
                <w:sz w:val="22"/>
                <w:szCs w:val="22"/>
                <w:lang w:val="es-CO"/>
              </w:rPr>
              <w:t>el valor de la contingencia ($</w:t>
            </w:r>
            <w:r w:rsidRPr="00F20BA7">
              <w:rPr>
                <w:rFonts w:ascii="Arial" w:hAnsi="Arial" w:cs="Arial"/>
                <w:noProof/>
                <w:sz w:val="22"/>
                <w:szCs w:val="22"/>
                <w:lang w:val="es-CO"/>
              </w:rPr>
              <w:t xml:space="preserve"> 16.250.000</w:t>
            </w:r>
            <w:r w:rsidR="00F44E98" w:rsidRPr="00F20BA7">
              <w:rPr>
                <w:rFonts w:ascii="Arial" w:hAnsi="Arial" w:cs="Arial"/>
                <w:noProof/>
                <w:sz w:val="22"/>
                <w:szCs w:val="22"/>
                <w:lang w:val="es-CO"/>
              </w:rPr>
              <w:t xml:space="preserve">) es menor al valor asegurado en la póliza para el amparo de Responsabilidad Civil Clínicas y Hospitales ($ </w:t>
            </w:r>
            <w:r w:rsidR="00F44E98" w:rsidRPr="00F20BA7">
              <w:rPr>
                <w:rFonts w:ascii="Arial" w:hAnsi="Arial" w:cs="Arial"/>
                <w:bCs/>
                <w:sz w:val="22"/>
                <w:szCs w:val="22"/>
              </w:rPr>
              <w:t>1.500.000.000</w:t>
            </w:r>
            <w:r w:rsidR="00F44E98" w:rsidRPr="00F20BA7">
              <w:rPr>
                <w:rFonts w:ascii="Arial" w:hAnsi="Arial" w:cs="Arial"/>
                <w:noProof/>
                <w:sz w:val="22"/>
                <w:szCs w:val="22"/>
                <w:lang w:val="es-CO"/>
              </w:rPr>
              <w:t xml:space="preserve">), </w:t>
            </w:r>
            <w:r w:rsidR="002C06F6" w:rsidRPr="00F20BA7">
              <w:rPr>
                <w:rFonts w:ascii="Arial" w:hAnsi="Arial" w:cs="Arial"/>
                <w:noProof/>
                <w:sz w:val="22"/>
                <w:szCs w:val="22"/>
                <w:lang w:val="es-CO"/>
              </w:rPr>
              <w:t xml:space="preserve">por lo tanto, se toma el menor valor, es decir, la suma de $ </w:t>
            </w:r>
            <w:r w:rsidRPr="00F20BA7">
              <w:rPr>
                <w:rFonts w:ascii="Arial" w:hAnsi="Arial" w:cs="Arial"/>
                <w:noProof/>
                <w:sz w:val="22"/>
                <w:szCs w:val="22"/>
                <w:lang w:val="es-CO"/>
              </w:rPr>
              <w:t>16.250.000</w:t>
            </w:r>
            <w:r w:rsidR="002C06F6" w:rsidRPr="00F20BA7">
              <w:rPr>
                <w:rFonts w:ascii="Arial" w:hAnsi="Arial" w:cs="Arial"/>
                <w:noProof/>
                <w:sz w:val="22"/>
                <w:szCs w:val="22"/>
                <w:lang w:val="es-CO"/>
              </w:rPr>
              <w:t xml:space="preserve">.   </w:t>
            </w:r>
          </w:p>
          <w:p w14:paraId="6DB1E8B3" w14:textId="5D391B4E" w:rsidR="002C06F6" w:rsidRPr="00F20BA7" w:rsidRDefault="002C06F6" w:rsidP="00F44E98">
            <w:pPr>
              <w:pStyle w:val="Sangra2detindependiente"/>
              <w:spacing w:after="0" w:line="240" w:lineRule="auto"/>
              <w:ind w:left="0"/>
              <w:jc w:val="both"/>
              <w:rPr>
                <w:rFonts w:ascii="Arial" w:hAnsi="Arial" w:cs="Arial"/>
                <w:noProof/>
                <w:sz w:val="22"/>
                <w:szCs w:val="22"/>
                <w:lang w:val="es-CO"/>
              </w:rPr>
            </w:pPr>
          </w:p>
          <w:p w14:paraId="44DA6EB3" w14:textId="3D469577" w:rsidR="002C06F6" w:rsidRPr="00F20BA7" w:rsidRDefault="002C06F6" w:rsidP="00F44E98">
            <w:pPr>
              <w:pStyle w:val="Sangra2detindependiente"/>
              <w:spacing w:after="0" w:line="240" w:lineRule="auto"/>
              <w:ind w:left="0"/>
              <w:jc w:val="both"/>
              <w:rPr>
                <w:rFonts w:ascii="Arial" w:hAnsi="Arial" w:cs="Arial"/>
                <w:noProof/>
                <w:sz w:val="22"/>
                <w:szCs w:val="22"/>
                <w:lang w:val="es-CO"/>
              </w:rPr>
            </w:pPr>
          </w:p>
          <w:p w14:paraId="75F400C0" w14:textId="61FF8083" w:rsidR="004C2ECE" w:rsidRPr="00F20BA7" w:rsidRDefault="004C2ECE" w:rsidP="002C06F6">
            <w:pPr>
              <w:pStyle w:val="Sangra2detindependiente"/>
              <w:spacing w:after="0" w:line="240" w:lineRule="auto"/>
              <w:ind w:left="0"/>
              <w:jc w:val="both"/>
              <w:rPr>
                <w:rFonts w:ascii="Arial" w:hAnsi="Arial" w:cs="Arial"/>
                <w:noProof/>
                <w:sz w:val="22"/>
                <w:szCs w:val="22"/>
                <w:lang w:val="es-CO"/>
              </w:rPr>
            </w:pPr>
          </w:p>
        </w:tc>
      </w:tr>
      <w:tr w:rsidR="003152D5" w:rsidRPr="00F20BA7" w14:paraId="47F9AB40" w14:textId="77777777" w:rsidTr="008F3801">
        <w:trPr>
          <w:trHeight w:val="1657"/>
        </w:trPr>
        <w:tc>
          <w:tcPr>
            <w:tcW w:w="2338" w:type="dxa"/>
            <w:shd w:val="clear" w:color="auto" w:fill="0033A0"/>
            <w:vAlign w:val="center"/>
          </w:tcPr>
          <w:p w14:paraId="6C301EF8" w14:textId="77D2D7C3" w:rsidR="003152D5" w:rsidRPr="00F20BA7" w:rsidRDefault="003152D5" w:rsidP="003152D5">
            <w:pPr>
              <w:pStyle w:val="Ttulo7"/>
              <w:rPr>
                <w:rFonts w:ascii="Arial" w:hAnsi="Arial" w:cs="Arial"/>
                <w:szCs w:val="22"/>
              </w:rPr>
            </w:pPr>
            <w:r w:rsidRPr="00F20BA7">
              <w:rPr>
                <w:rFonts w:ascii="Arial" w:hAnsi="Arial" w:cs="Arial"/>
                <w:szCs w:val="22"/>
              </w:rPr>
              <w:lastRenderedPageBreak/>
              <w:t>Resumen del proceso</w:t>
            </w:r>
          </w:p>
        </w:tc>
        <w:tc>
          <w:tcPr>
            <w:tcW w:w="7512" w:type="dxa"/>
            <w:gridSpan w:val="3"/>
            <w:vAlign w:val="center"/>
          </w:tcPr>
          <w:p w14:paraId="0B6E599F" w14:textId="77777777" w:rsidR="002F4FCF" w:rsidRPr="00F20BA7" w:rsidRDefault="002F4FCF" w:rsidP="002F4FCF">
            <w:pPr>
              <w:pStyle w:val="Default"/>
              <w:jc w:val="both"/>
              <w:rPr>
                <w:iCs/>
                <w:sz w:val="22"/>
                <w:szCs w:val="22"/>
              </w:rPr>
            </w:pPr>
            <w:r w:rsidRPr="00F20BA7">
              <w:rPr>
                <w:sz w:val="22"/>
                <w:szCs w:val="22"/>
              </w:rPr>
              <w:t xml:space="preserve">En el 2013 la señora </w:t>
            </w:r>
            <w:r w:rsidRPr="00F20BA7">
              <w:rPr>
                <w:iCs/>
                <w:sz w:val="22"/>
                <w:szCs w:val="22"/>
              </w:rPr>
              <w:t xml:space="preserve">Alba Marina Ramírez Gómez estaba afiliada en salud a SaludCoop E.P.S.   </w:t>
            </w:r>
          </w:p>
          <w:p w14:paraId="3BA9C2BD" w14:textId="77777777" w:rsidR="002F4FCF" w:rsidRPr="00F20BA7" w:rsidRDefault="002F4FCF" w:rsidP="002F4FCF">
            <w:pPr>
              <w:pStyle w:val="Default"/>
              <w:rPr>
                <w:iCs/>
                <w:sz w:val="22"/>
                <w:szCs w:val="22"/>
              </w:rPr>
            </w:pPr>
          </w:p>
          <w:p w14:paraId="38C67D52" w14:textId="7FE2C29A" w:rsidR="002F4FCF" w:rsidRPr="00F20BA7" w:rsidRDefault="002F4FCF" w:rsidP="002F4FCF">
            <w:pPr>
              <w:pStyle w:val="Default"/>
              <w:jc w:val="both"/>
              <w:rPr>
                <w:iCs/>
                <w:sz w:val="22"/>
                <w:szCs w:val="22"/>
              </w:rPr>
            </w:pPr>
            <w:r w:rsidRPr="00F20BA7">
              <w:rPr>
                <w:iCs/>
                <w:sz w:val="22"/>
                <w:szCs w:val="22"/>
              </w:rPr>
              <w:t xml:space="preserve">En diciembre de 2012 la paciente acudió a urgencias por dolor de estómago, recto y estreñimiento. En fechas posteriores siguió presentando un fuerte dolor y los médicos arrojaban diagnósticos sin practicar exámenes a la paciente.  </w:t>
            </w:r>
          </w:p>
          <w:p w14:paraId="10DBBFAE" w14:textId="395091BF" w:rsidR="002F4FCF" w:rsidRPr="00F20BA7" w:rsidRDefault="002F4FCF" w:rsidP="002F4FCF">
            <w:pPr>
              <w:pStyle w:val="Default"/>
              <w:jc w:val="both"/>
              <w:rPr>
                <w:iCs/>
                <w:sz w:val="22"/>
                <w:szCs w:val="22"/>
              </w:rPr>
            </w:pPr>
          </w:p>
          <w:p w14:paraId="25EC4EBC" w14:textId="77777777" w:rsidR="00D91545" w:rsidRPr="00F20BA7" w:rsidRDefault="00D91545" w:rsidP="002F4FCF">
            <w:pPr>
              <w:pStyle w:val="Default"/>
              <w:jc w:val="both"/>
              <w:rPr>
                <w:iCs/>
                <w:sz w:val="22"/>
                <w:szCs w:val="22"/>
              </w:rPr>
            </w:pPr>
            <w:r w:rsidRPr="00F20BA7">
              <w:rPr>
                <w:iCs/>
                <w:sz w:val="22"/>
                <w:szCs w:val="22"/>
              </w:rPr>
              <w:t>En julio de 2013, l</w:t>
            </w:r>
            <w:r w:rsidR="002F4FCF" w:rsidRPr="00F20BA7">
              <w:rPr>
                <w:iCs/>
                <w:sz w:val="22"/>
                <w:szCs w:val="22"/>
              </w:rPr>
              <w:t>a paciente acude a un médico particular quien</w:t>
            </w:r>
            <w:r w:rsidRPr="00F20BA7">
              <w:rPr>
                <w:iCs/>
                <w:sz w:val="22"/>
                <w:szCs w:val="22"/>
              </w:rPr>
              <w:t>,</w:t>
            </w:r>
            <w:r w:rsidR="002F4FCF" w:rsidRPr="00F20BA7">
              <w:rPr>
                <w:iCs/>
                <w:sz w:val="22"/>
                <w:szCs w:val="22"/>
              </w:rPr>
              <w:t xml:space="preserve"> después de ordenar una colonoscopia, observa un</w:t>
            </w:r>
            <w:r w:rsidRPr="00F20BA7">
              <w:rPr>
                <w:iCs/>
                <w:sz w:val="22"/>
                <w:szCs w:val="22"/>
              </w:rPr>
              <w:t>a</w:t>
            </w:r>
            <w:r w:rsidR="002F4FCF" w:rsidRPr="00F20BA7">
              <w:rPr>
                <w:iCs/>
                <w:sz w:val="22"/>
                <w:szCs w:val="22"/>
              </w:rPr>
              <w:t xml:space="preserve"> </w:t>
            </w:r>
            <w:r w:rsidRPr="00F20BA7">
              <w:rPr>
                <w:iCs/>
                <w:sz w:val="22"/>
                <w:szCs w:val="22"/>
              </w:rPr>
              <w:t xml:space="preserve">masa maligna, </w:t>
            </w:r>
            <w:r w:rsidR="002F4FCF" w:rsidRPr="00F20BA7">
              <w:rPr>
                <w:iCs/>
                <w:sz w:val="22"/>
                <w:szCs w:val="22"/>
              </w:rPr>
              <w:t>que ocasionaba el dolor.</w:t>
            </w:r>
            <w:r w:rsidRPr="00F20BA7">
              <w:rPr>
                <w:iCs/>
                <w:sz w:val="22"/>
                <w:szCs w:val="22"/>
              </w:rPr>
              <w:t xml:space="preserve"> Una vez se pone en conocimiento de la EPS el resultado de la colonoscopia, decide remitir a la paciente a oncología y coloproctología. </w:t>
            </w:r>
          </w:p>
          <w:p w14:paraId="791A14A4" w14:textId="77777777" w:rsidR="00D91545" w:rsidRPr="00F20BA7" w:rsidRDefault="00D91545" w:rsidP="002F4FCF">
            <w:pPr>
              <w:pStyle w:val="Default"/>
              <w:jc w:val="both"/>
              <w:rPr>
                <w:iCs/>
                <w:sz w:val="22"/>
                <w:szCs w:val="22"/>
              </w:rPr>
            </w:pPr>
          </w:p>
          <w:p w14:paraId="0215B670" w14:textId="667A9A1B" w:rsidR="0098308F" w:rsidRPr="00F20BA7" w:rsidRDefault="00D91545" w:rsidP="002F4FCF">
            <w:pPr>
              <w:pStyle w:val="Default"/>
              <w:jc w:val="both"/>
              <w:rPr>
                <w:iCs/>
                <w:sz w:val="22"/>
                <w:szCs w:val="22"/>
              </w:rPr>
            </w:pPr>
            <w:r w:rsidRPr="00F20BA7">
              <w:rPr>
                <w:iCs/>
                <w:sz w:val="22"/>
                <w:szCs w:val="22"/>
              </w:rPr>
              <w:t>El 6 de enero de 2014 la paciente inicia con 28 sesiones de quimioterapia y 45 sesiones de radioterapia. Con ocasión a dicho tratamiento, la paciente tuvo que ser sometida el 16 de julio de 2014 a resección perineal</w:t>
            </w:r>
            <w:r w:rsidR="0098308F" w:rsidRPr="00F20BA7">
              <w:rPr>
                <w:iCs/>
                <w:sz w:val="22"/>
                <w:szCs w:val="22"/>
              </w:rPr>
              <w:t>, por el daño que ese tratamiento tuvo en su intestino</w:t>
            </w:r>
            <w:r w:rsidRPr="00F20BA7">
              <w:rPr>
                <w:iCs/>
                <w:sz w:val="22"/>
                <w:szCs w:val="22"/>
              </w:rPr>
              <w:t>.</w:t>
            </w:r>
            <w:r w:rsidR="0098308F" w:rsidRPr="00F20BA7">
              <w:rPr>
                <w:iCs/>
                <w:sz w:val="22"/>
                <w:szCs w:val="22"/>
              </w:rPr>
              <w:t xml:space="preserve"> </w:t>
            </w:r>
          </w:p>
          <w:p w14:paraId="4A55E687" w14:textId="77777777" w:rsidR="0098308F" w:rsidRPr="00F20BA7" w:rsidRDefault="0098308F" w:rsidP="002F4FCF">
            <w:pPr>
              <w:pStyle w:val="Default"/>
              <w:jc w:val="both"/>
              <w:rPr>
                <w:iCs/>
                <w:sz w:val="22"/>
                <w:szCs w:val="22"/>
              </w:rPr>
            </w:pPr>
          </w:p>
          <w:p w14:paraId="3E48738E" w14:textId="77777777" w:rsidR="00467BC7" w:rsidRPr="00F20BA7" w:rsidRDefault="0098308F" w:rsidP="002F4FCF">
            <w:pPr>
              <w:pStyle w:val="Default"/>
              <w:jc w:val="both"/>
              <w:rPr>
                <w:iCs/>
                <w:sz w:val="22"/>
                <w:szCs w:val="22"/>
              </w:rPr>
            </w:pPr>
            <w:r w:rsidRPr="00F20BA7">
              <w:rPr>
                <w:iCs/>
                <w:sz w:val="22"/>
                <w:szCs w:val="22"/>
              </w:rPr>
              <w:t xml:space="preserve">Posterior a la intervención quirúrgica, la paciente observó una perforación por donde salía sangre y observó una hernia, por lo que se debía operar de nuevo. Desde el descubrimiento de la hernia y hasta el 2017 SaludCoop E.P.S. no ordenó ni autorizó la cirugía. </w:t>
            </w:r>
          </w:p>
          <w:p w14:paraId="35D9AA4D" w14:textId="77777777" w:rsidR="00467BC7" w:rsidRPr="00F20BA7" w:rsidRDefault="00467BC7" w:rsidP="002F4FCF">
            <w:pPr>
              <w:pStyle w:val="Default"/>
              <w:jc w:val="both"/>
              <w:rPr>
                <w:iCs/>
                <w:sz w:val="22"/>
                <w:szCs w:val="22"/>
              </w:rPr>
            </w:pPr>
          </w:p>
          <w:p w14:paraId="0C67CFD0" w14:textId="77777777" w:rsidR="006D4D01" w:rsidRPr="00F20BA7" w:rsidRDefault="00467BC7" w:rsidP="002F4FCF">
            <w:pPr>
              <w:pStyle w:val="Default"/>
              <w:jc w:val="both"/>
              <w:rPr>
                <w:iCs/>
                <w:sz w:val="22"/>
                <w:szCs w:val="22"/>
              </w:rPr>
            </w:pPr>
            <w:r w:rsidRPr="00F20BA7">
              <w:rPr>
                <w:iCs/>
                <w:sz w:val="22"/>
                <w:szCs w:val="22"/>
              </w:rPr>
              <w:t>En el 2017 la paciente se traslada a Salud Total E.P.S.</w:t>
            </w:r>
            <w:r w:rsidR="006D4D01" w:rsidRPr="00F20BA7">
              <w:rPr>
                <w:iCs/>
                <w:sz w:val="22"/>
                <w:szCs w:val="22"/>
              </w:rPr>
              <w:t xml:space="preserve">, donde el trámite de la cirugía fue más rápido. Posterior a la operación de la hernia, la paciente seguía con dolor, por lo que se ordenan dos operaciones, pues se encontró otra hernia. </w:t>
            </w:r>
          </w:p>
          <w:p w14:paraId="52133CC8" w14:textId="77777777" w:rsidR="006D4D01" w:rsidRPr="00F20BA7" w:rsidRDefault="006D4D01" w:rsidP="002F4FCF">
            <w:pPr>
              <w:pStyle w:val="Default"/>
              <w:jc w:val="both"/>
              <w:rPr>
                <w:iCs/>
                <w:sz w:val="22"/>
                <w:szCs w:val="22"/>
              </w:rPr>
            </w:pPr>
          </w:p>
          <w:p w14:paraId="34CC1E36" w14:textId="77777777" w:rsidR="006D4D01" w:rsidRPr="00F20BA7" w:rsidRDefault="006D4D01" w:rsidP="002F4FCF">
            <w:pPr>
              <w:pStyle w:val="Default"/>
              <w:jc w:val="both"/>
              <w:rPr>
                <w:iCs/>
                <w:sz w:val="22"/>
                <w:szCs w:val="22"/>
              </w:rPr>
            </w:pPr>
            <w:r w:rsidRPr="00F20BA7">
              <w:rPr>
                <w:iCs/>
                <w:sz w:val="22"/>
                <w:szCs w:val="22"/>
              </w:rPr>
              <w:t xml:space="preserve">El 2 de febrero de 2020 se opera por una hernia y se le retira un elemento extraño, aparentemente nailon. La otra operación no se hizo pues no se autorizó. No se le volvieron a agendar controles por oncología. </w:t>
            </w:r>
          </w:p>
          <w:p w14:paraId="12268081" w14:textId="77777777" w:rsidR="006D4D01" w:rsidRPr="00F20BA7" w:rsidRDefault="006D4D01" w:rsidP="002F4FCF">
            <w:pPr>
              <w:pStyle w:val="Default"/>
              <w:jc w:val="both"/>
              <w:rPr>
                <w:iCs/>
                <w:sz w:val="22"/>
                <w:szCs w:val="22"/>
              </w:rPr>
            </w:pPr>
          </w:p>
          <w:p w14:paraId="36B4DA88" w14:textId="77777777" w:rsidR="008B48BE" w:rsidRPr="00F20BA7" w:rsidRDefault="006D4D01" w:rsidP="002F4FCF">
            <w:pPr>
              <w:pStyle w:val="Default"/>
              <w:jc w:val="both"/>
              <w:rPr>
                <w:iCs/>
                <w:sz w:val="22"/>
                <w:szCs w:val="22"/>
              </w:rPr>
            </w:pPr>
            <w:r w:rsidRPr="00F20BA7">
              <w:rPr>
                <w:iCs/>
                <w:sz w:val="22"/>
                <w:szCs w:val="22"/>
              </w:rPr>
              <w:t xml:space="preserve">El 21 de octubre de 2020 se le aplicó un medicamento </w:t>
            </w:r>
            <w:r w:rsidR="008B48BE" w:rsidRPr="00F20BA7">
              <w:rPr>
                <w:iCs/>
                <w:sz w:val="22"/>
                <w:szCs w:val="22"/>
              </w:rPr>
              <w:t xml:space="preserve">a la paciente </w:t>
            </w:r>
            <w:r w:rsidRPr="00F20BA7">
              <w:rPr>
                <w:iCs/>
                <w:sz w:val="22"/>
                <w:szCs w:val="22"/>
              </w:rPr>
              <w:t>en el glúteo derecho, cuando se le debía aplicar donde terminara la columna. El 26 de octubre de 2020 se le retira una sonda y se ordena salida de la paciente, sin recomendación alguna.</w:t>
            </w:r>
            <w:r w:rsidR="008B48BE" w:rsidRPr="00F20BA7">
              <w:rPr>
                <w:iCs/>
                <w:sz w:val="22"/>
                <w:szCs w:val="22"/>
              </w:rPr>
              <w:t xml:space="preserve"> El cambio de sonda se dio cada 3 y 15 días hasta enero de 2021, cuando se le ordenó sonda intermitente. </w:t>
            </w:r>
          </w:p>
          <w:p w14:paraId="001EA6A1" w14:textId="77777777" w:rsidR="008B48BE" w:rsidRPr="00F20BA7" w:rsidRDefault="008B48BE" w:rsidP="002F4FCF">
            <w:pPr>
              <w:pStyle w:val="Default"/>
              <w:jc w:val="both"/>
              <w:rPr>
                <w:iCs/>
                <w:sz w:val="22"/>
                <w:szCs w:val="22"/>
              </w:rPr>
            </w:pPr>
          </w:p>
          <w:p w14:paraId="496237CF" w14:textId="77777777" w:rsidR="00B178EB" w:rsidRPr="00F20BA7" w:rsidRDefault="008B48BE" w:rsidP="002F4FCF">
            <w:pPr>
              <w:pStyle w:val="Default"/>
              <w:jc w:val="both"/>
              <w:rPr>
                <w:iCs/>
                <w:sz w:val="22"/>
                <w:szCs w:val="22"/>
              </w:rPr>
            </w:pPr>
            <w:r w:rsidRPr="00F20BA7">
              <w:rPr>
                <w:iCs/>
                <w:sz w:val="22"/>
                <w:szCs w:val="22"/>
              </w:rPr>
              <w:t xml:space="preserve">La paciente requería autorización para consulta con urólogo y esta no fue dada por Salud Total E.P.S., por lo que acudieron a la Secretaría de Salud. La paciente decide acudir a médico particular y este indica que se le debe practicar un procedimiento con ocasión a lo ocurrido el 21 de octubre de 2020, pues se le había ocasionado problemas en las vías urinarias. El 17 de febrero de 2021 la paciente acude por urgencias, donde se detectó la presencia de una bacteria que </w:t>
            </w:r>
            <w:r w:rsidR="00B178EB" w:rsidRPr="00F20BA7">
              <w:rPr>
                <w:iCs/>
                <w:sz w:val="22"/>
                <w:szCs w:val="22"/>
              </w:rPr>
              <w:t xml:space="preserve">agravaba su estado de salud. </w:t>
            </w:r>
          </w:p>
          <w:p w14:paraId="24639F3E" w14:textId="77777777" w:rsidR="00B178EB" w:rsidRPr="00F20BA7" w:rsidRDefault="00B178EB" w:rsidP="002F4FCF">
            <w:pPr>
              <w:pStyle w:val="Default"/>
              <w:jc w:val="both"/>
              <w:rPr>
                <w:iCs/>
                <w:sz w:val="22"/>
                <w:szCs w:val="22"/>
              </w:rPr>
            </w:pPr>
          </w:p>
          <w:p w14:paraId="18EE9950" w14:textId="77777777" w:rsidR="00624A35" w:rsidRPr="00F20BA7" w:rsidRDefault="00B178EB" w:rsidP="002F4FCF">
            <w:pPr>
              <w:pStyle w:val="Default"/>
              <w:jc w:val="both"/>
              <w:rPr>
                <w:iCs/>
                <w:sz w:val="22"/>
                <w:szCs w:val="22"/>
              </w:rPr>
            </w:pPr>
            <w:r w:rsidRPr="00F20BA7">
              <w:rPr>
                <w:iCs/>
                <w:sz w:val="22"/>
                <w:szCs w:val="22"/>
              </w:rPr>
              <w:t xml:space="preserve">La paciente ha tenido que asumir el costo de las zonas, pues Salud Total E.P.S. no autoriza su entrega. </w:t>
            </w:r>
          </w:p>
          <w:p w14:paraId="1150EBDD" w14:textId="77777777" w:rsidR="00624A35" w:rsidRPr="00F20BA7" w:rsidRDefault="00624A35" w:rsidP="002F4FCF">
            <w:pPr>
              <w:pStyle w:val="Default"/>
              <w:jc w:val="both"/>
              <w:rPr>
                <w:iCs/>
                <w:sz w:val="22"/>
                <w:szCs w:val="22"/>
              </w:rPr>
            </w:pPr>
          </w:p>
          <w:p w14:paraId="4A29D350" w14:textId="77777777" w:rsidR="00624A35" w:rsidRPr="00F20BA7" w:rsidRDefault="00624A35" w:rsidP="002F4FCF">
            <w:pPr>
              <w:pStyle w:val="Default"/>
              <w:jc w:val="both"/>
              <w:rPr>
                <w:iCs/>
                <w:sz w:val="22"/>
                <w:szCs w:val="22"/>
              </w:rPr>
            </w:pPr>
            <w:r w:rsidRPr="00F20BA7">
              <w:rPr>
                <w:iCs/>
                <w:sz w:val="22"/>
                <w:szCs w:val="22"/>
              </w:rPr>
              <w:t>La paciente es valorada por nutricionista, quien indica que está desnutrida porque no ha recibido vitaminas, las cuales no han sido autorizada por Salud Total E.P.S., además la paciente asiste a psicólogo y psiquiatra por el trauma que le ha generado el hecho de utilizar zonas para eliminar líquidos.</w:t>
            </w:r>
          </w:p>
          <w:p w14:paraId="299FCF39" w14:textId="77777777" w:rsidR="00624A35" w:rsidRPr="00F20BA7" w:rsidRDefault="00624A35" w:rsidP="002F4FCF">
            <w:pPr>
              <w:pStyle w:val="Default"/>
              <w:jc w:val="both"/>
              <w:rPr>
                <w:iCs/>
                <w:sz w:val="22"/>
                <w:szCs w:val="22"/>
              </w:rPr>
            </w:pPr>
          </w:p>
          <w:p w14:paraId="7643E70E" w14:textId="75B0E888" w:rsidR="002F4FCF" w:rsidRPr="00F20BA7" w:rsidRDefault="00624A35" w:rsidP="002F4FCF">
            <w:pPr>
              <w:pStyle w:val="Default"/>
              <w:jc w:val="both"/>
              <w:rPr>
                <w:iCs/>
                <w:sz w:val="22"/>
                <w:szCs w:val="22"/>
              </w:rPr>
            </w:pPr>
            <w:r w:rsidRPr="00F20BA7">
              <w:rPr>
                <w:iCs/>
                <w:sz w:val="22"/>
                <w:szCs w:val="22"/>
              </w:rPr>
              <w:t xml:space="preserve">Se llevó a cabo audiencia de conciliación el 22 de febrero de 2021. </w:t>
            </w:r>
          </w:p>
          <w:p w14:paraId="0D210CED" w14:textId="30C1B5FF" w:rsidR="00E91F2B" w:rsidRPr="00F20BA7" w:rsidRDefault="00E91F2B" w:rsidP="002F4FCF">
            <w:pPr>
              <w:pStyle w:val="Default"/>
              <w:jc w:val="both"/>
              <w:rPr>
                <w:iCs/>
                <w:sz w:val="22"/>
                <w:szCs w:val="22"/>
              </w:rPr>
            </w:pPr>
          </w:p>
        </w:tc>
      </w:tr>
      <w:tr w:rsidR="003152D5" w:rsidRPr="00F20BA7" w14:paraId="51B3F58B" w14:textId="77777777" w:rsidTr="008F3801">
        <w:trPr>
          <w:trHeight w:val="559"/>
        </w:trPr>
        <w:tc>
          <w:tcPr>
            <w:tcW w:w="2338" w:type="dxa"/>
            <w:shd w:val="clear" w:color="auto" w:fill="0033A0"/>
            <w:vAlign w:val="center"/>
          </w:tcPr>
          <w:p w14:paraId="502B9735" w14:textId="77777777" w:rsidR="003152D5" w:rsidRPr="00F20BA7" w:rsidRDefault="003152D5" w:rsidP="003152D5">
            <w:pPr>
              <w:rPr>
                <w:rFonts w:ascii="Arial" w:hAnsi="Arial" w:cs="Arial"/>
                <w:b/>
                <w:sz w:val="22"/>
                <w:szCs w:val="22"/>
              </w:rPr>
            </w:pPr>
            <w:r w:rsidRPr="00F20BA7">
              <w:rPr>
                <w:rFonts w:ascii="Arial" w:hAnsi="Arial" w:cs="Arial"/>
                <w:b/>
                <w:sz w:val="22"/>
                <w:szCs w:val="22"/>
              </w:rPr>
              <w:t>Calificación de la Contingencia</w:t>
            </w:r>
          </w:p>
        </w:tc>
        <w:tc>
          <w:tcPr>
            <w:tcW w:w="7512" w:type="dxa"/>
            <w:gridSpan w:val="3"/>
            <w:vAlign w:val="center"/>
          </w:tcPr>
          <w:p w14:paraId="3354A7BE" w14:textId="35E354C2" w:rsidR="003152D5" w:rsidRPr="00F20BA7" w:rsidRDefault="006641D1" w:rsidP="003152D5">
            <w:pPr>
              <w:jc w:val="both"/>
              <w:rPr>
                <w:rFonts w:ascii="Arial" w:hAnsi="Arial" w:cs="Arial"/>
                <w:b/>
                <w:iCs/>
                <w:sz w:val="22"/>
                <w:szCs w:val="22"/>
              </w:rPr>
            </w:pPr>
            <w:r>
              <w:rPr>
                <w:rFonts w:ascii="Arial" w:hAnsi="Arial" w:cs="Arial"/>
                <w:b/>
                <w:iCs/>
                <w:sz w:val="22"/>
                <w:szCs w:val="22"/>
              </w:rPr>
              <w:t>EVENTUAL</w:t>
            </w:r>
            <w:r w:rsidR="00063B19" w:rsidRPr="00F20BA7">
              <w:rPr>
                <w:rFonts w:ascii="Arial" w:hAnsi="Arial" w:cs="Arial"/>
                <w:b/>
                <w:iCs/>
                <w:sz w:val="22"/>
                <w:szCs w:val="22"/>
              </w:rPr>
              <w:t xml:space="preserve"> </w:t>
            </w:r>
          </w:p>
        </w:tc>
      </w:tr>
      <w:tr w:rsidR="003152D5" w:rsidRPr="00F20BA7" w14:paraId="3816128F" w14:textId="77777777" w:rsidTr="008F3801">
        <w:trPr>
          <w:trHeight w:val="836"/>
        </w:trPr>
        <w:tc>
          <w:tcPr>
            <w:tcW w:w="2338" w:type="dxa"/>
            <w:shd w:val="clear" w:color="auto" w:fill="0033A0"/>
            <w:vAlign w:val="center"/>
          </w:tcPr>
          <w:p w14:paraId="7FDFC74F" w14:textId="7C9CBE7F" w:rsidR="003152D5" w:rsidRPr="00F20BA7" w:rsidRDefault="003152D5" w:rsidP="003152D5">
            <w:pPr>
              <w:rPr>
                <w:rFonts w:ascii="Arial" w:hAnsi="Arial" w:cs="Arial"/>
                <w:b/>
                <w:sz w:val="22"/>
                <w:szCs w:val="22"/>
              </w:rPr>
            </w:pPr>
            <w:r w:rsidRPr="00F20BA7">
              <w:rPr>
                <w:rFonts w:ascii="Arial" w:hAnsi="Arial" w:cs="Arial"/>
                <w:b/>
                <w:sz w:val="22"/>
                <w:szCs w:val="22"/>
              </w:rPr>
              <w:t>Fundamento de la calificación</w:t>
            </w:r>
          </w:p>
        </w:tc>
        <w:tc>
          <w:tcPr>
            <w:tcW w:w="7512" w:type="dxa"/>
            <w:gridSpan w:val="3"/>
            <w:vAlign w:val="center"/>
          </w:tcPr>
          <w:p w14:paraId="01659987" w14:textId="77777777" w:rsidR="000D66E0" w:rsidRPr="00F20BA7" w:rsidRDefault="000D66E0" w:rsidP="000D66E0">
            <w:pPr>
              <w:pStyle w:val="NormalWeb"/>
              <w:shd w:val="clear" w:color="auto" w:fill="FFFFFF"/>
              <w:spacing w:before="0" w:beforeAutospacing="0" w:after="0" w:afterAutospacing="0"/>
              <w:jc w:val="both"/>
              <w:rPr>
                <w:rFonts w:ascii="Arial" w:hAnsi="Arial" w:cs="Arial"/>
                <w:b/>
                <w:bCs/>
                <w:color w:val="000000"/>
                <w:sz w:val="22"/>
                <w:szCs w:val="22"/>
                <w:u w:val="single"/>
                <w:bdr w:val="none" w:sz="0" w:space="0" w:color="auto" w:frame="1"/>
              </w:rPr>
            </w:pPr>
            <w:r w:rsidRPr="00F20BA7">
              <w:rPr>
                <w:rFonts w:ascii="Arial" w:hAnsi="Arial" w:cs="Arial"/>
                <w:b/>
                <w:bCs/>
                <w:color w:val="000000"/>
                <w:sz w:val="22"/>
                <w:szCs w:val="22"/>
                <w:u w:val="single"/>
                <w:bdr w:val="none" w:sz="0" w:space="0" w:color="auto" w:frame="1"/>
              </w:rPr>
              <w:t>CALIFICACIÓN DE LA CONTINGENCIA:</w:t>
            </w:r>
          </w:p>
          <w:p w14:paraId="31BF7AC1" w14:textId="3D406E70" w:rsidR="000D66E0" w:rsidRPr="00F20BA7" w:rsidRDefault="000D66E0" w:rsidP="000D66E0">
            <w:pPr>
              <w:pStyle w:val="NormalWeb"/>
              <w:shd w:val="clear" w:color="auto" w:fill="FFFFFF"/>
              <w:jc w:val="both"/>
              <w:rPr>
                <w:rFonts w:ascii="Arial" w:hAnsi="Arial" w:cs="Arial"/>
                <w:iCs/>
                <w:sz w:val="22"/>
                <w:szCs w:val="22"/>
              </w:rPr>
            </w:pPr>
            <w:r w:rsidRPr="00F20BA7">
              <w:rPr>
                <w:rFonts w:ascii="Arial" w:hAnsi="Arial" w:cs="Arial"/>
                <w:iCs/>
                <w:sz w:val="22"/>
                <w:szCs w:val="22"/>
              </w:rPr>
              <w:t xml:space="preserve">La contingencia se califica provisionalmente como </w:t>
            </w:r>
            <w:r w:rsidR="00160EEF" w:rsidRPr="00F20BA7">
              <w:rPr>
                <w:rFonts w:ascii="Arial" w:hAnsi="Arial" w:cs="Arial"/>
                <w:b/>
                <w:iCs/>
                <w:sz w:val="22"/>
                <w:szCs w:val="22"/>
                <w:u w:val="single"/>
              </w:rPr>
              <w:t>EVENTUAL</w:t>
            </w:r>
            <w:r w:rsidR="00160EEF" w:rsidRPr="00F20BA7">
              <w:rPr>
                <w:rFonts w:ascii="Arial" w:hAnsi="Arial" w:cs="Arial"/>
                <w:b/>
                <w:iCs/>
                <w:sz w:val="22"/>
                <w:szCs w:val="22"/>
              </w:rPr>
              <w:t xml:space="preserve"> </w:t>
            </w:r>
            <w:r w:rsidRPr="00F20BA7">
              <w:rPr>
                <w:rFonts w:ascii="Arial" w:hAnsi="Arial" w:cs="Arial"/>
                <w:iCs/>
                <w:sz w:val="22"/>
                <w:szCs w:val="22"/>
              </w:rPr>
              <w:t>toda vez que</w:t>
            </w:r>
            <w:r w:rsidR="00DF52AD" w:rsidRPr="00F20BA7">
              <w:rPr>
                <w:rFonts w:ascii="Arial" w:hAnsi="Arial" w:cs="Arial"/>
                <w:iCs/>
                <w:sz w:val="22"/>
                <w:szCs w:val="22"/>
              </w:rPr>
              <w:t xml:space="preserve"> </w:t>
            </w:r>
            <w:r w:rsidRPr="00F20BA7">
              <w:rPr>
                <w:rFonts w:ascii="Arial" w:hAnsi="Arial" w:cs="Arial"/>
                <w:iCs/>
                <w:sz w:val="22"/>
                <w:szCs w:val="22"/>
              </w:rPr>
              <w:t xml:space="preserve">el Seguro de Responsabilidad Civil Clínicas y Hospitales No. </w:t>
            </w:r>
            <w:r w:rsidRPr="00F20BA7">
              <w:rPr>
                <w:rFonts w:ascii="Arial" w:hAnsi="Arial" w:cs="Arial"/>
                <w:sz w:val="22"/>
                <w:szCs w:val="22"/>
              </w:rPr>
              <w:t xml:space="preserve">721814 </w:t>
            </w:r>
            <w:r w:rsidRPr="00F20BA7">
              <w:rPr>
                <w:rFonts w:ascii="Arial" w:hAnsi="Arial" w:cs="Arial"/>
                <w:iCs/>
                <w:sz w:val="22"/>
                <w:szCs w:val="22"/>
              </w:rPr>
              <w:t>presta cobertura temporal y material,</w:t>
            </w:r>
            <w:r w:rsidR="00DF52AD" w:rsidRPr="00F20BA7">
              <w:rPr>
                <w:rFonts w:ascii="Arial" w:hAnsi="Arial" w:cs="Arial"/>
                <w:iCs/>
                <w:sz w:val="22"/>
                <w:szCs w:val="22"/>
              </w:rPr>
              <w:t xml:space="preserve"> sin embargo,</w:t>
            </w:r>
            <w:r w:rsidRPr="00F20BA7">
              <w:rPr>
                <w:rFonts w:ascii="Arial" w:hAnsi="Arial" w:cs="Arial"/>
                <w:iCs/>
                <w:sz w:val="22"/>
                <w:szCs w:val="22"/>
              </w:rPr>
              <w:t xml:space="preserve"> la </w:t>
            </w:r>
            <w:r w:rsidR="004F3E0C">
              <w:rPr>
                <w:rFonts w:ascii="Arial" w:hAnsi="Arial" w:cs="Arial"/>
                <w:iCs/>
                <w:sz w:val="22"/>
                <w:szCs w:val="22"/>
              </w:rPr>
              <w:t xml:space="preserve">acreditación de la </w:t>
            </w:r>
            <w:r w:rsidRPr="00F20BA7">
              <w:rPr>
                <w:rFonts w:ascii="Arial" w:hAnsi="Arial" w:cs="Arial"/>
                <w:iCs/>
                <w:sz w:val="22"/>
                <w:szCs w:val="22"/>
              </w:rPr>
              <w:t>responsabilidad del asegurado dependerá del debate probatorio</w:t>
            </w:r>
            <w:r w:rsidR="00244DDE">
              <w:rPr>
                <w:rFonts w:ascii="Arial" w:hAnsi="Arial" w:cs="Arial"/>
                <w:iCs/>
                <w:sz w:val="22"/>
                <w:szCs w:val="22"/>
              </w:rPr>
              <w:t>.</w:t>
            </w:r>
          </w:p>
          <w:p w14:paraId="19D50620" w14:textId="7682C928" w:rsidR="000D66E0" w:rsidRPr="00F20BA7" w:rsidRDefault="000D66E0" w:rsidP="000D66E0">
            <w:pPr>
              <w:pStyle w:val="NormalWeb"/>
              <w:shd w:val="clear" w:color="auto" w:fill="FFFFFF"/>
              <w:jc w:val="both"/>
              <w:rPr>
                <w:rFonts w:ascii="Arial" w:hAnsi="Arial" w:cs="Arial"/>
                <w:iCs/>
                <w:sz w:val="22"/>
                <w:szCs w:val="22"/>
              </w:rPr>
            </w:pPr>
            <w:r w:rsidRPr="00F20BA7">
              <w:rPr>
                <w:rFonts w:ascii="Arial" w:hAnsi="Arial" w:cs="Arial"/>
                <w:iCs/>
                <w:sz w:val="22"/>
                <w:szCs w:val="22"/>
              </w:rPr>
              <w:lastRenderedPageBreak/>
              <w:t xml:space="preserve">Lo primero que debe tomarse en consideración es que </w:t>
            </w:r>
            <w:r w:rsidR="00526912" w:rsidRPr="00F20BA7">
              <w:rPr>
                <w:rFonts w:ascii="Arial" w:hAnsi="Arial" w:cs="Arial"/>
                <w:iCs/>
                <w:sz w:val="22"/>
                <w:szCs w:val="22"/>
              </w:rPr>
              <w:t xml:space="preserve">el Seguro de Responsabilidad Civil Profesional Para Clínicas y Hospitales </w:t>
            </w:r>
            <w:r w:rsidRPr="00F20BA7">
              <w:rPr>
                <w:rFonts w:ascii="Arial" w:hAnsi="Arial" w:cs="Arial"/>
                <w:iCs/>
                <w:sz w:val="22"/>
                <w:szCs w:val="22"/>
              </w:rPr>
              <w:t xml:space="preserve">No. </w:t>
            </w:r>
            <w:r w:rsidRPr="00F20BA7">
              <w:rPr>
                <w:rFonts w:ascii="Arial" w:hAnsi="Arial" w:cs="Arial"/>
                <w:sz w:val="22"/>
                <w:szCs w:val="22"/>
              </w:rPr>
              <w:t xml:space="preserve">721814 </w:t>
            </w:r>
            <w:r w:rsidRPr="00F20BA7">
              <w:rPr>
                <w:rFonts w:ascii="Arial" w:hAnsi="Arial" w:cs="Arial"/>
                <w:b/>
                <w:iCs/>
                <w:sz w:val="22"/>
                <w:szCs w:val="22"/>
                <w:u w:val="single"/>
              </w:rPr>
              <w:t>presta cobertura material</w:t>
            </w:r>
            <w:r w:rsidRPr="00F20BA7">
              <w:rPr>
                <w:rFonts w:ascii="Arial" w:hAnsi="Arial" w:cs="Arial"/>
                <w:iCs/>
                <w:sz w:val="22"/>
                <w:szCs w:val="22"/>
              </w:rPr>
              <w:t xml:space="preserve"> en tanto ampara la responsabilidad civil profesional médica en que incurra el asegurado, pretensión que se le endilga al asegurado. </w:t>
            </w:r>
            <w:r w:rsidRPr="00F20BA7">
              <w:rPr>
                <w:rFonts w:ascii="Arial" w:hAnsi="Arial" w:cs="Arial"/>
                <w:b/>
                <w:iCs/>
                <w:sz w:val="22"/>
                <w:szCs w:val="22"/>
                <w:u w:val="single"/>
              </w:rPr>
              <w:t>También presta cobertura temporal</w:t>
            </w:r>
            <w:r w:rsidRPr="00F20BA7">
              <w:rPr>
                <w:rFonts w:ascii="Arial" w:hAnsi="Arial" w:cs="Arial"/>
                <w:iCs/>
                <w:sz w:val="22"/>
                <w:szCs w:val="22"/>
              </w:rPr>
              <w:t xml:space="preserve">, pues en el caso se cumplen los presupuestos de la modalidad CLAIMS MADE bajo la cual fue pactada. Dicha póliza tuvo un periodo de vigencia comprendido entre el </w:t>
            </w:r>
            <w:r w:rsidRPr="00F20BA7">
              <w:rPr>
                <w:rFonts w:ascii="Arial" w:hAnsi="Arial" w:cs="Arial"/>
                <w:bCs/>
                <w:iCs/>
                <w:sz w:val="22"/>
                <w:szCs w:val="22"/>
              </w:rPr>
              <w:t>30 de septiembre de 2020 y el 30 de septiembre de 2021</w:t>
            </w:r>
            <w:r w:rsidRPr="00F20BA7">
              <w:rPr>
                <w:rFonts w:ascii="Arial" w:hAnsi="Arial" w:cs="Arial"/>
                <w:iCs/>
                <w:sz w:val="22"/>
                <w:szCs w:val="22"/>
              </w:rPr>
              <w:t xml:space="preserve">. De acuerdo con los anexos de la demanda, la primera reclamación que los demandantes formularon al asegurado se hizo el </w:t>
            </w:r>
            <w:r w:rsidR="00526912" w:rsidRPr="00F20BA7">
              <w:rPr>
                <w:rFonts w:ascii="Arial" w:hAnsi="Arial" w:cs="Arial"/>
                <w:iCs/>
                <w:sz w:val="22"/>
                <w:szCs w:val="22"/>
              </w:rPr>
              <w:t xml:space="preserve">19 de marzo de 2021 </w:t>
            </w:r>
            <w:r w:rsidRPr="00F20BA7">
              <w:rPr>
                <w:rFonts w:ascii="Arial" w:hAnsi="Arial" w:cs="Arial"/>
                <w:iCs/>
                <w:sz w:val="22"/>
                <w:szCs w:val="22"/>
              </w:rPr>
              <w:t xml:space="preserve">con la celebración de la </w:t>
            </w:r>
            <w:r w:rsidR="00526912" w:rsidRPr="00F20BA7">
              <w:rPr>
                <w:rFonts w:ascii="Arial" w:hAnsi="Arial" w:cs="Arial"/>
                <w:iCs/>
                <w:sz w:val="22"/>
                <w:szCs w:val="22"/>
              </w:rPr>
              <w:t xml:space="preserve">primera </w:t>
            </w:r>
            <w:r w:rsidRPr="00F20BA7">
              <w:rPr>
                <w:rFonts w:ascii="Arial" w:hAnsi="Arial" w:cs="Arial"/>
                <w:iCs/>
                <w:sz w:val="22"/>
                <w:szCs w:val="22"/>
              </w:rPr>
              <w:t xml:space="preserve">audiencia de conciliación. Por lo que la reclamación se habría efectuado dentro de la vigencia del contrato. Además, los hechos ocurrieron </w:t>
            </w:r>
            <w:r w:rsidR="00526912" w:rsidRPr="00F20BA7">
              <w:rPr>
                <w:rFonts w:ascii="Arial" w:hAnsi="Arial" w:cs="Arial"/>
                <w:iCs/>
                <w:sz w:val="22"/>
                <w:szCs w:val="22"/>
              </w:rPr>
              <w:t>a partir del 21 de febrero de 2019</w:t>
            </w:r>
            <w:r w:rsidRPr="00F20BA7">
              <w:rPr>
                <w:rFonts w:ascii="Arial" w:hAnsi="Arial" w:cs="Arial"/>
                <w:iCs/>
                <w:sz w:val="22"/>
                <w:szCs w:val="22"/>
              </w:rPr>
              <w:t xml:space="preserve">, es decir, dentro del periodo de retroactividad de la referida póliza y que inició a partir del 30 de septiembre de 2010.     </w:t>
            </w:r>
          </w:p>
          <w:p w14:paraId="1C58A799" w14:textId="75CB3ADF" w:rsidR="000D66E0" w:rsidRPr="00F20BA7" w:rsidRDefault="000D66E0" w:rsidP="000D66E0">
            <w:pPr>
              <w:pStyle w:val="NormalWeb"/>
              <w:shd w:val="clear" w:color="auto" w:fill="FFFFFF"/>
              <w:jc w:val="both"/>
              <w:rPr>
                <w:rFonts w:ascii="Arial" w:hAnsi="Arial" w:cs="Arial"/>
                <w:iCs/>
                <w:sz w:val="22"/>
                <w:szCs w:val="22"/>
              </w:rPr>
            </w:pPr>
            <w:r w:rsidRPr="00F20BA7">
              <w:rPr>
                <w:rFonts w:ascii="Arial" w:hAnsi="Arial" w:cs="Arial"/>
                <w:iCs/>
                <w:sz w:val="22"/>
                <w:szCs w:val="22"/>
              </w:rPr>
              <w:t xml:space="preserve">Lo anteriormente esgrimido debe ser analizado de manera conjunta con el estudio de </w:t>
            </w:r>
            <w:r w:rsidRPr="00F20BA7">
              <w:rPr>
                <w:rFonts w:ascii="Arial" w:hAnsi="Arial" w:cs="Arial"/>
                <w:b/>
                <w:iCs/>
                <w:sz w:val="22"/>
                <w:szCs w:val="22"/>
                <w:u w:val="single"/>
              </w:rPr>
              <w:t>la responsabilidad del asegurado</w:t>
            </w:r>
            <w:r w:rsidR="00743619">
              <w:rPr>
                <w:rFonts w:ascii="Arial" w:hAnsi="Arial" w:cs="Arial"/>
                <w:b/>
                <w:iCs/>
                <w:sz w:val="22"/>
                <w:szCs w:val="22"/>
                <w:u w:val="single"/>
              </w:rPr>
              <w:t xml:space="preserve"> cuya acreditación </w:t>
            </w:r>
            <w:r w:rsidRPr="00F20BA7">
              <w:rPr>
                <w:rFonts w:ascii="Arial" w:hAnsi="Arial" w:cs="Arial"/>
                <w:b/>
                <w:iCs/>
                <w:sz w:val="22"/>
                <w:szCs w:val="22"/>
                <w:u w:val="single"/>
              </w:rPr>
              <w:t>dependerá del debate probatorio</w:t>
            </w:r>
            <w:r w:rsidR="00743619">
              <w:rPr>
                <w:rFonts w:ascii="Arial" w:hAnsi="Arial" w:cs="Arial"/>
                <w:b/>
                <w:iCs/>
                <w:sz w:val="22"/>
                <w:szCs w:val="22"/>
                <w:u w:val="single"/>
              </w:rPr>
              <w:t>.</w:t>
            </w:r>
            <w:r w:rsidR="00743619" w:rsidRPr="006641D1">
              <w:rPr>
                <w:rFonts w:ascii="Arial" w:hAnsi="Arial" w:cs="Arial"/>
                <w:iCs/>
                <w:sz w:val="22"/>
                <w:szCs w:val="22"/>
              </w:rPr>
              <w:t xml:space="preserve"> </w:t>
            </w:r>
            <w:r w:rsidRPr="00F20BA7">
              <w:rPr>
                <w:rFonts w:ascii="Arial" w:hAnsi="Arial" w:cs="Arial"/>
                <w:iCs/>
                <w:sz w:val="22"/>
                <w:szCs w:val="22"/>
              </w:rPr>
              <w:t xml:space="preserve">De acuerdo a los medios de prueba obrantes en el proceso, se concluye que: </w:t>
            </w:r>
            <w:r w:rsidRPr="00F20BA7">
              <w:rPr>
                <w:rFonts w:ascii="Arial" w:hAnsi="Arial" w:cs="Arial"/>
                <w:b/>
                <w:iCs/>
                <w:sz w:val="22"/>
                <w:szCs w:val="22"/>
              </w:rPr>
              <w:t>(i)</w:t>
            </w:r>
            <w:r w:rsidRPr="00F20BA7">
              <w:rPr>
                <w:rFonts w:ascii="Arial" w:hAnsi="Arial" w:cs="Arial"/>
                <w:iCs/>
                <w:sz w:val="22"/>
                <w:szCs w:val="22"/>
              </w:rPr>
              <w:t xml:space="preserve"> La demandante padece de un cáncer de recto en estadio II, que fuera diagnosticado acertadamente desde el año 2013 y por lo cual requirió como tratamiento la resección abdominoperineal, es decir, tiene comorbilidades y su estado de salud es precario; </w:t>
            </w:r>
            <w:r w:rsidRPr="00F20BA7">
              <w:rPr>
                <w:rFonts w:ascii="Arial" w:hAnsi="Arial" w:cs="Arial"/>
                <w:b/>
                <w:iCs/>
                <w:sz w:val="22"/>
                <w:szCs w:val="22"/>
              </w:rPr>
              <w:t>(ii)</w:t>
            </w:r>
            <w:r w:rsidRPr="00F20BA7">
              <w:rPr>
                <w:rFonts w:ascii="Arial" w:hAnsi="Arial" w:cs="Arial"/>
                <w:iCs/>
                <w:sz w:val="22"/>
                <w:szCs w:val="22"/>
              </w:rPr>
              <w:t xml:space="preserve"> La paciente recibió quimioterapia en el año 2014; </w:t>
            </w:r>
            <w:r w:rsidRPr="00F20BA7">
              <w:rPr>
                <w:rFonts w:ascii="Arial" w:hAnsi="Arial" w:cs="Arial"/>
                <w:b/>
                <w:iCs/>
                <w:sz w:val="22"/>
                <w:szCs w:val="22"/>
              </w:rPr>
              <w:t>(iii)</w:t>
            </w:r>
            <w:r w:rsidRPr="00F20BA7">
              <w:rPr>
                <w:rFonts w:ascii="Arial" w:hAnsi="Arial" w:cs="Arial"/>
                <w:iCs/>
                <w:sz w:val="22"/>
                <w:szCs w:val="22"/>
              </w:rPr>
              <w:t xml:space="preserve"> Posteriormente, la paciente sufre hernia y es tratada quirúrgicamente en octubre de 2018</w:t>
            </w:r>
            <w:r w:rsidR="00526912" w:rsidRPr="00F20BA7">
              <w:rPr>
                <w:rFonts w:ascii="Arial" w:hAnsi="Arial" w:cs="Arial"/>
                <w:iCs/>
                <w:sz w:val="22"/>
                <w:szCs w:val="22"/>
              </w:rPr>
              <w:t>, riesgo inherente a este tipo de procedimientos</w:t>
            </w:r>
            <w:r w:rsidRPr="00F20BA7">
              <w:rPr>
                <w:rFonts w:ascii="Arial" w:hAnsi="Arial" w:cs="Arial"/>
                <w:iCs/>
                <w:sz w:val="22"/>
                <w:szCs w:val="22"/>
              </w:rPr>
              <w:t xml:space="preserve">; </w:t>
            </w:r>
            <w:r w:rsidRPr="00F20BA7">
              <w:rPr>
                <w:rFonts w:ascii="Arial" w:hAnsi="Arial" w:cs="Arial"/>
                <w:b/>
                <w:iCs/>
                <w:sz w:val="22"/>
                <w:szCs w:val="22"/>
              </w:rPr>
              <w:t>(iv)</w:t>
            </w:r>
            <w:r w:rsidRPr="00F20BA7">
              <w:rPr>
                <w:rFonts w:ascii="Arial" w:hAnsi="Arial" w:cs="Arial"/>
                <w:iCs/>
                <w:sz w:val="22"/>
                <w:szCs w:val="22"/>
              </w:rPr>
              <w:t xml:space="preserve"> Luego presentó retención urinaria, manejada por cateterismo intermitente de 5 veces al día</w:t>
            </w:r>
            <w:r w:rsidR="00526912" w:rsidRPr="00F20BA7">
              <w:rPr>
                <w:rFonts w:ascii="Arial" w:hAnsi="Arial" w:cs="Arial"/>
                <w:iCs/>
                <w:sz w:val="22"/>
                <w:szCs w:val="22"/>
              </w:rPr>
              <w:t>, que es el actuar médico indicado para este tipo de patologías</w:t>
            </w:r>
            <w:r w:rsidRPr="00F20BA7">
              <w:rPr>
                <w:rFonts w:ascii="Arial" w:hAnsi="Arial" w:cs="Arial"/>
                <w:iCs/>
                <w:sz w:val="22"/>
                <w:szCs w:val="22"/>
              </w:rPr>
              <w:t xml:space="preserve">; </w:t>
            </w:r>
            <w:r w:rsidRPr="00F20BA7">
              <w:rPr>
                <w:rFonts w:ascii="Arial" w:hAnsi="Arial" w:cs="Arial"/>
                <w:b/>
                <w:iCs/>
                <w:sz w:val="22"/>
                <w:szCs w:val="22"/>
              </w:rPr>
              <w:t>(v)</w:t>
            </w:r>
            <w:r w:rsidRPr="00F20BA7">
              <w:rPr>
                <w:rFonts w:ascii="Arial" w:hAnsi="Arial" w:cs="Arial"/>
                <w:iCs/>
                <w:sz w:val="22"/>
                <w:szCs w:val="22"/>
              </w:rPr>
              <w:t xml:space="preserve"> La paciente siempre presentó un delicado estado de salud, pues se trata de una enfermedad grave, con alta tasa de morbimortalidad, pero que de acuerdo a los tratamientos ofrecidos por distintos equipos médicos ha permitido preservar la vida de la paciente, con los riesgos y efe</w:t>
            </w:r>
            <w:r w:rsidR="00DA7FB8">
              <w:rPr>
                <w:rFonts w:ascii="Arial" w:hAnsi="Arial" w:cs="Arial"/>
                <w:iCs/>
                <w:sz w:val="22"/>
                <w:szCs w:val="22"/>
              </w:rPr>
              <w:t xml:space="preserve">ctos adversos que ello conlleva; </w:t>
            </w:r>
            <w:r w:rsidR="00DA7FB8" w:rsidRPr="00DA7FB8">
              <w:rPr>
                <w:rFonts w:ascii="Arial" w:hAnsi="Arial" w:cs="Arial"/>
                <w:b/>
                <w:iCs/>
                <w:sz w:val="22"/>
                <w:szCs w:val="22"/>
              </w:rPr>
              <w:t>(v)</w:t>
            </w:r>
            <w:r w:rsidR="00DA7FB8">
              <w:rPr>
                <w:rFonts w:ascii="Arial" w:hAnsi="Arial" w:cs="Arial"/>
                <w:iCs/>
                <w:sz w:val="22"/>
                <w:szCs w:val="22"/>
              </w:rPr>
              <w:t xml:space="preserve"> Sin embargo, por parte de Clínica de Occidente podría reprocharse que hubo una perforación del intestino en el procedimiento realizado, así como una posterior hernia producto de la cirugía, además del procedimiento denominado bloqueo,</w:t>
            </w:r>
            <w:r w:rsidR="001F4935">
              <w:rPr>
                <w:rFonts w:ascii="Arial" w:hAnsi="Arial" w:cs="Arial"/>
                <w:iCs/>
                <w:sz w:val="22"/>
                <w:szCs w:val="22"/>
              </w:rPr>
              <w:t xml:space="preserve"> del cual derivaron intensos dolores </w:t>
            </w:r>
            <w:r w:rsidR="0090099F">
              <w:rPr>
                <w:rFonts w:ascii="Arial" w:hAnsi="Arial" w:cs="Arial"/>
                <w:iCs/>
                <w:sz w:val="22"/>
                <w:szCs w:val="22"/>
              </w:rPr>
              <w:t xml:space="preserve">en la paciente </w:t>
            </w:r>
            <w:r w:rsidR="001F4935">
              <w:rPr>
                <w:rFonts w:ascii="Arial" w:hAnsi="Arial" w:cs="Arial"/>
                <w:iCs/>
                <w:sz w:val="22"/>
                <w:szCs w:val="22"/>
              </w:rPr>
              <w:t>y que la obligaron a usar una sonda para evacuar líquidos. A</w:t>
            </w:r>
            <w:r w:rsidR="00DA7FB8">
              <w:rPr>
                <w:rFonts w:ascii="Arial" w:hAnsi="Arial" w:cs="Arial"/>
                <w:iCs/>
                <w:sz w:val="22"/>
                <w:szCs w:val="22"/>
              </w:rPr>
              <w:t xml:space="preserve"> las concusiones anteriores se llegó sólo con la lectura de la historia clínica de la paciente,</w:t>
            </w:r>
            <w:r w:rsidR="001F4935">
              <w:rPr>
                <w:rFonts w:ascii="Arial" w:hAnsi="Arial" w:cs="Arial"/>
                <w:iCs/>
                <w:sz w:val="22"/>
                <w:szCs w:val="22"/>
              </w:rPr>
              <w:t xml:space="preserve"> por lo tanto, los aparentes problemas y complicaciones de la demandante deberán ser demostrados a través de </w:t>
            </w:r>
            <w:r w:rsidR="001F4935" w:rsidRPr="001F4935">
              <w:rPr>
                <w:rFonts w:ascii="Arial" w:hAnsi="Arial" w:cs="Arial"/>
                <w:iCs/>
                <w:sz w:val="22"/>
                <w:szCs w:val="22"/>
              </w:rPr>
              <w:t xml:space="preserve">pruebas técnicas como dictámenes </w:t>
            </w:r>
            <w:r w:rsidR="0090099F">
              <w:rPr>
                <w:rFonts w:ascii="Arial" w:hAnsi="Arial" w:cs="Arial"/>
                <w:iCs/>
                <w:sz w:val="22"/>
                <w:szCs w:val="22"/>
              </w:rPr>
              <w:t xml:space="preserve">periciales </w:t>
            </w:r>
            <w:r w:rsidR="001F4935" w:rsidRPr="001F4935">
              <w:rPr>
                <w:rFonts w:ascii="Arial" w:hAnsi="Arial" w:cs="Arial"/>
                <w:iCs/>
                <w:sz w:val="22"/>
                <w:szCs w:val="22"/>
              </w:rPr>
              <w:t>y los testimonios técnicos</w:t>
            </w:r>
            <w:r w:rsidR="001F4935">
              <w:rPr>
                <w:rFonts w:ascii="Arial" w:hAnsi="Arial" w:cs="Arial"/>
                <w:iCs/>
                <w:sz w:val="22"/>
                <w:szCs w:val="22"/>
              </w:rPr>
              <w:t xml:space="preserve">, es decir, </w:t>
            </w:r>
            <w:r w:rsidRPr="00F20BA7">
              <w:rPr>
                <w:rFonts w:ascii="Arial" w:hAnsi="Arial" w:cs="Arial"/>
                <w:iCs/>
                <w:sz w:val="22"/>
                <w:szCs w:val="22"/>
              </w:rPr>
              <w:t>dependerá del debate probat</w:t>
            </w:r>
            <w:r w:rsidR="00526912" w:rsidRPr="00F20BA7">
              <w:rPr>
                <w:rFonts w:ascii="Arial" w:hAnsi="Arial" w:cs="Arial"/>
                <w:iCs/>
                <w:sz w:val="22"/>
                <w:szCs w:val="22"/>
              </w:rPr>
              <w:t>orio las resultas del pr</w:t>
            </w:r>
            <w:bookmarkStart w:id="0" w:name="_GoBack"/>
            <w:bookmarkEnd w:id="0"/>
            <w:r w:rsidR="00526912" w:rsidRPr="00F20BA7">
              <w:rPr>
                <w:rFonts w:ascii="Arial" w:hAnsi="Arial" w:cs="Arial"/>
                <w:iCs/>
                <w:sz w:val="22"/>
                <w:szCs w:val="22"/>
              </w:rPr>
              <w:t>oceso.</w:t>
            </w:r>
          </w:p>
          <w:p w14:paraId="46EE1E88" w14:textId="5D29E634" w:rsidR="009653E2" w:rsidRPr="00F20BA7" w:rsidRDefault="000D66E0" w:rsidP="001A07C2">
            <w:pPr>
              <w:pStyle w:val="NormalWeb"/>
              <w:shd w:val="clear" w:color="auto" w:fill="FFFFFF"/>
              <w:jc w:val="both"/>
              <w:rPr>
                <w:rFonts w:ascii="Arial" w:hAnsi="Arial" w:cs="Arial"/>
                <w:iCs/>
                <w:sz w:val="22"/>
                <w:szCs w:val="22"/>
              </w:rPr>
            </w:pPr>
            <w:r w:rsidRPr="00F20BA7">
              <w:rPr>
                <w:rFonts w:ascii="Arial" w:hAnsi="Arial" w:cs="Arial"/>
                <w:iCs/>
                <w:sz w:val="22"/>
                <w:szCs w:val="22"/>
              </w:rPr>
              <w:t>Todo lo anterior sin perjuicio del carácter contingente del proceso.</w:t>
            </w:r>
          </w:p>
        </w:tc>
      </w:tr>
      <w:tr w:rsidR="003152D5" w:rsidRPr="00F20BA7" w14:paraId="423EF0FF" w14:textId="77777777" w:rsidTr="008F3801">
        <w:trPr>
          <w:trHeight w:val="478"/>
        </w:trPr>
        <w:tc>
          <w:tcPr>
            <w:tcW w:w="2338" w:type="dxa"/>
            <w:shd w:val="clear" w:color="auto" w:fill="0033A0"/>
            <w:vAlign w:val="center"/>
          </w:tcPr>
          <w:p w14:paraId="2F9F4436" w14:textId="77777777" w:rsidR="003152D5" w:rsidRPr="00F20BA7" w:rsidRDefault="003152D5" w:rsidP="003152D5">
            <w:pPr>
              <w:rPr>
                <w:rFonts w:ascii="Arial" w:hAnsi="Arial" w:cs="Arial"/>
                <w:b/>
                <w:sz w:val="22"/>
                <w:szCs w:val="22"/>
              </w:rPr>
            </w:pPr>
            <w:r w:rsidRPr="00F20BA7">
              <w:rPr>
                <w:rFonts w:ascii="Arial" w:hAnsi="Arial" w:cs="Arial"/>
                <w:b/>
                <w:sz w:val="22"/>
                <w:szCs w:val="22"/>
              </w:rPr>
              <w:lastRenderedPageBreak/>
              <w:t>Observaciones</w:t>
            </w:r>
          </w:p>
        </w:tc>
        <w:tc>
          <w:tcPr>
            <w:tcW w:w="7512" w:type="dxa"/>
            <w:gridSpan w:val="3"/>
            <w:vAlign w:val="center"/>
          </w:tcPr>
          <w:p w14:paraId="0C08A217" w14:textId="328C0742" w:rsidR="003152D5" w:rsidRPr="00F20BA7" w:rsidRDefault="003152D5" w:rsidP="007E5666">
            <w:pPr>
              <w:jc w:val="both"/>
              <w:rPr>
                <w:rFonts w:ascii="Arial" w:hAnsi="Arial" w:cs="Arial"/>
                <w:iCs/>
                <w:sz w:val="22"/>
                <w:szCs w:val="22"/>
              </w:rPr>
            </w:pPr>
          </w:p>
        </w:tc>
      </w:tr>
    </w:tbl>
    <w:p w14:paraId="03B039A9" w14:textId="77777777" w:rsidR="00247E08" w:rsidRPr="00F20BA7" w:rsidRDefault="00247E08" w:rsidP="00247E08">
      <w:pPr>
        <w:rPr>
          <w:rFonts w:ascii="Arial" w:hAnsi="Arial" w:cs="Arial"/>
          <w:b/>
          <w:sz w:val="22"/>
          <w:szCs w:val="22"/>
          <w:u w:val="single"/>
        </w:rPr>
      </w:pPr>
    </w:p>
    <w:p w14:paraId="7C1537B2" w14:textId="77777777" w:rsidR="0096555E" w:rsidRPr="00F20BA7" w:rsidRDefault="0096555E" w:rsidP="00247E08">
      <w:pPr>
        <w:rPr>
          <w:rFonts w:ascii="Arial" w:hAnsi="Arial" w:cs="Arial"/>
          <w:b/>
          <w:sz w:val="22"/>
          <w:szCs w:val="22"/>
        </w:rPr>
      </w:pPr>
    </w:p>
    <w:p w14:paraId="1AA0C5C3" w14:textId="2FE4EAEC" w:rsidR="00247E08" w:rsidRPr="00F20BA7" w:rsidRDefault="00E7768D" w:rsidP="00247E08">
      <w:pPr>
        <w:rPr>
          <w:rFonts w:ascii="Arial" w:hAnsi="Arial" w:cs="Arial"/>
          <w:b/>
          <w:sz w:val="22"/>
          <w:szCs w:val="22"/>
        </w:rPr>
      </w:pPr>
      <w:r w:rsidRPr="00F20BA7">
        <w:rPr>
          <w:rFonts w:ascii="Arial" w:hAnsi="Arial" w:cs="Arial"/>
          <w:b/>
          <w:sz w:val="22"/>
          <w:szCs w:val="22"/>
        </w:rPr>
        <w:t>Datos abogado interno</w:t>
      </w:r>
    </w:p>
    <w:p w14:paraId="30A5C309" w14:textId="62380A42" w:rsidR="00E7768D" w:rsidRPr="00F20BA7" w:rsidRDefault="00E7768D" w:rsidP="00247E08">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F20BA7" w14:paraId="6E3C6E8A" w14:textId="77777777" w:rsidTr="008F3801">
        <w:trPr>
          <w:trHeight w:val="340"/>
        </w:trPr>
        <w:tc>
          <w:tcPr>
            <w:tcW w:w="2353" w:type="dxa"/>
            <w:shd w:val="clear" w:color="auto" w:fill="0033A0"/>
            <w:vAlign w:val="center"/>
          </w:tcPr>
          <w:p w14:paraId="72BAF282" w14:textId="216ED2CA" w:rsidR="00527AC1" w:rsidRPr="00F20BA7" w:rsidRDefault="00670B1C" w:rsidP="00F2776B">
            <w:pPr>
              <w:jc w:val="both"/>
              <w:rPr>
                <w:rFonts w:ascii="Arial" w:hAnsi="Arial" w:cs="Arial"/>
                <w:b/>
                <w:bCs/>
                <w:sz w:val="22"/>
                <w:szCs w:val="22"/>
              </w:rPr>
            </w:pPr>
            <w:r w:rsidRPr="00F20BA7">
              <w:rPr>
                <w:rFonts w:ascii="Arial" w:hAnsi="Arial" w:cs="Arial"/>
                <w:b/>
                <w:bCs/>
                <w:sz w:val="22"/>
                <w:szCs w:val="22"/>
              </w:rPr>
              <w:t>Requiere siniestro</w:t>
            </w:r>
          </w:p>
        </w:tc>
        <w:tc>
          <w:tcPr>
            <w:tcW w:w="1260" w:type="dxa"/>
            <w:vAlign w:val="center"/>
          </w:tcPr>
          <w:p w14:paraId="7944CF82" w14:textId="77777777" w:rsidR="00527AC1" w:rsidRPr="00F20BA7" w:rsidRDefault="00527AC1" w:rsidP="00F2776B">
            <w:pPr>
              <w:jc w:val="both"/>
              <w:rPr>
                <w:rFonts w:ascii="Arial" w:hAnsi="Arial" w:cs="Arial"/>
                <w:sz w:val="22"/>
                <w:szCs w:val="22"/>
              </w:rPr>
            </w:pPr>
          </w:p>
        </w:tc>
        <w:tc>
          <w:tcPr>
            <w:tcW w:w="2127" w:type="dxa"/>
            <w:shd w:val="clear" w:color="auto" w:fill="0033A0"/>
            <w:vAlign w:val="center"/>
          </w:tcPr>
          <w:p w14:paraId="5FD9B59F" w14:textId="57D650C4" w:rsidR="00527AC1" w:rsidRPr="00F20BA7" w:rsidRDefault="00670B1C" w:rsidP="00F2776B">
            <w:pPr>
              <w:jc w:val="both"/>
              <w:rPr>
                <w:rFonts w:ascii="Arial" w:hAnsi="Arial" w:cs="Arial"/>
                <w:b/>
                <w:bCs/>
                <w:sz w:val="22"/>
                <w:szCs w:val="22"/>
              </w:rPr>
            </w:pPr>
            <w:r w:rsidRPr="00F20BA7">
              <w:rPr>
                <w:rFonts w:ascii="Arial" w:hAnsi="Arial" w:cs="Arial"/>
                <w:b/>
                <w:bCs/>
                <w:sz w:val="22"/>
                <w:szCs w:val="22"/>
              </w:rPr>
              <w:t>Número de siniestro</w:t>
            </w:r>
          </w:p>
        </w:tc>
        <w:tc>
          <w:tcPr>
            <w:tcW w:w="4110" w:type="dxa"/>
            <w:vAlign w:val="center"/>
          </w:tcPr>
          <w:p w14:paraId="08F65C37" w14:textId="536588FA" w:rsidR="00527AC1" w:rsidRPr="00F20BA7" w:rsidRDefault="00527AC1" w:rsidP="00F2776B">
            <w:pPr>
              <w:jc w:val="both"/>
              <w:rPr>
                <w:rFonts w:ascii="Arial" w:hAnsi="Arial" w:cs="Arial"/>
                <w:sz w:val="22"/>
                <w:szCs w:val="22"/>
              </w:rPr>
            </w:pPr>
          </w:p>
        </w:tc>
      </w:tr>
      <w:tr w:rsidR="00670B1C" w:rsidRPr="00F20BA7" w14:paraId="02724D2B" w14:textId="77777777" w:rsidTr="008F3801">
        <w:trPr>
          <w:cantSplit/>
          <w:trHeight w:val="340"/>
        </w:trPr>
        <w:tc>
          <w:tcPr>
            <w:tcW w:w="2353" w:type="dxa"/>
            <w:shd w:val="clear" w:color="auto" w:fill="0033A0"/>
            <w:vAlign w:val="center"/>
          </w:tcPr>
          <w:p w14:paraId="712D0A9F" w14:textId="4E0FB124" w:rsidR="00670B1C" w:rsidRPr="00F20BA7" w:rsidRDefault="004C53EC" w:rsidP="00F2776B">
            <w:pPr>
              <w:rPr>
                <w:rFonts w:ascii="Arial" w:hAnsi="Arial" w:cs="Arial"/>
                <w:b/>
                <w:sz w:val="22"/>
                <w:szCs w:val="22"/>
              </w:rPr>
            </w:pPr>
            <w:r w:rsidRPr="00F20BA7">
              <w:rPr>
                <w:rFonts w:ascii="Arial" w:hAnsi="Arial" w:cs="Arial"/>
                <w:b/>
                <w:sz w:val="22"/>
                <w:szCs w:val="22"/>
              </w:rPr>
              <w:t>Vinculado</w:t>
            </w:r>
          </w:p>
        </w:tc>
        <w:tc>
          <w:tcPr>
            <w:tcW w:w="1260" w:type="dxa"/>
            <w:vAlign w:val="center"/>
          </w:tcPr>
          <w:p w14:paraId="6EE862B9" w14:textId="77777777" w:rsidR="00670B1C" w:rsidRPr="00F20BA7" w:rsidRDefault="00670B1C" w:rsidP="00F2776B">
            <w:pPr>
              <w:jc w:val="both"/>
              <w:rPr>
                <w:rFonts w:ascii="Arial" w:hAnsi="Arial" w:cs="Arial"/>
                <w:sz w:val="22"/>
                <w:szCs w:val="22"/>
              </w:rPr>
            </w:pPr>
          </w:p>
        </w:tc>
        <w:tc>
          <w:tcPr>
            <w:tcW w:w="2127" w:type="dxa"/>
            <w:shd w:val="clear" w:color="auto" w:fill="0033A0"/>
            <w:vAlign w:val="center"/>
          </w:tcPr>
          <w:p w14:paraId="64204CF7" w14:textId="26B2CBCA" w:rsidR="00670B1C" w:rsidRPr="00F20BA7" w:rsidRDefault="004C53EC" w:rsidP="00F2776B">
            <w:pPr>
              <w:jc w:val="both"/>
              <w:rPr>
                <w:rFonts w:ascii="Arial" w:hAnsi="Arial" w:cs="Arial"/>
                <w:b/>
                <w:sz w:val="22"/>
                <w:szCs w:val="22"/>
              </w:rPr>
            </w:pPr>
            <w:r w:rsidRPr="00F20BA7">
              <w:rPr>
                <w:rFonts w:ascii="Arial" w:hAnsi="Arial" w:cs="Arial"/>
                <w:b/>
                <w:sz w:val="22"/>
                <w:szCs w:val="22"/>
              </w:rPr>
              <w:t>Asunto</w:t>
            </w:r>
          </w:p>
        </w:tc>
        <w:tc>
          <w:tcPr>
            <w:tcW w:w="4110" w:type="dxa"/>
            <w:vAlign w:val="center"/>
          </w:tcPr>
          <w:p w14:paraId="67FD7B5B" w14:textId="578D9DB7" w:rsidR="00670B1C" w:rsidRPr="00F20BA7" w:rsidRDefault="00670B1C" w:rsidP="00F2776B">
            <w:pPr>
              <w:jc w:val="both"/>
              <w:rPr>
                <w:rFonts w:ascii="Arial" w:hAnsi="Arial" w:cs="Arial"/>
                <w:sz w:val="22"/>
                <w:szCs w:val="22"/>
              </w:rPr>
            </w:pPr>
          </w:p>
        </w:tc>
      </w:tr>
    </w:tbl>
    <w:p w14:paraId="1AEE6596" w14:textId="77777777" w:rsidR="00E7768D" w:rsidRPr="006641D1" w:rsidRDefault="00E7768D" w:rsidP="00B977DA">
      <w:pPr>
        <w:rPr>
          <w:rFonts w:ascii="Arial" w:hAnsi="Arial" w:cs="Arial"/>
          <w:b/>
          <w:sz w:val="22"/>
          <w:szCs w:val="22"/>
          <w:u w:val="single"/>
        </w:rPr>
      </w:pPr>
    </w:p>
    <w:sectPr w:rsidR="00E7768D" w:rsidRPr="006641D1" w:rsidSect="00F67FE4">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A8361" w14:textId="77777777" w:rsidR="00D13448" w:rsidRDefault="00D13448" w:rsidP="00114170">
      <w:r>
        <w:separator/>
      </w:r>
    </w:p>
  </w:endnote>
  <w:endnote w:type="continuationSeparator" w:id="0">
    <w:p w14:paraId="3532E976" w14:textId="77777777" w:rsidR="00D13448" w:rsidRDefault="00D13448"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CABF2" w14:textId="77777777" w:rsidR="00D13448" w:rsidRDefault="00D13448" w:rsidP="00114170">
      <w:r>
        <w:separator/>
      </w:r>
    </w:p>
  </w:footnote>
  <w:footnote w:type="continuationSeparator" w:id="0">
    <w:p w14:paraId="310CF18C" w14:textId="77777777" w:rsidR="00D13448" w:rsidRDefault="00D13448" w:rsidP="001141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64C4F"/>
    <w:multiLevelType w:val="hybridMultilevel"/>
    <w:tmpl w:val="D452EE4A"/>
    <w:lvl w:ilvl="0" w:tplc="E272F1D0">
      <w:numFmt w:val="bullet"/>
      <w:lvlText w:val=""/>
      <w:lvlJc w:val="left"/>
      <w:pPr>
        <w:ind w:left="1003" w:hanging="360"/>
      </w:pPr>
      <w:rPr>
        <w:rFonts w:ascii="Symbol" w:eastAsia="Symbol" w:hAnsi="Symbol" w:cs="Symbol" w:hint="default"/>
        <w:w w:val="100"/>
        <w:sz w:val="20"/>
        <w:szCs w:val="20"/>
        <w:lang w:val="es-ES" w:eastAsia="en-US" w:bidi="ar-SA"/>
      </w:rPr>
    </w:lvl>
    <w:lvl w:ilvl="1" w:tplc="080A0003" w:tentative="1">
      <w:start w:val="1"/>
      <w:numFmt w:val="bullet"/>
      <w:lvlText w:val="o"/>
      <w:lvlJc w:val="left"/>
      <w:pPr>
        <w:ind w:left="1723" w:hanging="360"/>
      </w:pPr>
      <w:rPr>
        <w:rFonts w:ascii="Courier New" w:hAnsi="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4"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B0213DE"/>
    <w:multiLevelType w:val="hybridMultilevel"/>
    <w:tmpl w:val="3D12267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9"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3"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34680F"/>
    <w:multiLevelType w:val="hybridMultilevel"/>
    <w:tmpl w:val="DEC600F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0"/>
  </w:num>
  <w:num w:numId="2">
    <w:abstractNumId w:val="18"/>
  </w:num>
  <w:num w:numId="3">
    <w:abstractNumId w:val="23"/>
  </w:num>
  <w:num w:numId="4">
    <w:abstractNumId w:val="21"/>
  </w:num>
  <w:num w:numId="5">
    <w:abstractNumId w:val="14"/>
  </w:num>
  <w:num w:numId="6">
    <w:abstractNumId w:val="30"/>
  </w:num>
  <w:num w:numId="7">
    <w:abstractNumId w:val="9"/>
  </w:num>
  <w:num w:numId="8">
    <w:abstractNumId w:val="3"/>
  </w:num>
  <w:num w:numId="9">
    <w:abstractNumId w:val="32"/>
  </w:num>
  <w:num w:numId="10">
    <w:abstractNumId w:val="11"/>
  </w:num>
  <w:num w:numId="11">
    <w:abstractNumId w:val="1"/>
  </w:num>
  <w:num w:numId="12">
    <w:abstractNumId w:val="29"/>
  </w:num>
  <w:num w:numId="13">
    <w:abstractNumId w:val="10"/>
  </w:num>
  <w:num w:numId="14">
    <w:abstractNumId w:val="4"/>
  </w:num>
  <w:num w:numId="15">
    <w:abstractNumId w:val="19"/>
  </w:num>
  <w:num w:numId="16">
    <w:abstractNumId w:val="31"/>
  </w:num>
  <w:num w:numId="17">
    <w:abstractNumId w:val="28"/>
  </w:num>
  <w:num w:numId="18">
    <w:abstractNumId w:val="27"/>
  </w:num>
  <w:num w:numId="19">
    <w:abstractNumId w:val="8"/>
  </w:num>
  <w:num w:numId="20">
    <w:abstractNumId w:val="22"/>
  </w:num>
  <w:num w:numId="21">
    <w:abstractNumId w:val="7"/>
  </w:num>
  <w:num w:numId="22">
    <w:abstractNumId w:val="33"/>
  </w:num>
  <w:num w:numId="23">
    <w:abstractNumId w:val="12"/>
  </w:num>
  <w:num w:numId="24">
    <w:abstractNumId w:val="16"/>
  </w:num>
  <w:num w:numId="25">
    <w:abstractNumId w:val="26"/>
  </w:num>
  <w:num w:numId="26">
    <w:abstractNumId w:val="15"/>
  </w:num>
  <w:num w:numId="27">
    <w:abstractNumId w:val="17"/>
  </w:num>
  <w:num w:numId="28">
    <w:abstractNumId w:val="25"/>
  </w:num>
  <w:num w:numId="29">
    <w:abstractNumId w:val="6"/>
  </w:num>
  <w:num w:numId="30">
    <w:abstractNumId w:val="5"/>
  </w:num>
  <w:num w:numId="31">
    <w:abstractNumId w:val="0"/>
  </w:num>
  <w:num w:numId="32">
    <w:abstractNumId w:val="2"/>
  </w:num>
  <w:num w:numId="33">
    <w:abstractNumId w:val="13"/>
  </w:num>
  <w:num w:numId="34">
    <w:abstractNumId w:val="24"/>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A0"/>
    <w:rsid w:val="00003E7E"/>
    <w:rsid w:val="0000477F"/>
    <w:rsid w:val="0001168F"/>
    <w:rsid w:val="00020801"/>
    <w:rsid w:val="00036646"/>
    <w:rsid w:val="00037812"/>
    <w:rsid w:val="000401A8"/>
    <w:rsid w:val="000404E8"/>
    <w:rsid w:val="00050E3B"/>
    <w:rsid w:val="0006313F"/>
    <w:rsid w:val="00063B19"/>
    <w:rsid w:val="000739FB"/>
    <w:rsid w:val="00081D90"/>
    <w:rsid w:val="00090D76"/>
    <w:rsid w:val="0009260D"/>
    <w:rsid w:val="00094F3F"/>
    <w:rsid w:val="000A0A02"/>
    <w:rsid w:val="000C1B02"/>
    <w:rsid w:val="000C26D4"/>
    <w:rsid w:val="000D00EE"/>
    <w:rsid w:val="000D4CF1"/>
    <w:rsid w:val="000D66E0"/>
    <w:rsid w:val="000E47B9"/>
    <w:rsid w:val="000E7522"/>
    <w:rsid w:val="000F3BCA"/>
    <w:rsid w:val="00103F19"/>
    <w:rsid w:val="00114170"/>
    <w:rsid w:val="00123760"/>
    <w:rsid w:val="001253CC"/>
    <w:rsid w:val="0013149B"/>
    <w:rsid w:val="0016002E"/>
    <w:rsid w:val="00160EEF"/>
    <w:rsid w:val="00184BEB"/>
    <w:rsid w:val="00190D99"/>
    <w:rsid w:val="00197AE5"/>
    <w:rsid w:val="001A07C2"/>
    <w:rsid w:val="001B5C91"/>
    <w:rsid w:val="001C281E"/>
    <w:rsid w:val="001C4AB7"/>
    <w:rsid w:val="001D5B1E"/>
    <w:rsid w:val="001F4935"/>
    <w:rsid w:val="00205973"/>
    <w:rsid w:val="00207388"/>
    <w:rsid w:val="00212C67"/>
    <w:rsid w:val="00213571"/>
    <w:rsid w:val="00216E9C"/>
    <w:rsid w:val="00221F8F"/>
    <w:rsid w:val="002277B8"/>
    <w:rsid w:val="00230417"/>
    <w:rsid w:val="002311CE"/>
    <w:rsid w:val="0023279C"/>
    <w:rsid w:val="002422AF"/>
    <w:rsid w:val="00244DDE"/>
    <w:rsid w:val="00247E08"/>
    <w:rsid w:val="002513CE"/>
    <w:rsid w:val="00255339"/>
    <w:rsid w:val="002554FB"/>
    <w:rsid w:val="00263159"/>
    <w:rsid w:val="0027255B"/>
    <w:rsid w:val="00285038"/>
    <w:rsid w:val="002958C0"/>
    <w:rsid w:val="002A58E2"/>
    <w:rsid w:val="002B69D9"/>
    <w:rsid w:val="002B706B"/>
    <w:rsid w:val="002B7B35"/>
    <w:rsid w:val="002C06F6"/>
    <w:rsid w:val="002C2E84"/>
    <w:rsid w:val="002C48B4"/>
    <w:rsid w:val="002C6436"/>
    <w:rsid w:val="002D5CC7"/>
    <w:rsid w:val="002F4FCF"/>
    <w:rsid w:val="0030784C"/>
    <w:rsid w:val="00314784"/>
    <w:rsid w:val="003152D5"/>
    <w:rsid w:val="00316B10"/>
    <w:rsid w:val="00320A54"/>
    <w:rsid w:val="00326883"/>
    <w:rsid w:val="00337E0F"/>
    <w:rsid w:val="0034396D"/>
    <w:rsid w:val="00346423"/>
    <w:rsid w:val="00354234"/>
    <w:rsid w:val="00372040"/>
    <w:rsid w:val="00373807"/>
    <w:rsid w:val="00374C2E"/>
    <w:rsid w:val="00380545"/>
    <w:rsid w:val="003810F4"/>
    <w:rsid w:val="00392D26"/>
    <w:rsid w:val="003A0056"/>
    <w:rsid w:val="003A17AC"/>
    <w:rsid w:val="003A544A"/>
    <w:rsid w:val="003A5FDC"/>
    <w:rsid w:val="003D1FDE"/>
    <w:rsid w:val="003D20D7"/>
    <w:rsid w:val="003E59C2"/>
    <w:rsid w:val="003F2547"/>
    <w:rsid w:val="00407B3B"/>
    <w:rsid w:val="004113B5"/>
    <w:rsid w:val="0042254E"/>
    <w:rsid w:val="004252B9"/>
    <w:rsid w:val="0043197D"/>
    <w:rsid w:val="00447AE4"/>
    <w:rsid w:val="0045121E"/>
    <w:rsid w:val="004526CC"/>
    <w:rsid w:val="00454945"/>
    <w:rsid w:val="0046238D"/>
    <w:rsid w:val="00467BC7"/>
    <w:rsid w:val="00474305"/>
    <w:rsid w:val="00475D6D"/>
    <w:rsid w:val="004803E3"/>
    <w:rsid w:val="00484071"/>
    <w:rsid w:val="00490443"/>
    <w:rsid w:val="00497787"/>
    <w:rsid w:val="004A5D12"/>
    <w:rsid w:val="004B05BE"/>
    <w:rsid w:val="004B709D"/>
    <w:rsid w:val="004C2407"/>
    <w:rsid w:val="004C2D35"/>
    <w:rsid w:val="004C2E9C"/>
    <w:rsid w:val="004C2ECE"/>
    <w:rsid w:val="004C34B7"/>
    <w:rsid w:val="004C3A90"/>
    <w:rsid w:val="004C3DEB"/>
    <w:rsid w:val="004C53EC"/>
    <w:rsid w:val="004D0B1D"/>
    <w:rsid w:val="004D0F28"/>
    <w:rsid w:val="004D6B61"/>
    <w:rsid w:val="004E2C16"/>
    <w:rsid w:val="004F3E0C"/>
    <w:rsid w:val="00500604"/>
    <w:rsid w:val="00504CF5"/>
    <w:rsid w:val="00504ED6"/>
    <w:rsid w:val="00522B60"/>
    <w:rsid w:val="005232D1"/>
    <w:rsid w:val="00526912"/>
    <w:rsid w:val="00527AC1"/>
    <w:rsid w:val="00530052"/>
    <w:rsid w:val="0054566E"/>
    <w:rsid w:val="00551367"/>
    <w:rsid w:val="0055384F"/>
    <w:rsid w:val="005540BF"/>
    <w:rsid w:val="00560472"/>
    <w:rsid w:val="00563295"/>
    <w:rsid w:val="005700BC"/>
    <w:rsid w:val="00577E84"/>
    <w:rsid w:val="00596831"/>
    <w:rsid w:val="005A6258"/>
    <w:rsid w:val="005E053C"/>
    <w:rsid w:val="005F5EE0"/>
    <w:rsid w:val="00611F74"/>
    <w:rsid w:val="00615F8B"/>
    <w:rsid w:val="00623929"/>
    <w:rsid w:val="00624A35"/>
    <w:rsid w:val="00632829"/>
    <w:rsid w:val="00642A17"/>
    <w:rsid w:val="00655F2D"/>
    <w:rsid w:val="006641D1"/>
    <w:rsid w:val="00670B1C"/>
    <w:rsid w:val="00672B99"/>
    <w:rsid w:val="0068118E"/>
    <w:rsid w:val="00685622"/>
    <w:rsid w:val="0069333C"/>
    <w:rsid w:val="00693718"/>
    <w:rsid w:val="00696EDE"/>
    <w:rsid w:val="006A16E9"/>
    <w:rsid w:val="006A6736"/>
    <w:rsid w:val="006B01C9"/>
    <w:rsid w:val="006B0E2A"/>
    <w:rsid w:val="006C1F03"/>
    <w:rsid w:val="006C2C55"/>
    <w:rsid w:val="006D4D01"/>
    <w:rsid w:val="006D71E7"/>
    <w:rsid w:val="006E0BB5"/>
    <w:rsid w:val="006F1BB7"/>
    <w:rsid w:val="006F4FE6"/>
    <w:rsid w:val="006F6152"/>
    <w:rsid w:val="00703C75"/>
    <w:rsid w:val="00724202"/>
    <w:rsid w:val="0073444B"/>
    <w:rsid w:val="00734BD8"/>
    <w:rsid w:val="00741D06"/>
    <w:rsid w:val="00743619"/>
    <w:rsid w:val="0074603F"/>
    <w:rsid w:val="00756D23"/>
    <w:rsid w:val="00781F87"/>
    <w:rsid w:val="007839CD"/>
    <w:rsid w:val="0079796A"/>
    <w:rsid w:val="007979E0"/>
    <w:rsid w:val="007A3BF4"/>
    <w:rsid w:val="007A6078"/>
    <w:rsid w:val="007B6543"/>
    <w:rsid w:val="007E5666"/>
    <w:rsid w:val="007E6E42"/>
    <w:rsid w:val="007F4341"/>
    <w:rsid w:val="00817E08"/>
    <w:rsid w:val="00824DA6"/>
    <w:rsid w:val="0082787A"/>
    <w:rsid w:val="0083094B"/>
    <w:rsid w:val="008324AA"/>
    <w:rsid w:val="00833C2B"/>
    <w:rsid w:val="00840314"/>
    <w:rsid w:val="00863605"/>
    <w:rsid w:val="0087539A"/>
    <w:rsid w:val="008815A2"/>
    <w:rsid w:val="008815AD"/>
    <w:rsid w:val="00881BE6"/>
    <w:rsid w:val="00894EBE"/>
    <w:rsid w:val="008B48BE"/>
    <w:rsid w:val="008C473A"/>
    <w:rsid w:val="008C5FF9"/>
    <w:rsid w:val="008D6AFB"/>
    <w:rsid w:val="008F10F0"/>
    <w:rsid w:val="008F3801"/>
    <w:rsid w:val="0090099F"/>
    <w:rsid w:val="0091430C"/>
    <w:rsid w:val="00926FCC"/>
    <w:rsid w:val="0094361E"/>
    <w:rsid w:val="0094485D"/>
    <w:rsid w:val="009534D1"/>
    <w:rsid w:val="00954C7D"/>
    <w:rsid w:val="00955F5A"/>
    <w:rsid w:val="00956C8F"/>
    <w:rsid w:val="009572C0"/>
    <w:rsid w:val="009643E3"/>
    <w:rsid w:val="009653E2"/>
    <w:rsid w:val="0096555E"/>
    <w:rsid w:val="009666D9"/>
    <w:rsid w:val="009723D0"/>
    <w:rsid w:val="00981826"/>
    <w:rsid w:val="0098308F"/>
    <w:rsid w:val="009A3E8D"/>
    <w:rsid w:val="009C5F90"/>
    <w:rsid w:val="009E6A05"/>
    <w:rsid w:val="009E7D3B"/>
    <w:rsid w:val="00A024F9"/>
    <w:rsid w:val="00A2645B"/>
    <w:rsid w:val="00A26802"/>
    <w:rsid w:val="00A40839"/>
    <w:rsid w:val="00A62320"/>
    <w:rsid w:val="00A70A97"/>
    <w:rsid w:val="00A70E11"/>
    <w:rsid w:val="00A70FC1"/>
    <w:rsid w:val="00A718A1"/>
    <w:rsid w:val="00A73C84"/>
    <w:rsid w:val="00AA042C"/>
    <w:rsid w:val="00AA09C9"/>
    <w:rsid w:val="00AA1753"/>
    <w:rsid w:val="00AA28CD"/>
    <w:rsid w:val="00AB38A7"/>
    <w:rsid w:val="00AB7CA0"/>
    <w:rsid w:val="00AC3A94"/>
    <w:rsid w:val="00AE2901"/>
    <w:rsid w:val="00AF1DAC"/>
    <w:rsid w:val="00AF4AB7"/>
    <w:rsid w:val="00AF4F23"/>
    <w:rsid w:val="00B0219C"/>
    <w:rsid w:val="00B0599A"/>
    <w:rsid w:val="00B14936"/>
    <w:rsid w:val="00B16396"/>
    <w:rsid w:val="00B178EB"/>
    <w:rsid w:val="00B17DDE"/>
    <w:rsid w:val="00B346BF"/>
    <w:rsid w:val="00B40EE6"/>
    <w:rsid w:val="00B4147A"/>
    <w:rsid w:val="00B41631"/>
    <w:rsid w:val="00B41CC5"/>
    <w:rsid w:val="00B41F9E"/>
    <w:rsid w:val="00B4653E"/>
    <w:rsid w:val="00B468BC"/>
    <w:rsid w:val="00B5082C"/>
    <w:rsid w:val="00B6358F"/>
    <w:rsid w:val="00B65477"/>
    <w:rsid w:val="00B66AF0"/>
    <w:rsid w:val="00B937A0"/>
    <w:rsid w:val="00B949AF"/>
    <w:rsid w:val="00B977DA"/>
    <w:rsid w:val="00BA7302"/>
    <w:rsid w:val="00BC0395"/>
    <w:rsid w:val="00BE3985"/>
    <w:rsid w:val="00BE7A72"/>
    <w:rsid w:val="00BF75F6"/>
    <w:rsid w:val="00C031BC"/>
    <w:rsid w:val="00C26408"/>
    <w:rsid w:val="00C4710B"/>
    <w:rsid w:val="00C55D97"/>
    <w:rsid w:val="00C57A64"/>
    <w:rsid w:val="00C65D73"/>
    <w:rsid w:val="00C803D5"/>
    <w:rsid w:val="00C84F6C"/>
    <w:rsid w:val="00CC2635"/>
    <w:rsid w:val="00CD2308"/>
    <w:rsid w:val="00CD6091"/>
    <w:rsid w:val="00CD6E45"/>
    <w:rsid w:val="00CE2626"/>
    <w:rsid w:val="00D06467"/>
    <w:rsid w:val="00D12601"/>
    <w:rsid w:val="00D13448"/>
    <w:rsid w:val="00D1513B"/>
    <w:rsid w:val="00D17D49"/>
    <w:rsid w:val="00D24F6F"/>
    <w:rsid w:val="00D252A8"/>
    <w:rsid w:val="00D3438F"/>
    <w:rsid w:val="00D454F1"/>
    <w:rsid w:val="00D6573A"/>
    <w:rsid w:val="00D84690"/>
    <w:rsid w:val="00D87E0E"/>
    <w:rsid w:val="00D91545"/>
    <w:rsid w:val="00DA7130"/>
    <w:rsid w:val="00DA7FB8"/>
    <w:rsid w:val="00DC492A"/>
    <w:rsid w:val="00DE20D1"/>
    <w:rsid w:val="00DE3986"/>
    <w:rsid w:val="00DE51B7"/>
    <w:rsid w:val="00DE5A62"/>
    <w:rsid w:val="00DE65A7"/>
    <w:rsid w:val="00DF52AD"/>
    <w:rsid w:val="00E028BD"/>
    <w:rsid w:val="00E043A4"/>
    <w:rsid w:val="00E10F3C"/>
    <w:rsid w:val="00E15C4C"/>
    <w:rsid w:val="00E16566"/>
    <w:rsid w:val="00E171AF"/>
    <w:rsid w:val="00E22AE6"/>
    <w:rsid w:val="00E24B49"/>
    <w:rsid w:val="00E52842"/>
    <w:rsid w:val="00E55821"/>
    <w:rsid w:val="00E62DC0"/>
    <w:rsid w:val="00E7062F"/>
    <w:rsid w:val="00E76ABC"/>
    <w:rsid w:val="00E7768D"/>
    <w:rsid w:val="00E829B3"/>
    <w:rsid w:val="00E91F2B"/>
    <w:rsid w:val="00EB2CAD"/>
    <w:rsid w:val="00EB4B9B"/>
    <w:rsid w:val="00EC1321"/>
    <w:rsid w:val="00EC7AD8"/>
    <w:rsid w:val="00ED1342"/>
    <w:rsid w:val="00ED6DFF"/>
    <w:rsid w:val="00F165E5"/>
    <w:rsid w:val="00F20BA7"/>
    <w:rsid w:val="00F256B0"/>
    <w:rsid w:val="00F44E98"/>
    <w:rsid w:val="00F6228C"/>
    <w:rsid w:val="00F67FE4"/>
    <w:rsid w:val="00F77CBB"/>
    <w:rsid w:val="00F84E5B"/>
    <w:rsid w:val="00F94E43"/>
    <w:rsid w:val="00FA0C77"/>
    <w:rsid w:val="00FA1BED"/>
    <w:rsid w:val="00FD237D"/>
    <w:rsid w:val="00FD7619"/>
    <w:rsid w:val="00FF326C"/>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styleId="Refdecomentario">
    <w:name w:val="annotation reference"/>
    <w:basedOn w:val="Fuentedeprrafopredeter"/>
    <w:uiPriority w:val="99"/>
    <w:semiHidden/>
    <w:unhideWhenUsed/>
    <w:rsid w:val="00AC3A94"/>
    <w:rPr>
      <w:sz w:val="16"/>
      <w:szCs w:val="16"/>
    </w:rPr>
  </w:style>
  <w:style w:type="paragraph" w:styleId="Textocomentario">
    <w:name w:val="annotation text"/>
    <w:basedOn w:val="Normal"/>
    <w:link w:val="TextocomentarioCar"/>
    <w:uiPriority w:val="99"/>
    <w:semiHidden/>
    <w:unhideWhenUsed/>
    <w:rsid w:val="00AC3A94"/>
    <w:rPr>
      <w:sz w:val="20"/>
      <w:szCs w:val="20"/>
    </w:rPr>
  </w:style>
  <w:style w:type="character" w:customStyle="1" w:styleId="TextocomentarioCar">
    <w:name w:val="Texto comentario Car"/>
    <w:basedOn w:val="Fuentedeprrafopredeter"/>
    <w:link w:val="Textocomentario"/>
    <w:uiPriority w:val="99"/>
    <w:semiHidden/>
    <w:rsid w:val="00AC3A9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C3A94"/>
    <w:rPr>
      <w:b/>
      <w:bCs/>
    </w:rPr>
  </w:style>
  <w:style w:type="character" w:customStyle="1" w:styleId="AsuntodelcomentarioCar">
    <w:name w:val="Asunto del comentario Car"/>
    <w:basedOn w:val="TextocomentarioCar"/>
    <w:link w:val="Asuntodelcomentario"/>
    <w:uiPriority w:val="99"/>
    <w:semiHidden/>
    <w:rsid w:val="00AC3A94"/>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AE5B2-B915-43ED-B26D-DE3739B19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2007</Words>
  <Characters>11444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Gerardo</cp:lastModifiedBy>
  <cp:revision>5</cp:revision>
  <cp:lastPrinted>2023-03-16T13:56:00Z</cp:lastPrinted>
  <dcterms:created xsi:type="dcterms:W3CDTF">2023-11-27T18:10:00Z</dcterms:created>
  <dcterms:modified xsi:type="dcterms:W3CDTF">2023-11-27T21:37:00Z</dcterms:modified>
</cp:coreProperties>
</file>