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D87FA" w14:textId="77777777" w:rsidR="00FC2BDB" w:rsidRDefault="00000000" w:rsidP="00C174D4">
      <w:pPr>
        <w:tabs>
          <w:tab w:val="left" w:pos="5626"/>
        </w:tabs>
        <w:spacing w:before="240" w:after="240" w:line="360" w:lineRule="auto"/>
        <w:jc w:val="both"/>
        <w:rPr>
          <w:rFonts w:ascii="Arial" w:eastAsia="Arial" w:hAnsi="Arial" w:cs="Arial"/>
          <w:sz w:val="24"/>
          <w:szCs w:val="24"/>
        </w:rPr>
      </w:pPr>
      <w:r>
        <w:rPr>
          <w:rFonts w:ascii="Arial" w:eastAsia="Arial" w:hAnsi="Arial" w:cs="Arial"/>
          <w:sz w:val="24"/>
          <w:szCs w:val="24"/>
        </w:rPr>
        <w:t>Estimada Área de informes:</w:t>
      </w:r>
    </w:p>
    <w:p w14:paraId="15A6287C" w14:textId="77777777" w:rsidR="00FC2BDB" w:rsidRDefault="00000000" w:rsidP="00C174D4">
      <w:pPr>
        <w:tabs>
          <w:tab w:val="left" w:pos="5626"/>
        </w:tabs>
        <w:spacing w:line="360" w:lineRule="auto"/>
        <w:jc w:val="both"/>
        <w:rPr>
          <w:rFonts w:ascii="Arial" w:eastAsia="Arial" w:hAnsi="Arial" w:cs="Arial"/>
          <w:sz w:val="24"/>
          <w:szCs w:val="24"/>
        </w:rPr>
      </w:pPr>
      <w:r>
        <w:rPr>
          <w:rFonts w:ascii="Arial" w:eastAsia="Arial" w:hAnsi="Arial" w:cs="Arial"/>
          <w:sz w:val="24"/>
          <w:szCs w:val="24"/>
        </w:rPr>
        <w:t>Reciban un cordial saludo.</w:t>
      </w:r>
    </w:p>
    <w:p w14:paraId="226BEC66" w14:textId="77777777" w:rsidR="00FC2BDB" w:rsidRDefault="00FC2BDB" w:rsidP="00C174D4">
      <w:pPr>
        <w:tabs>
          <w:tab w:val="left" w:pos="5626"/>
        </w:tabs>
        <w:spacing w:line="360" w:lineRule="auto"/>
        <w:jc w:val="both"/>
        <w:rPr>
          <w:rFonts w:ascii="Arial" w:eastAsia="Arial" w:hAnsi="Arial" w:cs="Arial"/>
          <w:sz w:val="24"/>
          <w:szCs w:val="24"/>
        </w:rPr>
      </w:pPr>
    </w:p>
    <w:p w14:paraId="2158C63F" w14:textId="77777777" w:rsidR="00FC2BDB" w:rsidRDefault="00000000" w:rsidP="00C174D4">
      <w:pPr>
        <w:tabs>
          <w:tab w:val="left" w:pos="5626"/>
        </w:tabs>
        <w:spacing w:line="360" w:lineRule="auto"/>
        <w:jc w:val="both"/>
        <w:rPr>
          <w:rFonts w:ascii="Arial" w:eastAsia="Arial" w:hAnsi="Arial" w:cs="Arial"/>
          <w:sz w:val="24"/>
          <w:szCs w:val="24"/>
        </w:rPr>
      </w:pPr>
      <w:r>
        <w:rPr>
          <w:rFonts w:ascii="Arial" w:eastAsia="Arial" w:hAnsi="Arial" w:cs="Arial"/>
          <w:sz w:val="24"/>
          <w:szCs w:val="24"/>
        </w:rPr>
        <w:t>Para todos los fines pertinentes, me permito presentar calificación de la contingencia, en el proceso que a continuación se describe:</w:t>
      </w:r>
    </w:p>
    <w:p w14:paraId="2E8789A6" w14:textId="77777777" w:rsidR="00FC2BDB" w:rsidRDefault="00FC2BDB" w:rsidP="00C174D4">
      <w:pPr>
        <w:widowControl/>
        <w:shd w:val="clear" w:color="auto" w:fill="FFFFFF"/>
        <w:spacing w:line="360" w:lineRule="auto"/>
        <w:jc w:val="both"/>
        <w:rPr>
          <w:rFonts w:ascii="Arial" w:eastAsia="Arial" w:hAnsi="Arial" w:cs="Arial"/>
          <w:b/>
          <w:sz w:val="24"/>
          <w:szCs w:val="24"/>
        </w:rPr>
      </w:pPr>
    </w:p>
    <w:p w14:paraId="20B86B5D" w14:textId="77777777" w:rsidR="00FC2BDB" w:rsidRDefault="00000000" w:rsidP="00C174D4">
      <w:pPr>
        <w:widowControl/>
        <w:shd w:val="clear" w:color="auto" w:fill="FFFFFF"/>
        <w:spacing w:line="360" w:lineRule="auto"/>
        <w:jc w:val="both"/>
        <w:rPr>
          <w:rFonts w:ascii="Arial" w:eastAsia="Arial" w:hAnsi="Arial" w:cs="Arial"/>
          <w:b/>
          <w:sz w:val="24"/>
          <w:szCs w:val="24"/>
        </w:rPr>
      </w:pPr>
      <w:r>
        <w:rPr>
          <w:rFonts w:ascii="Arial" w:eastAsia="Arial" w:hAnsi="Arial" w:cs="Arial"/>
          <w:b/>
          <w:sz w:val="24"/>
          <w:szCs w:val="24"/>
        </w:rPr>
        <w:t xml:space="preserve">JUZGADO:          </w:t>
      </w:r>
      <w:r>
        <w:rPr>
          <w:rFonts w:ascii="Arial" w:eastAsia="Arial" w:hAnsi="Arial" w:cs="Arial"/>
          <w:b/>
          <w:sz w:val="24"/>
          <w:szCs w:val="24"/>
          <w:highlight w:val="white"/>
        </w:rPr>
        <w:t>CINCUENTA Y CUATRO (54) CIVIL MUNICIPAL DE BOGOTÁ</w:t>
      </w:r>
    </w:p>
    <w:p w14:paraId="5DFBA241" w14:textId="77777777" w:rsidR="00FC2BDB" w:rsidRDefault="00000000" w:rsidP="00C174D4">
      <w:pPr>
        <w:widowControl/>
        <w:shd w:val="clear" w:color="auto" w:fill="FFFFFF"/>
        <w:spacing w:line="360" w:lineRule="auto"/>
        <w:jc w:val="both"/>
        <w:rPr>
          <w:rFonts w:ascii="Arial" w:eastAsia="Arial" w:hAnsi="Arial" w:cs="Arial"/>
          <w:b/>
          <w:sz w:val="24"/>
          <w:szCs w:val="24"/>
        </w:rPr>
      </w:pPr>
      <w:r>
        <w:rPr>
          <w:rFonts w:ascii="Arial" w:eastAsia="Arial" w:hAnsi="Arial" w:cs="Arial"/>
          <w:b/>
          <w:sz w:val="24"/>
          <w:szCs w:val="24"/>
        </w:rPr>
        <w:t>PROCESO:          VERBAL</w:t>
      </w:r>
    </w:p>
    <w:p w14:paraId="198C7ECB" w14:textId="77777777" w:rsidR="00FC2BDB" w:rsidRDefault="00000000" w:rsidP="00C174D4">
      <w:pPr>
        <w:widowControl/>
        <w:shd w:val="clear" w:color="auto" w:fill="FFFFFF"/>
        <w:spacing w:line="360" w:lineRule="auto"/>
        <w:jc w:val="both"/>
        <w:rPr>
          <w:rFonts w:ascii="Arial" w:eastAsia="Arial" w:hAnsi="Arial" w:cs="Arial"/>
          <w:b/>
          <w:sz w:val="24"/>
          <w:szCs w:val="24"/>
        </w:rPr>
      </w:pPr>
      <w:r>
        <w:rPr>
          <w:rFonts w:ascii="Arial" w:eastAsia="Arial" w:hAnsi="Arial" w:cs="Arial"/>
          <w:b/>
          <w:sz w:val="24"/>
          <w:szCs w:val="24"/>
        </w:rPr>
        <w:t xml:space="preserve">RADICADO:        11001400305420220126000 </w:t>
      </w:r>
    </w:p>
    <w:p w14:paraId="3DE8E9CB" w14:textId="77777777" w:rsidR="00FC2BDB" w:rsidRDefault="00000000" w:rsidP="00C174D4">
      <w:pPr>
        <w:widowControl/>
        <w:shd w:val="clear" w:color="auto" w:fill="FFFFFF"/>
        <w:spacing w:line="360" w:lineRule="auto"/>
        <w:jc w:val="both"/>
        <w:rPr>
          <w:rFonts w:ascii="Arial" w:eastAsia="Arial" w:hAnsi="Arial" w:cs="Arial"/>
          <w:b/>
          <w:sz w:val="24"/>
          <w:szCs w:val="24"/>
        </w:rPr>
      </w:pPr>
      <w:r>
        <w:rPr>
          <w:rFonts w:ascii="Arial" w:eastAsia="Arial" w:hAnsi="Arial" w:cs="Arial"/>
          <w:b/>
          <w:sz w:val="24"/>
          <w:szCs w:val="24"/>
        </w:rPr>
        <w:t>DEMANDANTE:  APONTE VILLAMIL ZULUAGA Y CIA S EN C.</w:t>
      </w:r>
    </w:p>
    <w:p w14:paraId="4C39D6F5" w14:textId="686553E8" w:rsidR="00FC2BDB" w:rsidRDefault="00000000" w:rsidP="00C174D4">
      <w:pPr>
        <w:widowControl/>
        <w:shd w:val="clear" w:color="auto" w:fill="FFFFFF"/>
        <w:spacing w:line="360" w:lineRule="auto"/>
        <w:jc w:val="both"/>
        <w:rPr>
          <w:rFonts w:ascii="Arial" w:eastAsia="Arial" w:hAnsi="Arial" w:cs="Arial"/>
          <w:b/>
          <w:sz w:val="24"/>
          <w:szCs w:val="24"/>
        </w:rPr>
      </w:pPr>
      <w:r>
        <w:rPr>
          <w:rFonts w:ascii="Arial" w:eastAsia="Arial" w:hAnsi="Arial" w:cs="Arial"/>
          <w:b/>
          <w:sz w:val="24"/>
          <w:szCs w:val="24"/>
        </w:rPr>
        <w:t>DEMANDADO:    COMUNICACIÓN CELULAR S.A COMCEL S.A.</w:t>
      </w:r>
    </w:p>
    <w:p w14:paraId="61F85A15" w14:textId="77777777" w:rsidR="00FC2BDB" w:rsidRDefault="00000000" w:rsidP="00C174D4">
      <w:pPr>
        <w:numPr>
          <w:ilvl w:val="0"/>
          <w:numId w:val="1"/>
        </w:numPr>
        <w:tabs>
          <w:tab w:val="left" w:pos="5626"/>
        </w:tabs>
        <w:spacing w:before="240" w:after="200" w:line="360" w:lineRule="auto"/>
        <w:jc w:val="both"/>
        <w:rPr>
          <w:rFonts w:ascii="Arial" w:eastAsia="Arial" w:hAnsi="Arial" w:cs="Arial"/>
          <w:b/>
          <w:sz w:val="24"/>
          <w:szCs w:val="24"/>
        </w:rPr>
      </w:pPr>
      <w:r>
        <w:rPr>
          <w:rFonts w:ascii="Arial" w:eastAsia="Arial" w:hAnsi="Arial" w:cs="Arial"/>
          <w:b/>
          <w:sz w:val="24"/>
          <w:szCs w:val="24"/>
        </w:rPr>
        <w:t xml:space="preserve"> HECHOS</w:t>
      </w:r>
    </w:p>
    <w:p w14:paraId="0FA4B2BF" w14:textId="77777777" w:rsidR="00FC2BDB" w:rsidRDefault="00000000" w:rsidP="00C174D4">
      <w:pPr>
        <w:tabs>
          <w:tab w:val="left" w:pos="5626"/>
        </w:tabs>
        <w:spacing w:line="360" w:lineRule="auto"/>
        <w:jc w:val="both"/>
        <w:rPr>
          <w:rFonts w:ascii="Arial" w:eastAsia="Arial" w:hAnsi="Arial" w:cs="Arial"/>
          <w:sz w:val="24"/>
          <w:szCs w:val="24"/>
        </w:rPr>
      </w:pPr>
      <w:r>
        <w:rPr>
          <w:rFonts w:ascii="Arial" w:eastAsia="Arial" w:hAnsi="Arial" w:cs="Arial"/>
          <w:sz w:val="24"/>
          <w:szCs w:val="24"/>
        </w:rPr>
        <w:t>La demanda se origina a raíz de la adquisición de un inmueble en la ciudad de Cali, Valle, por parte de la sociedad APONTE VILLAMIL ZULUAGA Y CIA S EN C mediante una compraventa protocolizada en la Notaría 60 de Bogotá en 2001. Posteriormente, en 2003, se constituye una hipoteca abierta sin límite de cuantía sobre el mismo inmueble a favor de COMUNICACIÓN CELULAR S.A. COMCEL S.A. Y OCCIDENTE Y CARIBE CELULAR S.A. OCCEL S.A. para respaldar una obligación contractual de un tercero, la sociedad CONEXCEL S.A.S. Conforme los hechos presentados en la demanda, los demandantes sostienen que, a pesar de la afirmación de la ausencia de obligaciones pendientes y la terminación de relaciones contractuales en 2011, la acción ejecutiva y ordinaria de la hipoteca ha prescrito al haber transcurrido más de 19 años desde su constitución. En este contexto, argumentan que ha excedido el límite de tiempo establecido para la prescripción ordinaria de 10 años, como contempla el Artículo 2536 del Código Civil. Además, señalan que la prescripción extraordinaria de 10 años también ha transcurrido, ya que la acción ejecutiva prescribe después de 5 años adicionales, conforme al Artículo 8o. de la Ley 791 de 2002, modificatoria del Código Civil.</w:t>
      </w:r>
    </w:p>
    <w:p w14:paraId="3C69F811" w14:textId="77777777" w:rsidR="00FC2BDB" w:rsidRDefault="00000000" w:rsidP="00C174D4">
      <w:pPr>
        <w:tabs>
          <w:tab w:val="left" w:pos="5626"/>
        </w:tabs>
        <w:spacing w:before="240" w:after="240" w:line="360" w:lineRule="auto"/>
        <w:jc w:val="both"/>
        <w:rPr>
          <w:rFonts w:ascii="Arial" w:eastAsia="Arial" w:hAnsi="Arial" w:cs="Arial"/>
          <w:b/>
          <w:sz w:val="24"/>
          <w:szCs w:val="24"/>
        </w:rPr>
      </w:pPr>
      <w:r>
        <w:rPr>
          <w:rFonts w:ascii="Arial" w:eastAsia="Arial" w:hAnsi="Arial" w:cs="Arial"/>
          <w:b/>
          <w:sz w:val="24"/>
          <w:szCs w:val="24"/>
        </w:rPr>
        <w:t>II. PRETENSIONES DE LA DEMANDA</w:t>
      </w:r>
    </w:p>
    <w:p w14:paraId="485E843C" w14:textId="77777777" w:rsidR="00FC2BDB" w:rsidRDefault="00000000" w:rsidP="00C174D4">
      <w:pPr>
        <w:tabs>
          <w:tab w:val="left" w:pos="5626"/>
        </w:tabs>
        <w:spacing w:line="360" w:lineRule="auto"/>
        <w:jc w:val="both"/>
        <w:rPr>
          <w:rFonts w:ascii="Arial" w:eastAsia="Arial" w:hAnsi="Arial" w:cs="Arial"/>
          <w:sz w:val="24"/>
          <w:szCs w:val="24"/>
        </w:rPr>
      </w:pPr>
      <w:r>
        <w:rPr>
          <w:rFonts w:ascii="Arial" w:eastAsia="Arial" w:hAnsi="Arial" w:cs="Arial"/>
          <w:sz w:val="24"/>
          <w:szCs w:val="24"/>
        </w:rPr>
        <w:t xml:space="preserve">Se pretende: En primer lugar, la declaratoria de la prescripción extintiva de la obligación contenida en la escritura pública 1023 del 22 de abril de 2004, mediante la cual la sociedad APONTE VILLAMIL ZULUAGA Y CIA S EN C otorgó una hipoteca abierta sin límite de cuantía a la sociedad COMUNICACIÓN CELULAR S.A. – COMCEL S.A., como respaldo al contrato de distribución con CONEXCEL S.A.S. EN REORGANIZACIÓN. En segundo lugar, se pide la declaración de la inexistencia de cualquier obligación principal que </w:t>
      </w:r>
      <w:r>
        <w:rPr>
          <w:rFonts w:ascii="Arial" w:eastAsia="Arial" w:hAnsi="Arial" w:cs="Arial"/>
          <w:sz w:val="24"/>
          <w:szCs w:val="24"/>
        </w:rPr>
        <w:lastRenderedPageBreak/>
        <w:t>sostenga la mencionada escritura pública. En tercer lugar, se solicita que decrete la cancelación de la HIPOTECA ABIERTA SIN LÍMITE DE CUANTÍA, fundamentando su solicitud en la prescripción extintiva de la obligación principal y consecuencialmente de la accesoria, según lo dispuesto en los artículos 1625 numeral 10o, 1757, 2512, 2535, 2536 (modificado por el Art. 8 de la Ley 791 del 2002) y 2537 del Código Civil. Como cuarta pretensión, solicitan que, como resultado de las anteriores declaraciones, se decrete la cancelación de la inscripción del gravamen hipotecario constituido sobre el inmueble en cuestión.</w:t>
      </w:r>
    </w:p>
    <w:p w14:paraId="6D03C663" w14:textId="77777777" w:rsidR="00FC2BDB" w:rsidRDefault="00000000" w:rsidP="00C174D4">
      <w:pPr>
        <w:tabs>
          <w:tab w:val="left" w:pos="5626"/>
        </w:tabs>
        <w:spacing w:before="240" w:after="240" w:line="360" w:lineRule="auto"/>
        <w:rPr>
          <w:rFonts w:ascii="Arial" w:eastAsia="Arial" w:hAnsi="Arial" w:cs="Arial"/>
          <w:b/>
          <w:sz w:val="24"/>
          <w:szCs w:val="24"/>
        </w:rPr>
      </w:pPr>
      <w:r>
        <w:rPr>
          <w:rFonts w:ascii="Arial" w:eastAsia="Arial" w:hAnsi="Arial" w:cs="Arial"/>
          <w:b/>
          <w:sz w:val="24"/>
          <w:szCs w:val="24"/>
        </w:rPr>
        <w:t>III. CALIFICACIÓN DE LA CONTINGENCIA</w:t>
      </w:r>
    </w:p>
    <w:p w14:paraId="44DEC6F1" w14:textId="6D78EB8D" w:rsidR="00FC2BDB" w:rsidRDefault="00000000" w:rsidP="00C174D4">
      <w:pPr>
        <w:tabs>
          <w:tab w:val="left" w:pos="5626"/>
        </w:tabs>
        <w:spacing w:line="360" w:lineRule="auto"/>
        <w:jc w:val="both"/>
        <w:rPr>
          <w:rFonts w:ascii="Arial" w:eastAsia="Arial" w:hAnsi="Arial" w:cs="Arial"/>
          <w:sz w:val="24"/>
          <w:szCs w:val="24"/>
        </w:rPr>
      </w:pPr>
      <w:r>
        <w:rPr>
          <w:rFonts w:ascii="Arial" w:eastAsia="Arial" w:hAnsi="Arial" w:cs="Arial"/>
          <w:sz w:val="24"/>
          <w:szCs w:val="24"/>
        </w:rPr>
        <w:t xml:space="preserve">La contingencia se califica como </w:t>
      </w:r>
      <w:r>
        <w:rPr>
          <w:rFonts w:ascii="Arial" w:eastAsia="Arial" w:hAnsi="Arial" w:cs="Arial"/>
          <w:b/>
          <w:sz w:val="24"/>
          <w:szCs w:val="24"/>
        </w:rPr>
        <w:t>PROBABLE</w:t>
      </w:r>
      <w:r>
        <w:rPr>
          <w:rFonts w:ascii="Arial" w:eastAsia="Arial" w:hAnsi="Arial" w:cs="Arial"/>
          <w:sz w:val="24"/>
          <w:szCs w:val="24"/>
        </w:rPr>
        <w:t xml:space="preserve">, toda vez que </w:t>
      </w:r>
      <w:r w:rsidR="00916E6A">
        <w:rPr>
          <w:rFonts w:ascii="Arial" w:eastAsia="Arial" w:hAnsi="Arial" w:cs="Arial"/>
          <w:sz w:val="24"/>
          <w:szCs w:val="24"/>
        </w:rPr>
        <w:t xml:space="preserve">en este caso existe un </w:t>
      </w:r>
      <w:r>
        <w:rPr>
          <w:rFonts w:ascii="Arial" w:eastAsia="Arial" w:hAnsi="Arial" w:cs="Arial"/>
          <w:sz w:val="24"/>
          <w:szCs w:val="24"/>
        </w:rPr>
        <w:t>Laudo Arbitral presentado por la parte demandante</w:t>
      </w:r>
      <w:r w:rsidR="00916E6A">
        <w:rPr>
          <w:rFonts w:ascii="Arial" w:eastAsia="Arial" w:hAnsi="Arial" w:cs="Arial"/>
          <w:sz w:val="24"/>
          <w:szCs w:val="24"/>
        </w:rPr>
        <w:t xml:space="preserve">, en el que se discutió </w:t>
      </w:r>
      <w:r>
        <w:rPr>
          <w:rFonts w:ascii="Arial" w:eastAsia="Arial" w:hAnsi="Arial" w:cs="Arial"/>
          <w:sz w:val="24"/>
          <w:szCs w:val="24"/>
        </w:rPr>
        <w:t xml:space="preserve">el contrato suscrito por las partes en el año 2011, </w:t>
      </w:r>
      <w:r w:rsidR="00916E6A">
        <w:rPr>
          <w:rFonts w:ascii="Arial" w:eastAsia="Arial" w:hAnsi="Arial" w:cs="Arial"/>
          <w:sz w:val="24"/>
          <w:szCs w:val="24"/>
        </w:rPr>
        <w:t xml:space="preserve">y en el cual, se </w:t>
      </w:r>
      <w:r>
        <w:rPr>
          <w:rFonts w:ascii="Arial" w:eastAsia="Arial" w:hAnsi="Arial" w:cs="Arial"/>
          <w:sz w:val="24"/>
          <w:szCs w:val="24"/>
        </w:rPr>
        <w:t>decretó el cese de las obligaciones contractuales. Por lo cual se resalta, que han transcurrido más de diez años después del cese de las obligaciones contractuales, plazo que establece el Artículo 2536 del Código Civil como límite de prescripción para la acción hipotecaria.</w:t>
      </w:r>
    </w:p>
    <w:p w14:paraId="3182D282" w14:textId="77777777" w:rsidR="00FC2BDB" w:rsidRDefault="00FC2BDB" w:rsidP="00C174D4">
      <w:pPr>
        <w:tabs>
          <w:tab w:val="left" w:pos="5626"/>
        </w:tabs>
        <w:spacing w:line="360" w:lineRule="auto"/>
        <w:jc w:val="both"/>
        <w:rPr>
          <w:rFonts w:ascii="Arial" w:eastAsia="Arial" w:hAnsi="Arial" w:cs="Arial"/>
          <w:sz w:val="24"/>
          <w:szCs w:val="24"/>
        </w:rPr>
      </w:pPr>
    </w:p>
    <w:p w14:paraId="02D29F98" w14:textId="2EBA075F" w:rsidR="00FC2BDB" w:rsidRDefault="00000000" w:rsidP="00C174D4">
      <w:pPr>
        <w:tabs>
          <w:tab w:val="left" w:pos="5626"/>
        </w:tabs>
        <w:spacing w:line="360" w:lineRule="auto"/>
        <w:jc w:val="both"/>
        <w:rPr>
          <w:rFonts w:ascii="Arial" w:eastAsia="Arial" w:hAnsi="Arial" w:cs="Arial"/>
          <w:sz w:val="24"/>
          <w:szCs w:val="24"/>
        </w:rPr>
      </w:pPr>
      <w:r>
        <w:rPr>
          <w:rFonts w:ascii="Arial" w:eastAsia="Arial" w:hAnsi="Arial" w:cs="Arial"/>
          <w:sz w:val="24"/>
          <w:szCs w:val="24"/>
        </w:rPr>
        <w:t>Por lo anterior, resultaría procedente el levantamiento de la hipoteca abierta sin límite de cuantía, por cuanto las costas y agencias en derecho que se alegaron en la contestación de la demanda, si bien es cierto fueron el resultado de la determinación de los jueces al no declarar procedente la demanda interpuesta por los demandantes en primera instancia y confirmada la decisión en segunda instancia, no tienen un respaldo directo en la hipoteca, puesto que la hipoteca como obligación accesoria surte las consecuencias de la obligación principal.</w:t>
      </w:r>
      <w:r w:rsidR="00916E6A">
        <w:rPr>
          <w:rFonts w:ascii="Arial" w:eastAsia="Arial" w:hAnsi="Arial" w:cs="Arial"/>
          <w:sz w:val="24"/>
          <w:szCs w:val="24"/>
        </w:rPr>
        <w:t xml:space="preserve"> Sin perjuicio de lo anterior, vale la pena mencionar que la demandante ha manifestado tener ánimo conciliatorio de cara a este proceso. </w:t>
      </w:r>
    </w:p>
    <w:p w14:paraId="65413FF1" w14:textId="77777777" w:rsidR="00FC2BDB" w:rsidRDefault="00FC2BDB" w:rsidP="00C174D4">
      <w:pPr>
        <w:tabs>
          <w:tab w:val="left" w:pos="5626"/>
        </w:tabs>
        <w:spacing w:line="360" w:lineRule="auto"/>
        <w:jc w:val="both"/>
        <w:rPr>
          <w:rFonts w:ascii="Arial" w:eastAsia="Arial" w:hAnsi="Arial" w:cs="Arial"/>
          <w:sz w:val="24"/>
          <w:szCs w:val="24"/>
        </w:rPr>
      </w:pPr>
    </w:p>
    <w:p w14:paraId="4718FB2E" w14:textId="020724FD" w:rsidR="00FC2BDB" w:rsidRDefault="00000000" w:rsidP="00C174D4">
      <w:pPr>
        <w:tabs>
          <w:tab w:val="left" w:pos="5626"/>
        </w:tabs>
        <w:spacing w:line="360" w:lineRule="auto"/>
        <w:jc w:val="both"/>
        <w:rPr>
          <w:rFonts w:ascii="Arial" w:eastAsia="Arial" w:hAnsi="Arial" w:cs="Arial"/>
          <w:b/>
          <w:sz w:val="24"/>
          <w:szCs w:val="24"/>
        </w:rPr>
      </w:pPr>
      <w:r>
        <w:rPr>
          <w:rFonts w:ascii="Arial" w:eastAsia="Arial" w:hAnsi="Arial" w:cs="Arial"/>
          <w:b/>
          <w:sz w:val="24"/>
          <w:szCs w:val="24"/>
        </w:rPr>
        <w:t>III. LIQUIDACIÓN OBJETIVA DE LAS PRETENSIONES</w:t>
      </w:r>
    </w:p>
    <w:p w14:paraId="089E97A0" w14:textId="37274087" w:rsidR="00C174D4" w:rsidRDefault="00C174D4" w:rsidP="00C174D4">
      <w:pPr>
        <w:tabs>
          <w:tab w:val="left" w:pos="5626"/>
        </w:tabs>
        <w:spacing w:line="360" w:lineRule="auto"/>
        <w:jc w:val="both"/>
        <w:rPr>
          <w:rFonts w:ascii="Arial" w:eastAsia="Arial" w:hAnsi="Arial" w:cs="Arial"/>
          <w:b/>
          <w:sz w:val="24"/>
          <w:szCs w:val="24"/>
        </w:rPr>
      </w:pPr>
      <w:r w:rsidRPr="00C174D4">
        <w:rPr>
          <w:rFonts w:ascii="Arial" w:eastAsia="Arial" w:hAnsi="Arial" w:cs="Arial"/>
          <w:bCs/>
          <w:sz w:val="24"/>
          <w:szCs w:val="24"/>
        </w:rPr>
        <w:t>La liquidación objetiva de las pretensiones aún está pendiente, ya que, hasta la fecha de presentación de este informe, no ha sido posible determinar el monto de manera precisa debido a la ausencia de información durante el período de vacaciones de las entidades involucradas.</w:t>
      </w:r>
    </w:p>
    <w:p w14:paraId="6CDF2535" w14:textId="77777777" w:rsidR="00C174D4" w:rsidRPr="00C174D4" w:rsidRDefault="00C174D4" w:rsidP="00C174D4">
      <w:pPr>
        <w:tabs>
          <w:tab w:val="left" w:pos="5626"/>
        </w:tabs>
        <w:spacing w:line="360" w:lineRule="auto"/>
        <w:jc w:val="both"/>
        <w:rPr>
          <w:rFonts w:ascii="Arial" w:eastAsia="Arial" w:hAnsi="Arial" w:cs="Arial"/>
          <w:b/>
          <w:sz w:val="24"/>
          <w:szCs w:val="24"/>
        </w:rPr>
      </w:pPr>
    </w:p>
    <w:p w14:paraId="69B5BD26" w14:textId="1250DB01" w:rsidR="00FC2BDB" w:rsidRDefault="00000000" w:rsidP="00C174D4">
      <w:pPr>
        <w:pBdr>
          <w:top w:val="none" w:sz="0" w:space="0" w:color="D9D9E3"/>
          <w:left w:val="none" w:sz="0" w:space="0" w:color="D9D9E3"/>
          <w:bottom w:val="none" w:sz="0" w:space="0" w:color="D9D9E3"/>
          <w:right w:val="none" w:sz="0" w:space="0" w:color="D9D9E3"/>
          <w:between w:val="none" w:sz="0" w:space="0" w:color="D9D9E3"/>
        </w:pBdr>
        <w:tabs>
          <w:tab w:val="left" w:pos="5626"/>
        </w:tabs>
        <w:spacing w:after="300" w:line="360" w:lineRule="auto"/>
        <w:jc w:val="both"/>
        <w:rPr>
          <w:rFonts w:ascii="Arial" w:eastAsia="Arial" w:hAnsi="Arial" w:cs="Arial"/>
          <w:sz w:val="24"/>
          <w:szCs w:val="24"/>
        </w:rPr>
      </w:pPr>
      <w:r>
        <w:rPr>
          <w:rFonts w:ascii="Arial" w:eastAsia="Arial" w:hAnsi="Arial" w:cs="Arial"/>
          <w:sz w:val="24"/>
          <w:szCs w:val="24"/>
        </w:rPr>
        <w:t>Atentamente,</w:t>
      </w:r>
    </w:p>
    <w:p w14:paraId="7C26511D" w14:textId="77777777" w:rsidR="00FC2BDB" w:rsidRDefault="00000000" w:rsidP="00C174D4">
      <w:pPr>
        <w:widowControl/>
        <w:pBdr>
          <w:top w:val="none" w:sz="0" w:space="0" w:color="D9D9E3"/>
          <w:left w:val="none" w:sz="0" w:space="0" w:color="D9D9E3"/>
          <w:bottom w:val="none" w:sz="0" w:space="0" w:color="D9D9E3"/>
          <w:right w:val="none" w:sz="0" w:space="0" w:color="D9D9E3"/>
          <w:between w:val="none" w:sz="0" w:space="0" w:color="D9D9E3"/>
        </w:pBdr>
        <w:tabs>
          <w:tab w:val="left" w:pos="5626"/>
        </w:tabs>
        <w:spacing w:line="360" w:lineRule="auto"/>
        <w:jc w:val="both"/>
        <w:rPr>
          <w:rFonts w:ascii="Arial" w:eastAsia="Arial" w:hAnsi="Arial" w:cs="Arial"/>
          <w:b/>
          <w:sz w:val="24"/>
          <w:szCs w:val="24"/>
        </w:rPr>
      </w:pPr>
      <w:r>
        <w:rPr>
          <w:rFonts w:ascii="Arial" w:eastAsia="Arial" w:hAnsi="Arial" w:cs="Arial"/>
          <w:b/>
          <w:sz w:val="24"/>
          <w:szCs w:val="24"/>
        </w:rPr>
        <w:t>LAURA MARIANA OROZCO MENDOZA</w:t>
      </w:r>
    </w:p>
    <w:p w14:paraId="3551E207" w14:textId="42EE622C" w:rsidR="00FC2BDB" w:rsidRPr="00C174D4" w:rsidRDefault="00000000" w:rsidP="00C174D4">
      <w:pPr>
        <w:widowControl/>
        <w:pBdr>
          <w:top w:val="none" w:sz="0" w:space="0" w:color="D9D9E3"/>
          <w:left w:val="none" w:sz="0" w:space="0" w:color="D9D9E3"/>
          <w:bottom w:val="none" w:sz="0" w:space="0" w:color="D9D9E3"/>
          <w:right w:val="none" w:sz="0" w:space="0" w:color="D9D9E3"/>
          <w:between w:val="none" w:sz="0" w:space="0" w:color="D9D9E3"/>
        </w:pBdr>
        <w:tabs>
          <w:tab w:val="left" w:pos="5626"/>
        </w:tabs>
        <w:spacing w:line="360" w:lineRule="auto"/>
        <w:jc w:val="both"/>
        <w:rPr>
          <w:rFonts w:ascii="Arial" w:eastAsia="Arial" w:hAnsi="Arial" w:cs="Arial"/>
          <w:sz w:val="24"/>
          <w:szCs w:val="24"/>
        </w:rPr>
      </w:pPr>
      <w:r>
        <w:rPr>
          <w:rFonts w:ascii="Arial" w:eastAsia="Arial" w:hAnsi="Arial" w:cs="Arial"/>
          <w:sz w:val="24"/>
          <w:szCs w:val="24"/>
        </w:rPr>
        <w:t>Abogada Junior - GHA</w:t>
      </w:r>
    </w:p>
    <w:sectPr w:rsidR="00FC2BDB" w:rsidRPr="00C174D4">
      <w:headerReference w:type="default" r:id="rId8"/>
      <w:footerReference w:type="default" r:id="rId9"/>
      <w:pgSz w:w="12240" w:h="20160"/>
      <w:pgMar w:top="1985" w:right="1304" w:bottom="2835" w:left="1304" w:header="709"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42246" w14:textId="77777777" w:rsidR="00313883" w:rsidRDefault="00313883">
      <w:r>
        <w:separator/>
      </w:r>
    </w:p>
  </w:endnote>
  <w:endnote w:type="continuationSeparator" w:id="0">
    <w:p w14:paraId="34C454A2" w14:textId="77777777" w:rsidR="00313883" w:rsidRDefault="0031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1DB4" w14:textId="77777777" w:rsidR="00FC2BDB" w:rsidRDefault="00000000">
    <w:pPr>
      <w:rPr>
        <w:color w:val="222A35"/>
      </w:rPr>
    </w:pPr>
    <w:r>
      <w:rPr>
        <w:noProof/>
      </w:rPr>
      <mc:AlternateContent>
        <mc:Choice Requires="wpg">
          <w:drawing>
            <wp:anchor distT="0" distB="0" distL="0" distR="0" simplePos="0" relativeHeight="251659264" behindDoc="1" locked="0" layoutInCell="1" hidden="0" allowOverlap="1" wp14:anchorId="477B8633" wp14:editId="68D81A92">
              <wp:simplePos x="0" y="0"/>
              <wp:positionH relativeFrom="column">
                <wp:posOffset>1841500</wp:posOffset>
              </wp:positionH>
              <wp:positionV relativeFrom="paragraph">
                <wp:posOffset>11303000</wp:posOffset>
              </wp:positionV>
              <wp:extent cx="2774950" cy="781050"/>
              <wp:effectExtent l="0" t="0" r="0" b="0"/>
              <wp:wrapNone/>
              <wp:docPr id="1" name="Rectángulo 1"/>
              <wp:cNvGraphicFramePr/>
              <a:graphic xmlns:a="http://schemas.openxmlformats.org/drawingml/2006/main">
                <a:graphicData uri="http://schemas.microsoft.com/office/word/2010/wordprocessingShape">
                  <wps:wsp>
                    <wps:cNvSpPr/>
                    <wps:spPr>
                      <a:xfrm>
                        <a:off x="3982338" y="3413288"/>
                        <a:ext cx="2727325" cy="733425"/>
                      </a:xfrm>
                      <a:prstGeom prst="rect">
                        <a:avLst/>
                      </a:prstGeom>
                      <a:noFill/>
                      <a:ln>
                        <a:noFill/>
                      </a:ln>
                    </wps:spPr>
                    <wps:txbx>
                      <w:txbxContent>
                        <w:p w14:paraId="45C785CD" w14:textId="77777777" w:rsidR="00FC2BDB" w:rsidRDefault="00000000">
                          <w:pPr>
                            <w:spacing w:before="10"/>
                            <w:jc w:val="right"/>
                            <w:textDirection w:val="btLr"/>
                          </w:pPr>
                          <w:r>
                            <w:rPr>
                              <w:rFonts w:ascii="Raleway" w:eastAsia="Raleway" w:hAnsi="Raleway" w:cs="Raleway"/>
                              <w:color w:val="11213B"/>
                              <w:sz w:val="14"/>
                            </w:rPr>
                            <w:t xml:space="preserve">Cali - </w:t>
                          </w:r>
                          <w:proofErr w:type="spellStart"/>
                          <w:r>
                            <w:rPr>
                              <w:rFonts w:ascii="Raleway" w:eastAsia="Raleway" w:hAnsi="Raleway" w:cs="Raleway"/>
                              <w:color w:val="11213B"/>
                              <w:sz w:val="14"/>
                            </w:rPr>
                            <w:t>Av</w:t>
                          </w:r>
                          <w:proofErr w:type="spellEnd"/>
                          <w:r>
                            <w:rPr>
                              <w:rFonts w:ascii="Raleway" w:eastAsia="Raleway" w:hAnsi="Raleway" w:cs="Raleway"/>
                              <w:color w:val="11213B"/>
                              <w:sz w:val="14"/>
                            </w:rPr>
                            <w:t xml:space="preserve"> 6A Bis #35N-100, </w:t>
                          </w:r>
                          <w:proofErr w:type="spellStart"/>
                          <w:r>
                            <w:rPr>
                              <w:rFonts w:ascii="Raleway" w:eastAsia="Raleway" w:hAnsi="Raleway" w:cs="Raleway"/>
                              <w:color w:val="11213B"/>
                              <w:sz w:val="14"/>
                            </w:rPr>
                            <w:t>Of</w:t>
                          </w:r>
                          <w:proofErr w:type="spellEnd"/>
                          <w:r>
                            <w:rPr>
                              <w:rFonts w:ascii="Raleway" w:eastAsia="Raleway" w:hAnsi="Raleway" w:cs="Raleway"/>
                              <w:color w:val="11213B"/>
                              <w:sz w:val="14"/>
                            </w:rPr>
                            <w:t>. 212, Cali, Valle del Cauca, Centro Empresarial Chipichape</w:t>
                          </w:r>
                          <w:r>
                            <w:rPr>
                              <w:rFonts w:ascii="Raleway" w:eastAsia="Raleway" w:hAnsi="Raleway" w:cs="Raleway"/>
                              <w:color w:val="11213B"/>
                              <w:sz w:val="14"/>
                            </w:rPr>
                            <w:br/>
                            <w:t>+57 315 577 6200 - 602-6594075</w:t>
                          </w:r>
                        </w:p>
                        <w:p w14:paraId="1264F419" w14:textId="77777777" w:rsidR="00FC2BDB" w:rsidRDefault="00000000">
                          <w:pPr>
                            <w:spacing w:before="10"/>
                            <w:jc w:val="right"/>
                            <w:textDirection w:val="btLr"/>
                          </w:pPr>
                          <w:r>
                            <w:rPr>
                              <w:rFonts w:ascii="Raleway" w:eastAsia="Raleway" w:hAnsi="Raleway" w:cs="Raleway"/>
                              <w:color w:val="11213B"/>
                              <w:sz w:val="14"/>
                            </w:rPr>
                            <w:t xml:space="preserve">Bogotá - Calle 69 No.04-48 </w:t>
                          </w:r>
                          <w:proofErr w:type="spellStart"/>
                          <w:r>
                            <w:rPr>
                              <w:rFonts w:ascii="Raleway" w:eastAsia="Raleway" w:hAnsi="Raleway" w:cs="Raleway"/>
                              <w:color w:val="11213B"/>
                              <w:sz w:val="14"/>
                            </w:rPr>
                            <w:t>Of</w:t>
                          </w:r>
                          <w:proofErr w:type="spellEnd"/>
                          <w:r>
                            <w:rPr>
                              <w:rFonts w:ascii="Raleway" w:eastAsia="Raleway" w:hAnsi="Raleway" w:cs="Raleway"/>
                              <w:color w:val="11213B"/>
                              <w:sz w:val="14"/>
                            </w:rPr>
                            <w:t>. 502, Ed. Buro 69</w:t>
                          </w:r>
                          <w:r>
                            <w:rPr>
                              <w:rFonts w:ascii="Raleway" w:eastAsia="Raleway" w:hAnsi="Raleway" w:cs="Raleway"/>
                              <w:color w:val="11213B"/>
                              <w:sz w:val="14"/>
                            </w:rPr>
                            <w:br/>
                            <w:t>+57 3173795688 - 601-7616436</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0" distR="0" simplePos="0" relativeHeight="0" behindDoc="1" locked="0" layoutInCell="1" hidden="0" allowOverlap="1">
              <wp:simplePos x="0" y="0"/>
              <wp:positionH relativeFrom="column">
                <wp:posOffset>1841500</wp:posOffset>
              </wp:positionH>
              <wp:positionV relativeFrom="paragraph">
                <wp:posOffset>11303000</wp:posOffset>
              </wp:positionV>
              <wp:extent cx="2774950" cy="781050"/>
              <wp:effectExtent l="0" t="0" r="0" b="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774950" cy="781050"/>
                      </a:xfrm>
                      <a:prstGeom prst="rect"/>
                      <a:ln/>
                    </pic:spPr>
                  </pic:pic>
                </a:graphicData>
              </a:graphic>
            </wp:anchor>
          </w:drawing>
        </mc:Fallback>
      </mc:AlternateContent>
    </w:r>
    <w:r>
      <w:rPr>
        <w:noProof/>
      </w:rPr>
      <w:drawing>
        <wp:anchor distT="0" distB="0" distL="0" distR="0" simplePos="0" relativeHeight="251660288" behindDoc="1" locked="0" layoutInCell="1" hidden="0" allowOverlap="1" wp14:anchorId="4580327F" wp14:editId="621E1BB5">
          <wp:simplePos x="0" y="0"/>
          <wp:positionH relativeFrom="column">
            <wp:posOffset>-828032</wp:posOffset>
          </wp:positionH>
          <wp:positionV relativeFrom="paragraph">
            <wp:posOffset>0</wp:posOffset>
          </wp:positionV>
          <wp:extent cx="7767778" cy="1868509"/>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7767778" cy="1868509"/>
                  </a:xfrm>
                  <a:prstGeom prst="rect">
                    <a:avLst/>
                  </a:prstGeom>
                  <a:ln/>
                </pic:spPr>
              </pic:pic>
            </a:graphicData>
          </a:graphic>
        </wp:anchor>
      </w:drawing>
    </w:r>
    <w:r>
      <w:rPr>
        <w:noProof/>
      </w:rPr>
      <w:drawing>
        <wp:anchor distT="0" distB="0" distL="0" distR="0" simplePos="0" relativeHeight="251661312" behindDoc="1" locked="0" layoutInCell="1" hidden="0" allowOverlap="1" wp14:anchorId="3819EC56" wp14:editId="558C6333">
          <wp:simplePos x="0" y="0"/>
          <wp:positionH relativeFrom="column">
            <wp:posOffset>4491990</wp:posOffset>
          </wp:positionH>
          <wp:positionV relativeFrom="paragraph">
            <wp:posOffset>10036810</wp:posOffset>
          </wp:positionV>
          <wp:extent cx="1466850" cy="905510"/>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466850" cy="905510"/>
                  </a:xfrm>
                  <a:prstGeom prst="rect">
                    <a:avLst/>
                  </a:prstGeom>
                  <a:ln/>
                </pic:spPr>
              </pic:pic>
            </a:graphicData>
          </a:graphic>
        </wp:anchor>
      </w:drawing>
    </w:r>
  </w:p>
  <w:p w14:paraId="42775D94" w14:textId="77777777" w:rsidR="00FC2BDB" w:rsidRDefault="00FC2BDB">
    <w:pPr>
      <w:ind w:left="7080" w:firstLine="707"/>
      <w:rPr>
        <w:color w:val="222A35"/>
      </w:rPr>
    </w:pPr>
  </w:p>
  <w:p w14:paraId="784DD2C6" w14:textId="77777777" w:rsidR="00FC2BDB" w:rsidRDefault="00000000">
    <w:pPr>
      <w:ind w:left="7080" w:firstLine="707"/>
      <w:rPr>
        <w:color w:val="222A35"/>
      </w:rPr>
    </w:pPr>
    <w:r>
      <w:rPr>
        <w:noProof/>
      </w:rPr>
      <mc:AlternateContent>
        <mc:Choice Requires="wpg">
          <w:drawing>
            <wp:anchor distT="0" distB="0" distL="0" distR="0" simplePos="0" relativeHeight="251662336" behindDoc="1" locked="0" layoutInCell="1" hidden="0" allowOverlap="1" wp14:anchorId="05C69211" wp14:editId="2DDE574A">
              <wp:simplePos x="0" y="0"/>
              <wp:positionH relativeFrom="column">
                <wp:posOffset>-622299</wp:posOffset>
              </wp:positionH>
              <wp:positionV relativeFrom="paragraph">
                <wp:posOffset>939800</wp:posOffset>
              </wp:positionV>
              <wp:extent cx="883285" cy="444500"/>
              <wp:effectExtent l="0" t="0" r="0" b="0"/>
              <wp:wrapNone/>
              <wp:docPr id="2" name="Rectángulo 2"/>
              <wp:cNvGraphicFramePr/>
              <a:graphic xmlns:a="http://schemas.openxmlformats.org/drawingml/2006/main">
                <a:graphicData uri="http://schemas.microsoft.com/office/word/2010/wordprocessingShape">
                  <wps:wsp>
                    <wps:cNvSpPr/>
                    <wps:spPr>
                      <a:xfrm>
                        <a:off x="4928170" y="3581563"/>
                        <a:ext cx="835660" cy="396875"/>
                      </a:xfrm>
                      <a:prstGeom prst="rect">
                        <a:avLst/>
                      </a:prstGeom>
                      <a:noFill/>
                      <a:ln>
                        <a:noFill/>
                      </a:ln>
                    </wps:spPr>
                    <wps:txbx>
                      <w:txbxContent>
                        <w:p w14:paraId="6929BE31" w14:textId="77777777" w:rsidR="00FC2BDB" w:rsidRDefault="00000000">
                          <w:pPr>
                            <w:spacing w:before="10"/>
                            <w:jc w:val="right"/>
                            <w:textDirection w:val="btLr"/>
                          </w:pPr>
                          <w:r>
                            <w:rPr>
                              <w:rFonts w:ascii="Raleway" w:eastAsia="Raleway" w:hAnsi="Raleway" w:cs="Raleway"/>
                              <w:b/>
                              <w:color w:val="FFFFFF"/>
                            </w:rPr>
                            <w:t>Iniciales</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0" distR="0" simplePos="0" relativeHeight="0" behindDoc="1" locked="0" layoutInCell="1" hidden="0" allowOverlap="1">
              <wp:simplePos x="0" y="0"/>
              <wp:positionH relativeFrom="column">
                <wp:posOffset>-622299</wp:posOffset>
              </wp:positionH>
              <wp:positionV relativeFrom="paragraph">
                <wp:posOffset>939800</wp:posOffset>
              </wp:positionV>
              <wp:extent cx="883285" cy="444500"/>
              <wp:effectExtent l="0" t="0" r="0" b="0"/>
              <wp:wrapNone/>
              <wp:docPr id="2"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883285" cy="444500"/>
                      </a:xfrm>
                      <a:prstGeom prst="rect"/>
                      <a:ln/>
                    </pic:spPr>
                  </pic:pic>
                </a:graphicData>
              </a:graphic>
            </wp:anchor>
          </w:drawing>
        </mc:Fallback>
      </mc:AlternateContent>
    </w:r>
  </w:p>
  <w:p w14:paraId="5C9BF83B" w14:textId="77777777" w:rsidR="00FC2BDB" w:rsidRDefault="00FC2BDB">
    <w:pPr>
      <w:rPr>
        <w:color w:val="222A35"/>
      </w:rPr>
    </w:pPr>
  </w:p>
  <w:p w14:paraId="668EC47A" w14:textId="77777777" w:rsidR="00FC2BDB" w:rsidRDefault="00000000">
    <w:pPr>
      <w:rPr>
        <w:rFonts w:ascii="Raleway" w:eastAsia="Raleway" w:hAnsi="Raleway" w:cs="Raleway"/>
        <w:b/>
        <w:color w:val="222A35"/>
        <w:sz w:val="16"/>
        <w:szCs w:val="16"/>
      </w:rPr>
    </w:pPr>
    <w:r>
      <w:rPr>
        <w:rFonts w:ascii="Raleway" w:eastAsia="Raleway" w:hAnsi="Raleway" w:cs="Raleway"/>
        <w:b/>
        <w:color w:val="222A35"/>
        <w:sz w:val="16"/>
        <w:szCs w:val="16"/>
      </w:rPr>
      <w:t xml:space="preserve">                                                                                                                                                                                                         Página </w:t>
    </w:r>
    <w:r>
      <w:rPr>
        <w:rFonts w:ascii="Raleway" w:eastAsia="Raleway" w:hAnsi="Raleway" w:cs="Raleway"/>
        <w:b/>
        <w:color w:val="222A35"/>
        <w:sz w:val="16"/>
        <w:szCs w:val="16"/>
      </w:rPr>
      <w:fldChar w:fldCharType="begin"/>
    </w:r>
    <w:r>
      <w:rPr>
        <w:rFonts w:ascii="Raleway" w:eastAsia="Raleway" w:hAnsi="Raleway" w:cs="Raleway"/>
        <w:b/>
        <w:color w:val="222A35"/>
        <w:sz w:val="16"/>
        <w:szCs w:val="16"/>
      </w:rPr>
      <w:instrText>PAGE</w:instrText>
    </w:r>
    <w:r>
      <w:rPr>
        <w:rFonts w:ascii="Raleway" w:eastAsia="Raleway" w:hAnsi="Raleway" w:cs="Raleway"/>
        <w:b/>
        <w:color w:val="222A35"/>
        <w:sz w:val="16"/>
        <w:szCs w:val="16"/>
      </w:rPr>
      <w:fldChar w:fldCharType="separate"/>
    </w:r>
    <w:r w:rsidR="00916E6A">
      <w:rPr>
        <w:rFonts w:ascii="Raleway" w:eastAsia="Raleway" w:hAnsi="Raleway" w:cs="Raleway"/>
        <w:b/>
        <w:noProof/>
        <w:color w:val="222A35"/>
        <w:sz w:val="16"/>
        <w:szCs w:val="16"/>
      </w:rPr>
      <w:t>1</w:t>
    </w:r>
    <w:r>
      <w:rPr>
        <w:rFonts w:ascii="Raleway" w:eastAsia="Raleway" w:hAnsi="Raleway" w:cs="Raleway"/>
        <w:b/>
        <w:color w:val="222A35"/>
        <w:sz w:val="16"/>
        <w:szCs w:val="16"/>
      </w:rPr>
      <w:fldChar w:fldCharType="end"/>
    </w:r>
    <w:r>
      <w:rPr>
        <w:rFonts w:ascii="Raleway" w:eastAsia="Raleway" w:hAnsi="Raleway" w:cs="Raleway"/>
        <w:b/>
        <w:color w:val="222A35"/>
        <w:sz w:val="16"/>
        <w:szCs w:val="16"/>
      </w:rPr>
      <w:t xml:space="preserve"> | </w:t>
    </w:r>
    <w:r>
      <w:rPr>
        <w:rFonts w:ascii="Raleway" w:eastAsia="Raleway" w:hAnsi="Raleway" w:cs="Raleway"/>
        <w:b/>
        <w:color w:val="222A35"/>
        <w:sz w:val="16"/>
        <w:szCs w:val="16"/>
      </w:rPr>
      <w:fldChar w:fldCharType="begin"/>
    </w:r>
    <w:r>
      <w:rPr>
        <w:rFonts w:ascii="Raleway" w:eastAsia="Raleway" w:hAnsi="Raleway" w:cs="Raleway"/>
        <w:b/>
        <w:color w:val="222A35"/>
        <w:sz w:val="16"/>
        <w:szCs w:val="16"/>
      </w:rPr>
      <w:instrText>NUMPAGES</w:instrText>
    </w:r>
    <w:r>
      <w:rPr>
        <w:rFonts w:ascii="Raleway" w:eastAsia="Raleway" w:hAnsi="Raleway" w:cs="Raleway"/>
        <w:b/>
        <w:color w:val="222A35"/>
        <w:sz w:val="16"/>
        <w:szCs w:val="16"/>
      </w:rPr>
      <w:fldChar w:fldCharType="separate"/>
    </w:r>
    <w:r w:rsidR="00916E6A">
      <w:rPr>
        <w:rFonts w:ascii="Raleway" w:eastAsia="Raleway" w:hAnsi="Raleway" w:cs="Raleway"/>
        <w:b/>
        <w:noProof/>
        <w:color w:val="222A35"/>
        <w:sz w:val="16"/>
        <w:szCs w:val="16"/>
      </w:rPr>
      <w:t>2</w:t>
    </w:r>
    <w:r>
      <w:rPr>
        <w:rFonts w:ascii="Raleway" w:eastAsia="Raleway" w:hAnsi="Raleway" w:cs="Raleway"/>
        <w:b/>
        <w:color w:val="222A35"/>
        <w:sz w:val="16"/>
        <w:szCs w:val="16"/>
      </w:rPr>
      <w:fldChar w:fldCharType="end"/>
    </w:r>
  </w:p>
  <w:p w14:paraId="0E145C62" w14:textId="77777777" w:rsidR="00FC2BDB" w:rsidRDefault="00FC2BD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05A40" w14:textId="77777777" w:rsidR="00313883" w:rsidRDefault="00313883">
      <w:r>
        <w:separator/>
      </w:r>
    </w:p>
  </w:footnote>
  <w:footnote w:type="continuationSeparator" w:id="0">
    <w:p w14:paraId="08B0A71D" w14:textId="77777777" w:rsidR="00313883" w:rsidRDefault="00313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EFA5" w14:textId="77777777" w:rsidR="00FC2BDB" w:rsidRDefault="00000000">
    <w:pPr>
      <w:pBdr>
        <w:top w:val="nil"/>
        <w:left w:val="nil"/>
        <w:bottom w:val="nil"/>
        <w:right w:val="nil"/>
        <w:between w:val="nil"/>
      </w:pBdr>
      <w:tabs>
        <w:tab w:val="center" w:pos="4419"/>
        <w:tab w:val="right" w:pos="8838"/>
      </w:tabs>
      <w:rPr>
        <w:color w:val="000000"/>
      </w:rPr>
    </w:pPr>
    <w:r>
      <w:rPr>
        <w:color w:val="000000"/>
      </w:rPr>
      <w:t xml:space="preserve">         </w:t>
    </w:r>
    <w:r>
      <w:rPr>
        <w:noProof/>
      </w:rPr>
      <w:drawing>
        <wp:anchor distT="0" distB="0" distL="0" distR="0" simplePos="0" relativeHeight="251658240" behindDoc="1" locked="0" layoutInCell="1" hidden="0" allowOverlap="1" wp14:anchorId="016BF33C" wp14:editId="255EF8CD">
          <wp:simplePos x="0" y="0"/>
          <wp:positionH relativeFrom="column">
            <wp:posOffset>-242726</wp:posOffset>
          </wp:positionH>
          <wp:positionV relativeFrom="paragraph">
            <wp:posOffset>0</wp:posOffset>
          </wp:positionV>
          <wp:extent cx="2635250" cy="79692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5250" cy="7969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4FDF"/>
    <w:multiLevelType w:val="multilevel"/>
    <w:tmpl w:val="BEA2BF8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97478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BDB"/>
    <w:rsid w:val="00313883"/>
    <w:rsid w:val="00916E6A"/>
    <w:rsid w:val="00B154A1"/>
    <w:rsid w:val="00C174D4"/>
    <w:rsid w:val="00FC2BDB"/>
    <w:rsid w:val="5F7FEC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6928"/>
  <w15:docId w15:val="{37236A4C-4709-4AEC-83E6-BD095AFF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821"/>
      <w:outlineLvl w:val="0"/>
    </w:pPr>
    <w:rPr>
      <w:rFonts w:ascii="Calibri" w:eastAsia="Calibri" w:hAnsi="Calibri" w:cs="Calibri"/>
      <w:b/>
      <w:sz w:val="21"/>
      <w:szCs w:val="21"/>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916E6A"/>
    <w:rPr>
      <w:sz w:val="16"/>
      <w:szCs w:val="16"/>
    </w:rPr>
  </w:style>
  <w:style w:type="paragraph" w:styleId="Textocomentario">
    <w:name w:val="annotation text"/>
    <w:basedOn w:val="Normal"/>
    <w:link w:val="TextocomentarioCar"/>
    <w:uiPriority w:val="99"/>
    <w:unhideWhenUsed/>
    <w:rsid w:val="00916E6A"/>
    <w:rPr>
      <w:sz w:val="20"/>
      <w:szCs w:val="20"/>
    </w:rPr>
  </w:style>
  <w:style w:type="character" w:customStyle="1" w:styleId="TextocomentarioCar">
    <w:name w:val="Texto comentario Car"/>
    <w:basedOn w:val="Fuentedeprrafopredeter"/>
    <w:link w:val="Textocomentario"/>
    <w:uiPriority w:val="99"/>
    <w:rsid w:val="00916E6A"/>
    <w:rPr>
      <w:sz w:val="20"/>
      <w:szCs w:val="20"/>
    </w:rPr>
  </w:style>
  <w:style w:type="paragraph" w:styleId="Asuntodelcomentario">
    <w:name w:val="annotation subject"/>
    <w:basedOn w:val="Textocomentario"/>
    <w:next w:val="Textocomentario"/>
    <w:link w:val="AsuntodelcomentarioCar"/>
    <w:uiPriority w:val="99"/>
    <w:semiHidden/>
    <w:unhideWhenUsed/>
    <w:rsid w:val="00916E6A"/>
    <w:rPr>
      <w:b/>
      <w:bCs/>
    </w:rPr>
  </w:style>
  <w:style w:type="character" w:customStyle="1" w:styleId="AsuntodelcomentarioCar">
    <w:name w:val="Asunto del comentario Car"/>
    <w:basedOn w:val="TextocomentarioCar"/>
    <w:link w:val="Asuntodelcomentario"/>
    <w:uiPriority w:val="99"/>
    <w:semiHidden/>
    <w:rsid w:val="00916E6A"/>
    <w:rPr>
      <w:b/>
      <w:bCs/>
      <w:sz w:val="20"/>
      <w:szCs w:val="20"/>
    </w:rPr>
  </w:style>
  <w:style w:type="paragraph" w:styleId="Prrafodelista">
    <w:name w:val="List Paragraph"/>
    <w:basedOn w:val="Normal"/>
    <w:uiPriority w:val="34"/>
    <w:qFormat/>
    <w:rsid w:val="00C17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4.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S28Uj+X3D8IYFg0b1wNgHd4EQA==">CgMxLjA4AHIhMVdSaU9ia3NUOV9VSTFrYTNCMHNBenRmaERGM1dIOUdi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682</Words>
  <Characters>3756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Mariana Orozco</cp:lastModifiedBy>
  <cp:revision>3</cp:revision>
  <dcterms:created xsi:type="dcterms:W3CDTF">2023-12-14T22:30:00Z</dcterms:created>
  <dcterms:modified xsi:type="dcterms:W3CDTF">2024-01-09T13:06:00Z</dcterms:modified>
</cp:coreProperties>
</file>