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F7275" w14:textId="77777777" w:rsidR="00462B97" w:rsidRPr="00D7688F" w:rsidRDefault="00C5003E" w:rsidP="00296136">
      <w:pPr>
        <w:spacing w:line="240" w:lineRule="auto"/>
        <w:jc w:val="center"/>
        <w:rPr>
          <w:rFonts w:ascii="Arial" w:hAnsi="Arial" w:cs="Arial"/>
          <w:b/>
          <w:lang w:val="es-ES"/>
        </w:rPr>
      </w:pPr>
      <w:r w:rsidRPr="00D7688F">
        <w:rPr>
          <w:rFonts w:ascii="Arial" w:hAnsi="Arial" w:cs="Arial"/>
          <w:b/>
          <w:lang w:val="es-ES"/>
        </w:rPr>
        <w:t>FORMATO DE PRIMER INFORME</w:t>
      </w:r>
    </w:p>
    <w:tbl>
      <w:tblPr>
        <w:tblStyle w:val="Tablaconcuadrcula"/>
        <w:tblW w:w="0" w:type="auto"/>
        <w:tblLook w:val="04A0" w:firstRow="1" w:lastRow="0" w:firstColumn="1" w:lastColumn="0" w:noHBand="0" w:noVBand="1"/>
      </w:tblPr>
      <w:tblGrid>
        <w:gridCol w:w="2547"/>
        <w:gridCol w:w="6281"/>
      </w:tblGrid>
      <w:tr w:rsidR="00D7688F" w:rsidRPr="00D7688F" w14:paraId="1760076C" w14:textId="77777777" w:rsidTr="002B6BA8">
        <w:trPr>
          <w:trHeight w:val="737"/>
        </w:trPr>
        <w:tc>
          <w:tcPr>
            <w:tcW w:w="2547" w:type="dxa"/>
          </w:tcPr>
          <w:p w14:paraId="37D6CCB8" w14:textId="77777777" w:rsidR="00C5003E" w:rsidRPr="00D7688F" w:rsidRDefault="00C5003E" w:rsidP="00D7688F">
            <w:pPr>
              <w:jc w:val="both"/>
              <w:rPr>
                <w:rFonts w:ascii="Arial" w:hAnsi="Arial" w:cs="Arial"/>
                <w:b/>
                <w:lang w:val="es-ES"/>
              </w:rPr>
            </w:pPr>
            <w:r w:rsidRPr="00D7688F">
              <w:rPr>
                <w:rFonts w:ascii="Arial" w:hAnsi="Arial" w:cs="Arial"/>
                <w:b/>
                <w:lang w:val="es-ES"/>
              </w:rPr>
              <w:t>Tipo de vinculación</w:t>
            </w:r>
          </w:p>
        </w:tc>
        <w:tc>
          <w:tcPr>
            <w:tcW w:w="6281" w:type="dxa"/>
          </w:tcPr>
          <w:p w14:paraId="46787CFE" w14:textId="7CB722DD" w:rsidR="00C5003E" w:rsidRPr="00D7688F" w:rsidRDefault="00FC7B01" w:rsidP="00D7688F">
            <w:pPr>
              <w:jc w:val="both"/>
              <w:rPr>
                <w:rFonts w:ascii="Arial" w:hAnsi="Arial" w:cs="Arial"/>
                <w:bCs/>
                <w:lang w:val="es-ES"/>
              </w:rPr>
            </w:pPr>
            <w:r w:rsidRPr="00D7688F">
              <w:rPr>
                <w:rFonts w:ascii="Arial" w:hAnsi="Arial" w:cs="Arial"/>
                <w:bCs/>
                <w:lang w:val="es-ES"/>
              </w:rPr>
              <w:t>Llamada en Garantía</w:t>
            </w:r>
          </w:p>
        </w:tc>
      </w:tr>
      <w:tr w:rsidR="00D7688F" w:rsidRPr="00D7688F" w14:paraId="73171101" w14:textId="77777777" w:rsidTr="002B6BA8">
        <w:trPr>
          <w:trHeight w:val="737"/>
        </w:trPr>
        <w:tc>
          <w:tcPr>
            <w:tcW w:w="2547" w:type="dxa"/>
          </w:tcPr>
          <w:p w14:paraId="5A098A55" w14:textId="77777777" w:rsidR="00C5003E" w:rsidRPr="00D7688F" w:rsidRDefault="00C5003E" w:rsidP="00D7688F">
            <w:pPr>
              <w:jc w:val="both"/>
              <w:rPr>
                <w:rFonts w:ascii="Arial" w:hAnsi="Arial" w:cs="Arial"/>
                <w:b/>
                <w:lang w:val="es-ES"/>
              </w:rPr>
            </w:pPr>
            <w:r w:rsidRPr="00D7688F">
              <w:rPr>
                <w:rFonts w:ascii="Arial" w:hAnsi="Arial" w:cs="Arial"/>
                <w:b/>
                <w:lang w:val="es-ES"/>
              </w:rPr>
              <w:t>Fecha de admisión de la demanda</w:t>
            </w:r>
          </w:p>
        </w:tc>
        <w:tc>
          <w:tcPr>
            <w:tcW w:w="6281" w:type="dxa"/>
          </w:tcPr>
          <w:p w14:paraId="3B0CBF63" w14:textId="68D17B46" w:rsidR="00C5003E" w:rsidRPr="00D7688F" w:rsidRDefault="00834F02" w:rsidP="00D7688F">
            <w:pPr>
              <w:jc w:val="both"/>
              <w:rPr>
                <w:rFonts w:ascii="Arial" w:hAnsi="Arial" w:cs="Arial"/>
                <w:b/>
                <w:lang w:val="es-ES"/>
              </w:rPr>
            </w:pPr>
            <w:r w:rsidRPr="00D7688F">
              <w:rPr>
                <w:rFonts w:ascii="Arial" w:hAnsi="Arial" w:cs="Arial"/>
                <w:shd w:val="clear" w:color="auto" w:fill="FFFFFF"/>
              </w:rPr>
              <w:t>2023-06</w:t>
            </w:r>
            <w:r w:rsidR="002B6BA8" w:rsidRPr="00D7688F">
              <w:rPr>
                <w:rFonts w:ascii="Arial" w:hAnsi="Arial" w:cs="Arial"/>
                <w:shd w:val="clear" w:color="auto" w:fill="FFFFFF"/>
              </w:rPr>
              <w:t>-26</w:t>
            </w:r>
          </w:p>
        </w:tc>
      </w:tr>
      <w:tr w:rsidR="00D7688F" w:rsidRPr="00D7688F" w14:paraId="74F9C47F" w14:textId="77777777" w:rsidTr="002B6BA8">
        <w:trPr>
          <w:trHeight w:val="737"/>
        </w:trPr>
        <w:tc>
          <w:tcPr>
            <w:tcW w:w="2547" w:type="dxa"/>
          </w:tcPr>
          <w:p w14:paraId="56F43D9C" w14:textId="77777777" w:rsidR="00C5003E" w:rsidRPr="00D7688F" w:rsidRDefault="00C5003E" w:rsidP="00D7688F">
            <w:pPr>
              <w:jc w:val="both"/>
              <w:rPr>
                <w:rFonts w:ascii="Arial" w:hAnsi="Arial" w:cs="Arial"/>
                <w:b/>
                <w:lang w:val="es-ES"/>
              </w:rPr>
            </w:pPr>
            <w:r w:rsidRPr="00D7688F">
              <w:rPr>
                <w:rFonts w:ascii="Arial" w:hAnsi="Arial" w:cs="Arial"/>
                <w:b/>
                <w:lang w:val="es-ES"/>
              </w:rPr>
              <w:t xml:space="preserve">Fecha de vencimiento contestación de la demanda </w:t>
            </w:r>
          </w:p>
        </w:tc>
        <w:tc>
          <w:tcPr>
            <w:tcW w:w="6281" w:type="dxa"/>
          </w:tcPr>
          <w:p w14:paraId="72EC7963" w14:textId="25C565C4" w:rsidR="00C5003E" w:rsidRPr="00D7688F" w:rsidRDefault="00834F02" w:rsidP="00D7688F">
            <w:pPr>
              <w:jc w:val="both"/>
              <w:rPr>
                <w:rFonts w:ascii="Arial" w:hAnsi="Arial" w:cs="Arial"/>
                <w:bCs/>
                <w:lang w:val="es-ES"/>
              </w:rPr>
            </w:pPr>
            <w:r w:rsidRPr="00D7688F">
              <w:rPr>
                <w:rFonts w:ascii="Arial" w:hAnsi="Arial" w:cs="Arial"/>
                <w:bCs/>
                <w:lang w:val="es-ES"/>
              </w:rPr>
              <w:t>2024-05-20</w:t>
            </w:r>
          </w:p>
        </w:tc>
      </w:tr>
      <w:tr w:rsidR="00D7688F" w:rsidRPr="00D7688F" w14:paraId="75409D0B" w14:textId="77777777" w:rsidTr="002B6BA8">
        <w:trPr>
          <w:trHeight w:val="696"/>
        </w:trPr>
        <w:tc>
          <w:tcPr>
            <w:tcW w:w="2547" w:type="dxa"/>
          </w:tcPr>
          <w:p w14:paraId="2CF42DF4" w14:textId="77777777" w:rsidR="00C5003E" w:rsidRPr="00D7688F" w:rsidRDefault="00C5003E" w:rsidP="00D7688F">
            <w:pPr>
              <w:jc w:val="both"/>
              <w:rPr>
                <w:rFonts w:ascii="Arial" w:hAnsi="Arial" w:cs="Arial"/>
                <w:b/>
                <w:lang w:val="es-ES"/>
              </w:rPr>
            </w:pPr>
            <w:r w:rsidRPr="00D7688F">
              <w:rPr>
                <w:rFonts w:ascii="Arial" w:hAnsi="Arial" w:cs="Arial"/>
                <w:b/>
                <w:lang w:val="es-ES"/>
              </w:rPr>
              <w:t>Compañía vinculada</w:t>
            </w:r>
          </w:p>
        </w:tc>
        <w:tc>
          <w:tcPr>
            <w:tcW w:w="6281" w:type="dxa"/>
          </w:tcPr>
          <w:p w14:paraId="2E93C02F" w14:textId="29B7E958" w:rsidR="00C5003E" w:rsidRPr="00D7688F" w:rsidRDefault="002B6BA8" w:rsidP="00D7688F">
            <w:pPr>
              <w:jc w:val="both"/>
              <w:rPr>
                <w:rFonts w:ascii="Arial" w:hAnsi="Arial" w:cs="Arial"/>
                <w:b/>
                <w:lang w:val="es-ES"/>
              </w:rPr>
            </w:pPr>
            <w:r w:rsidRPr="00D7688F">
              <w:rPr>
                <w:rStyle w:val="mark3u6i1if2k"/>
                <w:rFonts w:ascii="Arial" w:hAnsi="Arial" w:cs="Arial"/>
                <w:bdr w:val="none" w:sz="0" w:space="0" w:color="auto" w:frame="1"/>
                <w:shd w:val="clear" w:color="auto" w:fill="FFFFFF"/>
              </w:rPr>
              <w:t>HDI</w:t>
            </w:r>
            <w:r w:rsidRPr="00D7688F">
              <w:rPr>
                <w:rFonts w:ascii="Arial" w:hAnsi="Arial" w:cs="Arial"/>
                <w:shd w:val="clear" w:color="auto" w:fill="FFFFFF"/>
              </w:rPr>
              <w:t> SEGUROS S.A.</w:t>
            </w:r>
          </w:p>
        </w:tc>
      </w:tr>
      <w:tr w:rsidR="00D7688F" w:rsidRPr="00D7688F" w14:paraId="2BDB3EC1" w14:textId="77777777" w:rsidTr="002B6BA8">
        <w:trPr>
          <w:trHeight w:val="737"/>
        </w:trPr>
        <w:tc>
          <w:tcPr>
            <w:tcW w:w="2547" w:type="dxa"/>
          </w:tcPr>
          <w:p w14:paraId="4AD5A442" w14:textId="77777777" w:rsidR="00C5003E" w:rsidRPr="00D7688F" w:rsidRDefault="00C5003E" w:rsidP="00D7688F">
            <w:pPr>
              <w:jc w:val="both"/>
              <w:rPr>
                <w:rFonts w:ascii="Arial" w:hAnsi="Arial" w:cs="Arial"/>
                <w:b/>
                <w:lang w:val="es-ES"/>
              </w:rPr>
            </w:pPr>
            <w:r w:rsidRPr="00D7688F">
              <w:rPr>
                <w:rFonts w:ascii="Arial" w:hAnsi="Arial" w:cs="Arial"/>
                <w:b/>
                <w:lang w:val="es-ES"/>
              </w:rPr>
              <w:t>Radicado completo del proceso</w:t>
            </w:r>
          </w:p>
        </w:tc>
        <w:tc>
          <w:tcPr>
            <w:tcW w:w="6281" w:type="dxa"/>
          </w:tcPr>
          <w:p w14:paraId="010B5C29" w14:textId="23DE685D" w:rsidR="00C5003E" w:rsidRPr="00D7688F" w:rsidRDefault="00B8477B" w:rsidP="00D7688F">
            <w:pPr>
              <w:jc w:val="both"/>
              <w:rPr>
                <w:rFonts w:ascii="Arial" w:hAnsi="Arial" w:cs="Arial"/>
                <w:b/>
                <w:lang w:val="es-ES"/>
              </w:rPr>
            </w:pPr>
            <w:r w:rsidRPr="00D7688F">
              <w:rPr>
                <w:rFonts w:ascii="Arial" w:hAnsi="Arial" w:cs="Arial"/>
              </w:rPr>
              <w:t>76001-3333-0</w:t>
            </w:r>
            <w:r w:rsidR="00D5389D" w:rsidRPr="00D7688F">
              <w:rPr>
                <w:rFonts w:ascii="Arial" w:hAnsi="Arial" w:cs="Arial"/>
              </w:rPr>
              <w:t>1</w:t>
            </w:r>
            <w:r w:rsidRPr="00D7688F">
              <w:rPr>
                <w:rFonts w:ascii="Arial" w:hAnsi="Arial" w:cs="Arial"/>
              </w:rPr>
              <w:t>5</w:t>
            </w:r>
            <w:r w:rsidR="00D5389D" w:rsidRPr="00D7688F">
              <w:rPr>
                <w:rFonts w:ascii="Arial" w:hAnsi="Arial" w:cs="Arial"/>
              </w:rPr>
              <w:t>-</w:t>
            </w:r>
            <w:r w:rsidRPr="00D7688F">
              <w:rPr>
                <w:rFonts w:ascii="Arial" w:hAnsi="Arial" w:cs="Arial"/>
                <w:b/>
              </w:rPr>
              <w:t>2023-00144</w:t>
            </w:r>
            <w:r w:rsidR="00D5389D" w:rsidRPr="00D7688F">
              <w:rPr>
                <w:rFonts w:ascii="Arial" w:hAnsi="Arial" w:cs="Arial"/>
              </w:rPr>
              <w:t>-00</w:t>
            </w:r>
          </w:p>
        </w:tc>
      </w:tr>
      <w:tr w:rsidR="00D7688F" w:rsidRPr="00D7688F" w14:paraId="578A8665" w14:textId="77777777" w:rsidTr="002B6BA8">
        <w:trPr>
          <w:trHeight w:val="696"/>
        </w:trPr>
        <w:tc>
          <w:tcPr>
            <w:tcW w:w="2547" w:type="dxa"/>
          </w:tcPr>
          <w:p w14:paraId="15032BE3" w14:textId="77777777" w:rsidR="00C5003E" w:rsidRPr="00D7688F" w:rsidRDefault="00C5003E" w:rsidP="00D7688F">
            <w:pPr>
              <w:jc w:val="both"/>
              <w:rPr>
                <w:rFonts w:ascii="Arial" w:hAnsi="Arial" w:cs="Arial"/>
                <w:b/>
                <w:lang w:val="es-ES"/>
              </w:rPr>
            </w:pPr>
            <w:r w:rsidRPr="00D7688F">
              <w:rPr>
                <w:rFonts w:ascii="Arial" w:hAnsi="Arial" w:cs="Arial"/>
                <w:b/>
                <w:lang w:val="es-ES"/>
              </w:rPr>
              <w:t>Demandantes</w:t>
            </w:r>
          </w:p>
        </w:tc>
        <w:tc>
          <w:tcPr>
            <w:tcW w:w="6281" w:type="dxa"/>
          </w:tcPr>
          <w:p w14:paraId="7E99AC82" w14:textId="05C1942A" w:rsidR="00D5389D" w:rsidRPr="00D7688F" w:rsidRDefault="00D5389D" w:rsidP="00D7688F">
            <w:pPr>
              <w:pStyle w:val="Ttulo5"/>
              <w:shd w:val="clear" w:color="auto" w:fill="FFFFFF"/>
              <w:jc w:val="both"/>
              <w:rPr>
                <w:rFonts w:ascii="Arial" w:hAnsi="Arial" w:cs="Arial"/>
                <w:color w:val="auto"/>
              </w:rPr>
            </w:pPr>
            <w:proofErr w:type="gramStart"/>
            <w:r w:rsidRPr="00D7688F">
              <w:rPr>
                <w:rFonts w:ascii="Arial" w:hAnsi="Arial" w:cs="Arial"/>
                <w:color w:val="auto"/>
              </w:rPr>
              <w:t>.-</w:t>
            </w:r>
            <w:proofErr w:type="gramEnd"/>
            <w:r w:rsidRPr="00D7688F">
              <w:rPr>
                <w:rFonts w:ascii="Arial" w:hAnsi="Arial" w:cs="Arial"/>
                <w:color w:val="auto"/>
              </w:rPr>
              <w:t xml:space="preserve"> </w:t>
            </w:r>
            <w:r w:rsidR="00B8477B" w:rsidRPr="00D7688F">
              <w:rPr>
                <w:rFonts w:ascii="Arial" w:hAnsi="Arial" w:cs="Arial"/>
                <w:color w:val="auto"/>
              </w:rPr>
              <w:t xml:space="preserve">Robinson León </w:t>
            </w:r>
            <w:r w:rsidR="00D7688F" w:rsidRPr="00D7688F">
              <w:rPr>
                <w:rFonts w:ascii="Arial" w:hAnsi="Arial" w:cs="Arial"/>
                <w:color w:val="auto"/>
              </w:rPr>
              <w:t>Rengifo</w:t>
            </w:r>
            <w:r w:rsidRPr="00D7688F">
              <w:rPr>
                <w:rFonts w:ascii="Arial" w:hAnsi="Arial" w:cs="Arial"/>
                <w:color w:val="auto"/>
              </w:rPr>
              <w:t>-</w:t>
            </w:r>
            <w:r w:rsidR="00B8477B" w:rsidRPr="00D7688F">
              <w:rPr>
                <w:rFonts w:ascii="Arial" w:hAnsi="Arial" w:cs="Arial"/>
                <w:color w:val="auto"/>
              </w:rPr>
              <w:t>Víctima directa: C.C. 19.915.823</w:t>
            </w:r>
          </w:p>
          <w:p w14:paraId="0B9FEE18" w14:textId="77777777" w:rsidR="00C5003E" w:rsidRPr="00D7688F" w:rsidRDefault="00D5389D" w:rsidP="00D7688F">
            <w:pPr>
              <w:pStyle w:val="Ttulo5"/>
              <w:shd w:val="clear" w:color="auto" w:fill="FFFFFF"/>
              <w:jc w:val="both"/>
              <w:rPr>
                <w:rFonts w:ascii="Arial" w:hAnsi="Arial" w:cs="Arial"/>
                <w:color w:val="auto"/>
              </w:rPr>
            </w:pPr>
            <w:proofErr w:type="gramStart"/>
            <w:r w:rsidRPr="00D7688F">
              <w:rPr>
                <w:rFonts w:ascii="Arial" w:hAnsi="Arial" w:cs="Arial"/>
                <w:color w:val="auto"/>
              </w:rPr>
              <w:t>.-</w:t>
            </w:r>
            <w:proofErr w:type="gramEnd"/>
            <w:r w:rsidRPr="00D7688F">
              <w:rPr>
                <w:rFonts w:ascii="Arial" w:hAnsi="Arial" w:cs="Arial"/>
                <w:color w:val="auto"/>
              </w:rPr>
              <w:t xml:space="preserve"> </w:t>
            </w:r>
            <w:r w:rsidR="00B8477B" w:rsidRPr="00D7688F">
              <w:rPr>
                <w:rFonts w:ascii="Arial" w:hAnsi="Arial" w:cs="Arial"/>
                <w:color w:val="auto"/>
              </w:rPr>
              <w:t>Natali María Lopera Zapara-Compañera Permanente: C.C. 38.612.737</w:t>
            </w:r>
          </w:p>
          <w:p w14:paraId="3E367703" w14:textId="77777777" w:rsidR="00B8477B" w:rsidRPr="00D7688F" w:rsidRDefault="00B8477B" w:rsidP="00D7688F">
            <w:pPr>
              <w:jc w:val="both"/>
              <w:rPr>
                <w:rFonts w:ascii="Arial" w:hAnsi="Arial" w:cs="Arial"/>
              </w:rPr>
            </w:pPr>
            <w:proofErr w:type="gramStart"/>
            <w:r w:rsidRPr="00D7688F">
              <w:rPr>
                <w:rFonts w:ascii="Arial" w:hAnsi="Arial" w:cs="Arial"/>
              </w:rPr>
              <w:t>.-</w:t>
            </w:r>
            <w:proofErr w:type="gramEnd"/>
            <w:r w:rsidRPr="00D7688F">
              <w:rPr>
                <w:rFonts w:ascii="Arial" w:hAnsi="Arial" w:cs="Arial"/>
              </w:rPr>
              <w:t xml:space="preserve"> </w:t>
            </w:r>
            <w:proofErr w:type="spellStart"/>
            <w:r w:rsidRPr="00D7688F">
              <w:rPr>
                <w:rFonts w:ascii="Arial" w:hAnsi="Arial" w:cs="Arial"/>
              </w:rPr>
              <w:t>Denys</w:t>
            </w:r>
            <w:proofErr w:type="spellEnd"/>
            <w:r w:rsidRPr="00D7688F">
              <w:rPr>
                <w:rFonts w:ascii="Arial" w:hAnsi="Arial" w:cs="Arial"/>
              </w:rPr>
              <w:t xml:space="preserve"> Adrián León Lopera-Hijo: T.I. 1.150.687.397</w:t>
            </w:r>
          </w:p>
          <w:p w14:paraId="4E7427DE" w14:textId="77777777" w:rsidR="00B8477B" w:rsidRPr="00D7688F" w:rsidRDefault="00B8477B" w:rsidP="00D7688F">
            <w:pPr>
              <w:jc w:val="both"/>
              <w:rPr>
                <w:rFonts w:ascii="Arial" w:hAnsi="Arial" w:cs="Arial"/>
              </w:rPr>
            </w:pPr>
            <w:proofErr w:type="gramStart"/>
            <w:r w:rsidRPr="00D7688F">
              <w:rPr>
                <w:rFonts w:ascii="Arial" w:hAnsi="Arial" w:cs="Arial"/>
              </w:rPr>
              <w:t>.-</w:t>
            </w:r>
            <w:proofErr w:type="gramEnd"/>
            <w:r w:rsidRPr="00D7688F">
              <w:rPr>
                <w:rFonts w:ascii="Arial" w:hAnsi="Arial" w:cs="Arial"/>
              </w:rPr>
              <w:t xml:space="preserve"> Brayan </w:t>
            </w:r>
            <w:proofErr w:type="spellStart"/>
            <w:r w:rsidRPr="00D7688F">
              <w:rPr>
                <w:rFonts w:ascii="Arial" w:hAnsi="Arial" w:cs="Arial"/>
              </w:rPr>
              <w:t>Stiven</w:t>
            </w:r>
            <w:proofErr w:type="spellEnd"/>
            <w:r w:rsidRPr="00D7688F">
              <w:rPr>
                <w:rFonts w:ascii="Arial" w:hAnsi="Arial" w:cs="Arial"/>
              </w:rPr>
              <w:t xml:space="preserve"> León Lopera-Hijo: T.I. 1.015.071.927</w:t>
            </w:r>
          </w:p>
          <w:p w14:paraId="1297D66A" w14:textId="77777777" w:rsidR="00B8477B" w:rsidRPr="00D7688F" w:rsidRDefault="00B8477B" w:rsidP="00D7688F">
            <w:pPr>
              <w:jc w:val="both"/>
              <w:rPr>
                <w:rFonts w:ascii="Arial" w:hAnsi="Arial" w:cs="Arial"/>
              </w:rPr>
            </w:pPr>
            <w:proofErr w:type="gramStart"/>
            <w:r w:rsidRPr="00D7688F">
              <w:rPr>
                <w:rFonts w:ascii="Arial" w:hAnsi="Arial" w:cs="Arial"/>
              </w:rPr>
              <w:t>.-</w:t>
            </w:r>
            <w:proofErr w:type="gramEnd"/>
            <w:r w:rsidRPr="00D7688F">
              <w:rPr>
                <w:rFonts w:ascii="Arial" w:hAnsi="Arial" w:cs="Arial"/>
              </w:rPr>
              <w:t xml:space="preserve"> Jesús Hernán León </w:t>
            </w:r>
            <w:proofErr w:type="spellStart"/>
            <w:r w:rsidRPr="00D7688F">
              <w:rPr>
                <w:rFonts w:ascii="Arial" w:hAnsi="Arial" w:cs="Arial"/>
              </w:rPr>
              <w:t>Benalcazar</w:t>
            </w:r>
            <w:proofErr w:type="spellEnd"/>
            <w:r w:rsidRPr="00D7688F">
              <w:rPr>
                <w:rFonts w:ascii="Arial" w:hAnsi="Arial" w:cs="Arial"/>
              </w:rPr>
              <w:t xml:space="preserve"> –Padre: C.C. 4.616.600</w:t>
            </w:r>
          </w:p>
          <w:p w14:paraId="35B7642B" w14:textId="65AF41A8" w:rsidR="00B8477B" w:rsidRPr="00D7688F" w:rsidRDefault="00B8477B" w:rsidP="00D7688F">
            <w:pPr>
              <w:jc w:val="both"/>
              <w:rPr>
                <w:rFonts w:ascii="Arial" w:hAnsi="Arial" w:cs="Arial"/>
              </w:rPr>
            </w:pPr>
            <w:proofErr w:type="gramStart"/>
            <w:r w:rsidRPr="00D7688F">
              <w:rPr>
                <w:rFonts w:ascii="Arial" w:hAnsi="Arial" w:cs="Arial"/>
              </w:rPr>
              <w:t>.-</w:t>
            </w:r>
            <w:proofErr w:type="gramEnd"/>
            <w:r w:rsidRPr="00D7688F">
              <w:rPr>
                <w:rFonts w:ascii="Arial" w:hAnsi="Arial" w:cs="Arial"/>
              </w:rPr>
              <w:t xml:space="preserve"> Alexander León </w:t>
            </w:r>
            <w:proofErr w:type="spellStart"/>
            <w:r w:rsidRPr="00D7688F">
              <w:rPr>
                <w:rFonts w:ascii="Arial" w:hAnsi="Arial" w:cs="Arial"/>
              </w:rPr>
              <w:t>Rengífo</w:t>
            </w:r>
            <w:proofErr w:type="spellEnd"/>
            <w:r w:rsidRPr="00D7688F">
              <w:rPr>
                <w:rFonts w:ascii="Arial" w:hAnsi="Arial" w:cs="Arial"/>
              </w:rPr>
              <w:t>-Hermano: C.C. 94.527.173</w:t>
            </w:r>
          </w:p>
        </w:tc>
      </w:tr>
      <w:tr w:rsidR="00D7688F" w:rsidRPr="00D7688F" w14:paraId="76A4F219" w14:textId="77777777" w:rsidTr="002B6BA8">
        <w:trPr>
          <w:trHeight w:val="737"/>
        </w:trPr>
        <w:tc>
          <w:tcPr>
            <w:tcW w:w="2547" w:type="dxa"/>
          </w:tcPr>
          <w:p w14:paraId="7852BED5" w14:textId="66095EB2" w:rsidR="00C5003E" w:rsidRPr="00D7688F" w:rsidRDefault="00C5003E" w:rsidP="00D7688F">
            <w:pPr>
              <w:jc w:val="both"/>
              <w:rPr>
                <w:rFonts w:ascii="Arial" w:hAnsi="Arial" w:cs="Arial"/>
                <w:b/>
                <w:lang w:val="es-ES"/>
              </w:rPr>
            </w:pPr>
            <w:r w:rsidRPr="00D7688F">
              <w:rPr>
                <w:rFonts w:ascii="Arial" w:hAnsi="Arial" w:cs="Arial"/>
                <w:b/>
                <w:lang w:val="es-ES"/>
              </w:rPr>
              <w:t>Demandados/ Llamados en Garantía</w:t>
            </w:r>
          </w:p>
        </w:tc>
        <w:tc>
          <w:tcPr>
            <w:tcW w:w="6281" w:type="dxa"/>
          </w:tcPr>
          <w:p w14:paraId="1ACC5BA7" w14:textId="0270D1A2" w:rsidR="00D7688F" w:rsidRPr="00D7688F" w:rsidRDefault="00D7688F" w:rsidP="00D7688F">
            <w:pPr>
              <w:pStyle w:val="Ttulo5"/>
              <w:shd w:val="clear" w:color="auto" w:fill="FFFFFF"/>
              <w:jc w:val="both"/>
              <w:rPr>
                <w:rFonts w:ascii="Arial" w:hAnsi="Arial" w:cs="Arial"/>
                <w:color w:val="auto"/>
              </w:rPr>
            </w:pPr>
            <w:r w:rsidRPr="00D7688F">
              <w:rPr>
                <w:rFonts w:ascii="Arial" w:hAnsi="Arial" w:cs="Arial"/>
                <w:color w:val="auto"/>
              </w:rPr>
              <w:t xml:space="preserve">Demandados: </w:t>
            </w:r>
          </w:p>
          <w:p w14:paraId="162390BB" w14:textId="037E7F97" w:rsidR="00D7688F" w:rsidRPr="00D7688F" w:rsidRDefault="00D7688F" w:rsidP="00D7688F">
            <w:pPr>
              <w:pStyle w:val="Ttulo5"/>
              <w:numPr>
                <w:ilvl w:val="0"/>
                <w:numId w:val="1"/>
              </w:numPr>
              <w:shd w:val="clear" w:color="auto" w:fill="FFFFFF"/>
              <w:jc w:val="both"/>
              <w:rPr>
                <w:rFonts w:ascii="Arial" w:hAnsi="Arial" w:cs="Arial"/>
                <w:color w:val="auto"/>
              </w:rPr>
            </w:pPr>
            <w:r w:rsidRPr="00D7688F">
              <w:rPr>
                <w:rFonts w:ascii="Arial" w:hAnsi="Arial" w:cs="Arial"/>
                <w:color w:val="auto"/>
              </w:rPr>
              <w:t>SANTIAGO DE CALI – SECRETARIA DE INFRAESTRUCTURA Y MANTENIMIENTO VIAL</w:t>
            </w:r>
          </w:p>
          <w:p w14:paraId="5B8F4031" w14:textId="52DAAD08" w:rsidR="00D7688F" w:rsidRPr="00D7688F" w:rsidRDefault="00D7688F" w:rsidP="00D7688F">
            <w:pPr>
              <w:jc w:val="both"/>
              <w:rPr>
                <w:rFonts w:ascii="Arial" w:hAnsi="Arial" w:cs="Arial"/>
              </w:rPr>
            </w:pPr>
            <w:r w:rsidRPr="00D7688F">
              <w:rPr>
                <w:rFonts w:ascii="Arial" w:hAnsi="Arial" w:cs="Arial"/>
              </w:rPr>
              <w:t xml:space="preserve">Llamadas en garantía </w:t>
            </w:r>
          </w:p>
          <w:p w14:paraId="3567DD5E" w14:textId="286DB7D3" w:rsidR="00D5389D" w:rsidRPr="00D7688F" w:rsidRDefault="002B6BA8" w:rsidP="00D7688F">
            <w:pPr>
              <w:pStyle w:val="Ttulo5"/>
              <w:numPr>
                <w:ilvl w:val="0"/>
                <w:numId w:val="1"/>
              </w:numPr>
              <w:shd w:val="clear" w:color="auto" w:fill="FFFFFF"/>
              <w:jc w:val="both"/>
              <w:rPr>
                <w:rFonts w:ascii="Arial" w:hAnsi="Arial" w:cs="Arial"/>
                <w:color w:val="auto"/>
              </w:rPr>
            </w:pPr>
            <w:r w:rsidRPr="00D7688F">
              <w:rPr>
                <w:rFonts w:ascii="Arial" w:hAnsi="Arial" w:cs="Arial"/>
                <w:color w:val="auto"/>
              </w:rPr>
              <w:t>HDI SEGUROS S.A.</w:t>
            </w:r>
            <w:r w:rsidR="00D5389D" w:rsidRPr="00D7688F">
              <w:rPr>
                <w:rFonts w:ascii="Arial" w:hAnsi="Arial" w:cs="Arial"/>
                <w:color w:val="auto"/>
              </w:rPr>
              <w:t>;</w:t>
            </w:r>
          </w:p>
          <w:p w14:paraId="03EE0C75" w14:textId="7FCB1CC0" w:rsidR="00D5389D" w:rsidRPr="00D7688F" w:rsidRDefault="00D5389D" w:rsidP="00D7688F">
            <w:pPr>
              <w:pStyle w:val="Prrafodelista"/>
              <w:numPr>
                <w:ilvl w:val="0"/>
                <w:numId w:val="1"/>
              </w:numPr>
              <w:jc w:val="both"/>
              <w:rPr>
                <w:rFonts w:ascii="Arial" w:hAnsi="Arial" w:cs="Arial"/>
              </w:rPr>
            </w:pPr>
            <w:r w:rsidRPr="00D7688F">
              <w:rPr>
                <w:rFonts w:ascii="Arial" w:hAnsi="Arial" w:cs="Arial"/>
              </w:rPr>
              <w:t>ASEGURADORA SOLIDARIA;</w:t>
            </w:r>
          </w:p>
          <w:p w14:paraId="26FCCBEA" w14:textId="7FB80009" w:rsidR="00D5389D" w:rsidRPr="00D7688F" w:rsidRDefault="00D5389D" w:rsidP="00D7688F">
            <w:pPr>
              <w:pStyle w:val="Prrafodelista"/>
              <w:numPr>
                <w:ilvl w:val="0"/>
                <w:numId w:val="1"/>
              </w:numPr>
              <w:jc w:val="both"/>
              <w:rPr>
                <w:rFonts w:ascii="Arial" w:hAnsi="Arial" w:cs="Arial"/>
              </w:rPr>
            </w:pPr>
            <w:r w:rsidRPr="00D7688F">
              <w:rPr>
                <w:rFonts w:ascii="Arial" w:hAnsi="Arial" w:cs="Arial"/>
              </w:rPr>
              <w:t>CHUBB SEGUROS COLOMBIA S.A.;</w:t>
            </w:r>
          </w:p>
          <w:p w14:paraId="69ACD408" w14:textId="0D533E4F" w:rsidR="00D5389D" w:rsidRPr="00D7688F" w:rsidRDefault="00D5389D" w:rsidP="00D7688F">
            <w:pPr>
              <w:pStyle w:val="Prrafodelista"/>
              <w:numPr>
                <w:ilvl w:val="0"/>
                <w:numId w:val="1"/>
              </w:numPr>
              <w:jc w:val="both"/>
              <w:rPr>
                <w:rFonts w:ascii="Arial" w:hAnsi="Arial" w:cs="Arial"/>
              </w:rPr>
            </w:pPr>
            <w:r w:rsidRPr="00D7688F">
              <w:rPr>
                <w:rFonts w:ascii="Arial" w:hAnsi="Arial" w:cs="Arial"/>
              </w:rPr>
              <w:t>SBS SEGUROS COLOMBIA S.A.;</w:t>
            </w:r>
          </w:p>
          <w:p w14:paraId="196FF209" w14:textId="51175AFB" w:rsidR="00D5389D" w:rsidRPr="00D7688F" w:rsidRDefault="00D5389D" w:rsidP="00D7688F">
            <w:pPr>
              <w:pStyle w:val="Prrafodelista"/>
              <w:numPr>
                <w:ilvl w:val="0"/>
                <w:numId w:val="1"/>
              </w:numPr>
              <w:jc w:val="both"/>
              <w:rPr>
                <w:rFonts w:ascii="Arial" w:hAnsi="Arial" w:cs="Arial"/>
              </w:rPr>
            </w:pPr>
            <w:r w:rsidRPr="00D7688F">
              <w:rPr>
                <w:rFonts w:ascii="Arial" w:hAnsi="Arial" w:cs="Arial"/>
              </w:rPr>
              <w:t>AXA COLPATRIA S.A.</w:t>
            </w:r>
          </w:p>
        </w:tc>
      </w:tr>
      <w:tr w:rsidR="00D7688F" w:rsidRPr="00D7688F" w14:paraId="0F1CD8C3" w14:textId="77777777" w:rsidTr="002B6BA8">
        <w:trPr>
          <w:trHeight w:val="696"/>
        </w:trPr>
        <w:tc>
          <w:tcPr>
            <w:tcW w:w="2547" w:type="dxa"/>
          </w:tcPr>
          <w:p w14:paraId="30E89714" w14:textId="77777777" w:rsidR="00C5003E" w:rsidRPr="00D7688F" w:rsidRDefault="00C5003E" w:rsidP="00D7688F">
            <w:pPr>
              <w:jc w:val="both"/>
              <w:rPr>
                <w:rFonts w:ascii="Arial" w:hAnsi="Arial" w:cs="Arial"/>
                <w:b/>
                <w:lang w:val="es-ES"/>
              </w:rPr>
            </w:pPr>
            <w:r w:rsidRPr="00D7688F">
              <w:rPr>
                <w:rFonts w:ascii="Arial" w:hAnsi="Arial" w:cs="Arial"/>
                <w:b/>
                <w:lang w:val="es-ES"/>
              </w:rPr>
              <w:t>Pretensiones solicitadas</w:t>
            </w:r>
          </w:p>
        </w:tc>
        <w:tc>
          <w:tcPr>
            <w:tcW w:w="6281" w:type="dxa"/>
          </w:tcPr>
          <w:p w14:paraId="367CDECB" w14:textId="345D9692" w:rsidR="00D5389D" w:rsidRPr="00D7688F" w:rsidRDefault="002B6BA8" w:rsidP="00D7688F">
            <w:pPr>
              <w:jc w:val="both"/>
              <w:rPr>
                <w:rFonts w:ascii="Arial" w:hAnsi="Arial" w:cs="Arial"/>
                <w:shd w:val="clear" w:color="auto" w:fill="FFFFFF"/>
              </w:rPr>
            </w:pPr>
            <w:r w:rsidRPr="00D7688F">
              <w:rPr>
                <w:rFonts w:ascii="Arial" w:hAnsi="Arial" w:cs="Arial"/>
                <w:shd w:val="clear" w:color="auto" w:fill="FFFFFF"/>
              </w:rPr>
              <w:t>Las pretensiones de la demanda se encaminan al reconocimiento y pago de $</w:t>
            </w:r>
            <w:r w:rsidR="000A6ECF" w:rsidRPr="00D7688F">
              <w:rPr>
                <w:rFonts w:ascii="Arial" w:hAnsi="Arial" w:cs="Arial"/>
                <w:shd w:val="clear" w:color="auto" w:fill="FFFFFF"/>
              </w:rPr>
              <w:t>994.797.972</w:t>
            </w:r>
            <w:r w:rsidR="007A05A2" w:rsidRPr="00D7688F">
              <w:rPr>
                <w:rFonts w:ascii="Arial" w:hAnsi="Arial" w:cs="Arial"/>
                <w:shd w:val="clear" w:color="auto" w:fill="FFFFFF"/>
              </w:rPr>
              <w:t xml:space="preserve"> M/Cte.</w:t>
            </w:r>
            <w:r w:rsidRPr="00D7688F">
              <w:rPr>
                <w:rFonts w:ascii="Arial" w:hAnsi="Arial" w:cs="Arial"/>
                <w:shd w:val="clear" w:color="auto" w:fill="FFFFFF"/>
              </w:rPr>
              <w:t>, discriminado en las siguientes sumas</w:t>
            </w:r>
            <w:r w:rsidR="007A05A2" w:rsidRPr="00D7688F">
              <w:rPr>
                <w:rFonts w:ascii="Arial" w:hAnsi="Arial" w:cs="Arial"/>
                <w:shd w:val="clear" w:color="auto" w:fill="FFFFFF"/>
              </w:rPr>
              <w:t xml:space="preserve"> liquidadas con salario mínimo del 2024</w:t>
            </w:r>
            <w:r w:rsidRPr="00D7688F">
              <w:rPr>
                <w:rFonts w:ascii="Arial" w:hAnsi="Arial" w:cs="Arial"/>
                <w:shd w:val="clear" w:color="auto" w:fill="FFFFFF"/>
              </w:rPr>
              <w:t>:</w:t>
            </w:r>
          </w:p>
          <w:p w14:paraId="02AE0873" w14:textId="77777777" w:rsidR="00D5389D" w:rsidRPr="00D7688F" w:rsidRDefault="00D5389D" w:rsidP="00D7688F">
            <w:pPr>
              <w:jc w:val="both"/>
              <w:rPr>
                <w:rFonts w:ascii="Arial" w:hAnsi="Arial" w:cs="Arial"/>
                <w:b/>
              </w:rPr>
            </w:pPr>
          </w:p>
          <w:p w14:paraId="3E6FDD5E" w14:textId="6FB05F17" w:rsidR="00B8477B" w:rsidRPr="00D7688F" w:rsidRDefault="00D5389D" w:rsidP="00D7688F">
            <w:pPr>
              <w:jc w:val="both"/>
              <w:rPr>
                <w:rFonts w:ascii="Arial" w:hAnsi="Arial" w:cs="Arial"/>
                <w:b/>
                <w:shd w:val="clear" w:color="auto" w:fill="FFFFFF"/>
              </w:rPr>
            </w:pPr>
            <w:r w:rsidRPr="00D7688F">
              <w:rPr>
                <w:rFonts w:ascii="Arial" w:hAnsi="Arial" w:cs="Arial"/>
                <w:b/>
                <w:shd w:val="clear" w:color="auto" w:fill="FFFFFF"/>
              </w:rPr>
              <w:t xml:space="preserve">1.- </w:t>
            </w:r>
            <w:r w:rsidR="00B8477B" w:rsidRPr="00D7688F">
              <w:rPr>
                <w:rFonts w:ascii="Arial" w:hAnsi="Arial" w:cs="Arial"/>
                <w:shd w:val="clear" w:color="auto" w:fill="FFFFFF"/>
              </w:rPr>
              <w:t xml:space="preserve">Por concepto de </w:t>
            </w:r>
            <w:r w:rsidR="00B8477B" w:rsidRPr="00D7688F">
              <w:rPr>
                <w:rFonts w:ascii="Arial" w:hAnsi="Arial" w:cs="Arial"/>
                <w:u w:val="single"/>
                <w:shd w:val="clear" w:color="auto" w:fill="FFFFFF"/>
              </w:rPr>
              <w:t>Perjuicios Morales</w:t>
            </w:r>
            <w:r w:rsidR="00B8477B" w:rsidRPr="00D7688F">
              <w:rPr>
                <w:rFonts w:ascii="Arial" w:hAnsi="Arial" w:cs="Arial"/>
                <w:shd w:val="clear" w:color="auto" w:fill="FFFFFF"/>
              </w:rPr>
              <w:t>, pretendidos para cada uno de los demandantes por la suma de 100 SMMLV</w:t>
            </w:r>
            <w:r w:rsidR="000A6ECF" w:rsidRPr="00D7688F">
              <w:rPr>
                <w:rFonts w:ascii="Arial" w:hAnsi="Arial" w:cs="Arial"/>
                <w:shd w:val="clear" w:color="auto" w:fill="FFFFFF"/>
              </w:rPr>
              <w:t xml:space="preserve"> o $78</w:t>
            </w:r>
            <w:r w:rsidR="00B8477B" w:rsidRPr="00D7688F">
              <w:rPr>
                <w:rFonts w:ascii="Arial" w:hAnsi="Arial" w:cs="Arial"/>
                <w:shd w:val="clear" w:color="auto" w:fill="FFFFFF"/>
              </w:rPr>
              <w:t>0.000.000 M/Cte.</w:t>
            </w:r>
          </w:p>
          <w:p w14:paraId="41D24432" w14:textId="4E42B49C" w:rsidR="00B8477B" w:rsidRPr="00D7688F" w:rsidRDefault="00D5389D" w:rsidP="00D7688F">
            <w:pPr>
              <w:jc w:val="both"/>
              <w:rPr>
                <w:rFonts w:ascii="Arial" w:hAnsi="Arial" w:cs="Arial"/>
                <w:b/>
                <w:shd w:val="clear" w:color="auto" w:fill="FFFFFF"/>
              </w:rPr>
            </w:pPr>
            <w:r w:rsidRPr="00D7688F">
              <w:rPr>
                <w:rFonts w:ascii="Arial" w:hAnsi="Arial" w:cs="Arial"/>
                <w:b/>
                <w:shd w:val="clear" w:color="auto" w:fill="FFFFFF"/>
              </w:rPr>
              <w:t xml:space="preserve">2.- </w:t>
            </w:r>
            <w:r w:rsidR="00B8477B" w:rsidRPr="00D7688F">
              <w:rPr>
                <w:rFonts w:ascii="Arial" w:hAnsi="Arial" w:cs="Arial"/>
                <w:shd w:val="clear" w:color="auto" w:fill="FFFFFF"/>
              </w:rPr>
              <w:t xml:space="preserve">Por concepto de </w:t>
            </w:r>
            <w:r w:rsidR="000A6ECF" w:rsidRPr="00D7688F">
              <w:rPr>
                <w:rFonts w:ascii="Arial" w:hAnsi="Arial" w:cs="Arial"/>
                <w:u w:val="single"/>
                <w:shd w:val="clear" w:color="auto" w:fill="FFFFFF"/>
              </w:rPr>
              <w:t>L</w:t>
            </w:r>
            <w:r w:rsidR="00B8477B" w:rsidRPr="00D7688F">
              <w:rPr>
                <w:rFonts w:ascii="Arial" w:hAnsi="Arial" w:cs="Arial"/>
                <w:u w:val="single"/>
                <w:shd w:val="clear" w:color="auto" w:fill="FFFFFF"/>
              </w:rPr>
              <w:t xml:space="preserve">ucro cesante consolidado y futuro: </w:t>
            </w:r>
            <w:r w:rsidR="000A6ECF" w:rsidRPr="00D7688F">
              <w:rPr>
                <w:rFonts w:ascii="Arial" w:hAnsi="Arial" w:cs="Arial"/>
                <w:shd w:val="clear" w:color="auto" w:fill="FFFFFF"/>
              </w:rPr>
              <w:t>$84.797.972</w:t>
            </w:r>
            <w:r w:rsidR="00B8477B" w:rsidRPr="00D7688F">
              <w:rPr>
                <w:rFonts w:ascii="Arial" w:hAnsi="Arial" w:cs="Arial"/>
                <w:shd w:val="clear" w:color="auto" w:fill="FFFFFF"/>
              </w:rPr>
              <w:t xml:space="preserve"> M/Cte., solo por la víctima directa.</w:t>
            </w:r>
          </w:p>
          <w:p w14:paraId="7D6E58D0" w14:textId="570BC389" w:rsidR="00D5389D" w:rsidRPr="00D7688F" w:rsidRDefault="00D5389D" w:rsidP="00D7688F">
            <w:pPr>
              <w:jc w:val="both"/>
              <w:rPr>
                <w:rFonts w:ascii="Arial" w:hAnsi="Arial" w:cs="Arial"/>
                <w:shd w:val="clear" w:color="auto" w:fill="FFFFFF"/>
              </w:rPr>
            </w:pPr>
            <w:r w:rsidRPr="00D7688F">
              <w:rPr>
                <w:rFonts w:ascii="Arial" w:hAnsi="Arial" w:cs="Arial"/>
                <w:b/>
                <w:shd w:val="clear" w:color="auto" w:fill="FFFFFF"/>
              </w:rPr>
              <w:t>3.-</w:t>
            </w:r>
            <w:r w:rsidRPr="00D7688F">
              <w:rPr>
                <w:rFonts w:ascii="Arial" w:hAnsi="Arial" w:cs="Arial"/>
                <w:shd w:val="clear" w:color="auto" w:fill="FFFFFF"/>
              </w:rPr>
              <w:t xml:space="preserve"> Por concepto de </w:t>
            </w:r>
            <w:r w:rsidRPr="00D7688F">
              <w:rPr>
                <w:rFonts w:ascii="Arial" w:hAnsi="Arial" w:cs="Arial"/>
                <w:u w:val="single"/>
                <w:shd w:val="clear" w:color="auto" w:fill="FFFFFF"/>
              </w:rPr>
              <w:t>Daño a la salud:</w:t>
            </w:r>
            <w:r w:rsidRPr="00D7688F">
              <w:rPr>
                <w:rFonts w:ascii="Arial" w:hAnsi="Arial" w:cs="Arial"/>
                <w:shd w:val="clear" w:color="auto" w:fill="FFFFFF"/>
              </w:rPr>
              <w:t xml:space="preserve"> pretendido para </w:t>
            </w:r>
            <w:r w:rsidR="000A6ECF" w:rsidRPr="00D7688F">
              <w:rPr>
                <w:rFonts w:ascii="Arial" w:hAnsi="Arial" w:cs="Arial"/>
                <w:shd w:val="clear" w:color="auto" w:fill="FFFFFF"/>
              </w:rPr>
              <w:t>la víctima directa por la suma de 1</w:t>
            </w:r>
            <w:r w:rsidRPr="00D7688F">
              <w:rPr>
                <w:rFonts w:ascii="Arial" w:hAnsi="Arial" w:cs="Arial"/>
                <w:shd w:val="clear" w:color="auto" w:fill="FFFFFF"/>
              </w:rPr>
              <w:t xml:space="preserve">00 SMMLV o </w:t>
            </w:r>
            <w:r w:rsidR="007A05A2" w:rsidRPr="00D7688F">
              <w:rPr>
                <w:rFonts w:ascii="Arial" w:hAnsi="Arial" w:cs="Arial"/>
                <w:shd w:val="clear" w:color="auto" w:fill="FFFFFF"/>
              </w:rPr>
              <w:t>$</w:t>
            </w:r>
            <w:r w:rsidR="000A6ECF" w:rsidRPr="00D7688F">
              <w:rPr>
                <w:rFonts w:ascii="Arial" w:hAnsi="Arial" w:cs="Arial"/>
                <w:shd w:val="clear" w:color="auto" w:fill="FFFFFF"/>
              </w:rPr>
              <w:t>130.000.000.</w:t>
            </w:r>
          </w:p>
          <w:p w14:paraId="65F8A69E" w14:textId="6945FBA9" w:rsidR="00C5003E" w:rsidRPr="00D7688F" w:rsidRDefault="00C5003E" w:rsidP="00D7688F">
            <w:pPr>
              <w:jc w:val="both"/>
              <w:rPr>
                <w:rFonts w:ascii="Arial" w:hAnsi="Arial" w:cs="Arial"/>
                <w:b/>
                <w:lang w:val="es-ES"/>
              </w:rPr>
            </w:pPr>
          </w:p>
        </w:tc>
      </w:tr>
      <w:tr w:rsidR="00D7688F" w:rsidRPr="00D7688F" w14:paraId="609EC752" w14:textId="77777777" w:rsidTr="002B6BA8">
        <w:trPr>
          <w:trHeight w:val="737"/>
        </w:trPr>
        <w:tc>
          <w:tcPr>
            <w:tcW w:w="2547" w:type="dxa"/>
          </w:tcPr>
          <w:p w14:paraId="60B470C1" w14:textId="77777777" w:rsidR="00C5003E" w:rsidRPr="00D7688F" w:rsidRDefault="00C5003E" w:rsidP="00D7688F">
            <w:pPr>
              <w:jc w:val="both"/>
              <w:rPr>
                <w:rFonts w:ascii="Arial" w:hAnsi="Arial" w:cs="Arial"/>
                <w:b/>
                <w:lang w:val="es-ES"/>
              </w:rPr>
            </w:pPr>
            <w:r w:rsidRPr="00D7688F">
              <w:rPr>
                <w:rFonts w:ascii="Arial" w:hAnsi="Arial" w:cs="Arial"/>
                <w:b/>
                <w:lang w:val="es-ES"/>
              </w:rPr>
              <w:t>Pretensión Objetivada</w:t>
            </w:r>
          </w:p>
        </w:tc>
        <w:tc>
          <w:tcPr>
            <w:tcW w:w="6281" w:type="dxa"/>
          </w:tcPr>
          <w:p w14:paraId="17E86522" w14:textId="03357289" w:rsidR="00702D8D" w:rsidRPr="00D7688F" w:rsidRDefault="007A05A2" w:rsidP="00D7688F">
            <w:pPr>
              <w:pStyle w:val="NormalWeb"/>
              <w:spacing w:before="0" w:beforeAutospacing="0" w:after="0" w:afterAutospacing="0"/>
              <w:jc w:val="both"/>
              <w:rPr>
                <w:rFonts w:ascii="Arial" w:hAnsi="Arial" w:cs="Arial"/>
                <w:sz w:val="22"/>
                <w:szCs w:val="22"/>
              </w:rPr>
            </w:pPr>
            <w:proofErr w:type="gramStart"/>
            <w:r w:rsidRPr="00D7688F">
              <w:rPr>
                <w:rFonts w:ascii="Arial" w:hAnsi="Arial" w:cs="Arial"/>
                <w:b/>
                <w:sz w:val="22"/>
                <w:szCs w:val="22"/>
              </w:rPr>
              <w:t>.-</w:t>
            </w:r>
            <w:proofErr w:type="gramEnd"/>
            <w:r w:rsidRPr="00D7688F">
              <w:rPr>
                <w:rFonts w:ascii="Arial" w:hAnsi="Arial" w:cs="Arial"/>
                <w:b/>
                <w:sz w:val="22"/>
                <w:szCs w:val="22"/>
              </w:rPr>
              <w:t xml:space="preserve"> Liquidación Objetiva:</w:t>
            </w:r>
            <w:r w:rsidRPr="00D7688F">
              <w:rPr>
                <w:rFonts w:ascii="Arial" w:hAnsi="Arial" w:cs="Arial"/>
                <w:sz w:val="22"/>
                <w:szCs w:val="22"/>
              </w:rPr>
              <w:t xml:space="preserve"> </w:t>
            </w:r>
            <w:r w:rsidR="00702D8D" w:rsidRPr="00D7688F">
              <w:rPr>
                <w:rFonts w:ascii="Arial" w:hAnsi="Arial" w:cs="Arial"/>
                <w:sz w:val="22"/>
                <w:szCs w:val="22"/>
              </w:rPr>
              <w:t xml:space="preserve">Como liquidación objetiva de perjuicios tenemos la suma de </w:t>
            </w:r>
            <w:r w:rsidR="00D7688F" w:rsidRPr="00D7688F">
              <w:rPr>
                <w:rFonts w:ascii="Arial" w:hAnsi="Arial" w:cs="Arial"/>
                <w:sz w:val="22"/>
                <w:szCs w:val="22"/>
              </w:rPr>
              <w:t>$</w:t>
            </w:r>
            <w:r w:rsidR="00D7688F" w:rsidRPr="00D7688F">
              <w:rPr>
                <w:rFonts w:ascii="Arial" w:hAnsi="Arial" w:cs="Arial"/>
                <w:sz w:val="22"/>
                <w:szCs w:val="22"/>
              </w:rPr>
              <w:t xml:space="preserve">59.176.000 </w:t>
            </w:r>
            <w:r w:rsidR="00702D8D" w:rsidRPr="00D7688F">
              <w:rPr>
                <w:rFonts w:ascii="Arial" w:hAnsi="Arial" w:cs="Arial"/>
                <w:sz w:val="22"/>
                <w:szCs w:val="22"/>
              </w:rPr>
              <w:t>M/Cte., a la cual se llegó de la siguiente manera:</w:t>
            </w:r>
          </w:p>
          <w:p w14:paraId="4A15286F" w14:textId="77777777" w:rsidR="00702D8D" w:rsidRPr="00D7688F" w:rsidRDefault="00702D8D" w:rsidP="00D7688F">
            <w:pPr>
              <w:pStyle w:val="NormalWeb"/>
              <w:spacing w:before="0" w:beforeAutospacing="0" w:after="0" w:afterAutospacing="0"/>
              <w:jc w:val="both"/>
              <w:rPr>
                <w:rFonts w:ascii="Arial" w:hAnsi="Arial" w:cs="Arial"/>
                <w:sz w:val="22"/>
                <w:szCs w:val="22"/>
              </w:rPr>
            </w:pPr>
          </w:p>
          <w:p w14:paraId="31B193D9" w14:textId="77777777" w:rsidR="00702D8D" w:rsidRPr="00D7688F" w:rsidRDefault="00702D8D" w:rsidP="00D7688F">
            <w:pPr>
              <w:jc w:val="both"/>
              <w:rPr>
                <w:rFonts w:ascii="Arial" w:hAnsi="Arial" w:cs="Arial"/>
              </w:rPr>
            </w:pPr>
            <w:r w:rsidRPr="00D7688F">
              <w:rPr>
                <w:rFonts w:ascii="Arial" w:hAnsi="Arial" w:cs="Arial"/>
                <w:b/>
              </w:rPr>
              <w:lastRenderedPageBreak/>
              <w:t xml:space="preserve">1.- POR PERJUICIOS MORALES: </w:t>
            </w:r>
            <w:r w:rsidRPr="00D7688F">
              <w:rPr>
                <w:rFonts w:ascii="Arial" w:hAnsi="Arial" w:cs="Arial"/>
              </w:rPr>
              <w:t xml:space="preserve">$429.000.000 M/Cte., o 330 SMMLV., liquidados según el Acta No. 28 de 2014 del Consejo de Estado, mediante la cual se fijan los baremos para la reparación del daño moral en caso de lesiones, y que se discrimina así: </w:t>
            </w:r>
          </w:p>
          <w:p w14:paraId="0481C59A" w14:textId="77777777" w:rsidR="00702D8D" w:rsidRPr="00D7688F" w:rsidRDefault="00702D8D" w:rsidP="00D7688F">
            <w:pPr>
              <w:jc w:val="both"/>
              <w:rPr>
                <w:rFonts w:ascii="Arial" w:hAnsi="Arial" w:cs="Arial"/>
              </w:rPr>
            </w:pPr>
          </w:p>
          <w:p w14:paraId="0186494A" w14:textId="77777777" w:rsidR="00702D8D" w:rsidRPr="00D7688F" w:rsidRDefault="00702D8D" w:rsidP="00D7688F">
            <w:pPr>
              <w:jc w:val="both"/>
              <w:rPr>
                <w:rFonts w:ascii="Arial" w:hAnsi="Arial" w:cs="Arial"/>
              </w:rPr>
            </w:pPr>
            <w:proofErr w:type="gramStart"/>
            <w:r w:rsidRPr="00D7688F">
              <w:rPr>
                <w:rFonts w:ascii="Arial" w:hAnsi="Arial" w:cs="Arial"/>
              </w:rPr>
              <w:t>.-</w:t>
            </w:r>
            <w:proofErr w:type="gramEnd"/>
            <w:r w:rsidRPr="00D7688F">
              <w:rPr>
                <w:rFonts w:ascii="Arial" w:hAnsi="Arial" w:cs="Arial"/>
              </w:rPr>
              <w:t xml:space="preserve"> Robinson León </w:t>
            </w:r>
            <w:proofErr w:type="spellStart"/>
            <w:r w:rsidRPr="00D7688F">
              <w:rPr>
                <w:rFonts w:ascii="Arial" w:hAnsi="Arial" w:cs="Arial"/>
              </w:rPr>
              <w:t>Rengífo</w:t>
            </w:r>
            <w:proofErr w:type="spellEnd"/>
            <w:r w:rsidRPr="00D7688F">
              <w:rPr>
                <w:rFonts w:ascii="Arial" w:hAnsi="Arial" w:cs="Arial"/>
              </w:rPr>
              <w:t xml:space="preserve">-Víctima directa (60 SMMLV); </w:t>
            </w:r>
          </w:p>
          <w:p w14:paraId="17B65308" w14:textId="77777777" w:rsidR="00702D8D" w:rsidRPr="00D7688F" w:rsidRDefault="00702D8D" w:rsidP="00D7688F">
            <w:pPr>
              <w:jc w:val="both"/>
              <w:rPr>
                <w:rFonts w:ascii="Arial" w:hAnsi="Arial" w:cs="Arial"/>
              </w:rPr>
            </w:pPr>
            <w:proofErr w:type="gramStart"/>
            <w:r w:rsidRPr="00D7688F">
              <w:rPr>
                <w:rFonts w:ascii="Arial" w:hAnsi="Arial" w:cs="Arial"/>
              </w:rPr>
              <w:t>.-</w:t>
            </w:r>
            <w:proofErr w:type="gramEnd"/>
            <w:r w:rsidRPr="00D7688F">
              <w:rPr>
                <w:rFonts w:ascii="Arial" w:hAnsi="Arial" w:cs="Arial"/>
              </w:rPr>
              <w:t xml:space="preserve"> Natali María Lopera Zapata-Compañera permanente (60 SMMLV); </w:t>
            </w:r>
          </w:p>
          <w:p w14:paraId="489C27C2" w14:textId="77777777" w:rsidR="00702D8D" w:rsidRPr="00D7688F" w:rsidRDefault="00702D8D" w:rsidP="00D7688F">
            <w:pPr>
              <w:jc w:val="both"/>
              <w:rPr>
                <w:rFonts w:ascii="Arial" w:hAnsi="Arial" w:cs="Arial"/>
              </w:rPr>
            </w:pPr>
            <w:proofErr w:type="gramStart"/>
            <w:r w:rsidRPr="00D7688F">
              <w:rPr>
                <w:rFonts w:ascii="Arial" w:hAnsi="Arial" w:cs="Arial"/>
              </w:rPr>
              <w:t>.-</w:t>
            </w:r>
            <w:proofErr w:type="gramEnd"/>
            <w:r w:rsidRPr="00D7688F">
              <w:rPr>
                <w:rFonts w:ascii="Arial" w:hAnsi="Arial" w:cs="Arial"/>
              </w:rPr>
              <w:t xml:space="preserve"> </w:t>
            </w:r>
            <w:proofErr w:type="spellStart"/>
            <w:r w:rsidRPr="00D7688F">
              <w:rPr>
                <w:rFonts w:ascii="Arial" w:hAnsi="Arial" w:cs="Arial"/>
              </w:rPr>
              <w:t>Denys</w:t>
            </w:r>
            <w:proofErr w:type="spellEnd"/>
            <w:r w:rsidRPr="00D7688F">
              <w:rPr>
                <w:rFonts w:ascii="Arial" w:hAnsi="Arial" w:cs="Arial"/>
              </w:rPr>
              <w:t xml:space="preserve"> Adrián León Lopera-Hijo (60 SMMLV);</w:t>
            </w:r>
          </w:p>
          <w:p w14:paraId="29AE1841" w14:textId="77777777" w:rsidR="00702D8D" w:rsidRPr="00D7688F" w:rsidRDefault="00702D8D" w:rsidP="00D7688F">
            <w:pPr>
              <w:jc w:val="both"/>
              <w:rPr>
                <w:rFonts w:ascii="Arial" w:hAnsi="Arial" w:cs="Arial"/>
              </w:rPr>
            </w:pPr>
            <w:proofErr w:type="gramStart"/>
            <w:r w:rsidRPr="00D7688F">
              <w:rPr>
                <w:rFonts w:ascii="Arial" w:hAnsi="Arial" w:cs="Arial"/>
              </w:rPr>
              <w:t>.-</w:t>
            </w:r>
            <w:proofErr w:type="gramEnd"/>
            <w:r w:rsidRPr="00D7688F">
              <w:rPr>
                <w:rFonts w:ascii="Arial" w:hAnsi="Arial" w:cs="Arial"/>
              </w:rPr>
              <w:t xml:space="preserve"> Brayan </w:t>
            </w:r>
            <w:proofErr w:type="spellStart"/>
            <w:r w:rsidRPr="00D7688F">
              <w:rPr>
                <w:rFonts w:ascii="Arial" w:hAnsi="Arial" w:cs="Arial"/>
              </w:rPr>
              <w:t>Stiven</w:t>
            </w:r>
            <w:proofErr w:type="spellEnd"/>
            <w:r w:rsidRPr="00D7688F">
              <w:rPr>
                <w:rFonts w:ascii="Arial" w:hAnsi="Arial" w:cs="Arial"/>
              </w:rPr>
              <w:t xml:space="preserve"> León Lopera-Hijo (60 SMMLV);</w:t>
            </w:r>
          </w:p>
          <w:p w14:paraId="16E53E72" w14:textId="77777777" w:rsidR="00702D8D" w:rsidRPr="00D7688F" w:rsidRDefault="00702D8D" w:rsidP="00D7688F">
            <w:pPr>
              <w:jc w:val="both"/>
              <w:rPr>
                <w:rFonts w:ascii="Arial" w:hAnsi="Arial" w:cs="Arial"/>
              </w:rPr>
            </w:pPr>
            <w:proofErr w:type="gramStart"/>
            <w:r w:rsidRPr="00D7688F">
              <w:rPr>
                <w:rFonts w:ascii="Arial" w:hAnsi="Arial" w:cs="Arial"/>
              </w:rPr>
              <w:t>.-</w:t>
            </w:r>
            <w:proofErr w:type="gramEnd"/>
            <w:r w:rsidRPr="00D7688F">
              <w:rPr>
                <w:rFonts w:ascii="Arial" w:hAnsi="Arial" w:cs="Arial"/>
              </w:rPr>
              <w:t xml:space="preserve"> Jesús Hernán León </w:t>
            </w:r>
            <w:proofErr w:type="spellStart"/>
            <w:r w:rsidRPr="00D7688F">
              <w:rPr>
                <w:rFonts w:ascii="Arial" w:hAnsi="Arial" w:cs="Arial"/>
              </w:rPr>
              <w:t>Benalcazar</w:t>
            </w:r>
            <w:proofErr w:type="spellEnd"/>
            <w:r w:rsidRPr="00D7688F">
              <w:rPr>
                <w:rFonts w:ascii="Arial" w:hAnsi="Arial" w:cs="Arial"/>
              </w:rPr>
              <w:t>-Padre (60 SMMLV);</w:t>
            </w:r>
          </w:p>
          <w:p w14:paraId="7399642B" w14:textId="77777777" w:rsidR="00702D8D" w:rsidRPr="00D7688F" w:rsidRDefault="00702D8D" w:rsidP="00D7688F">
            <w:pPr>
              <w:jc w:val="both"/>
              <w:rPr>
                <w:rFonts w:ascii="Arial" w:hAnsi="Arial" w:cs="Arial"/>
              </w:rPr>
            </w:pPr>
            <w:proofErr w:type="gramStart"/>
            <w:r w:rsidRPr="00D7688F">
              <w:rPr>
                <w:rFonts w:ascii="Arial" w:hAnsi="Arial" w:cs="Arial"/>
              </w:rPr>
              <w:t>.-</w:t>
            </w:r>
            <w:proofErr w:type="gramEnd"/>
            <w:r w:rsidRPr="00D7688F">
              <w:rPr>
                <w:rFonts w:ascii="Arial" w:hAnsi="Arial" w:cs="Arial"/>
              </w:rPr>
              <w:t xml:space="preserve"> Alexander León </w:t>
            </w:r>
            <w:proofErr w:type="spellStart"/>
            <w:r w:rsidRPr="00D7688F">
              <w:rPr>
                <w:rFonts w:ascii="Arial" w:hAnsi="Arial" w:cs="Arial"/>
              </w:rPr>
              <w:t>Rengífo</w:t>
            </w:r>
            <w:proofErr w:type="spellEnd"/>
            <w:r w:rsidRPr="00D7688F">
              <w:rPr>
                <w:rFonts w:ascii="Arial" w:hAnsi="Arial" w:cs="Arial"/>
              </w:rPr>
              <w:t>-Hermano (30 SMMLV);</w:t>
            </w:r>
          </w:p>
          <w:p w14:paraId="5EA4ADC5" w14:textId="77777777" w:rsidR="00702D8D" w:rsidRPr="00D7688F" w:rsidRDefault="00702D8D" w:rsidP="00D7688F">
            <w:pPr>
              <w:jc w:val="both"/>
              <w:rPr>
                <w:rFonts w:ascii="Arial" w:hAnsi="Arial" w:cs="Arial"/>
              </w:rPr>
            </w:pPr>
          </w:p>
          <w:p w14:paraId="6EAB4AFC" w14:textId="77777777" w:rsidR="00702D8D" w:rsidRPr="00D7688F" w:rsidRDefault="00702D8D" w:rsidP="00D7688F">
            <w:pPr>
              <w:jc w:val="both"/>
              <w:rPr>
                <w:rFonts w:ascii="Arial" w:hAnsi="Arial" w:cs="Arial"/>
              </w:rPr>
            </w:pPr>
            <w:r w:rsidRPr="00D7688F">
              <w:rPr>
                <w:rFonts w:ascii="Arial" w:hAnsi="Arial" w:cs="Arial"/>
              </w:rPr>
              <w:t>De conformidad con la jurisprudencia unificada del Consejo de Estado, en casos donde el daño demandado sea por lesiones personales, deberá verificarse la gravedad o levedad de la lesión causada a la víctima directa, la que determinará el monto indemnizatorio en salarios mínimos. Para las víctimas indirectas se asignará un porcentaje de acuerdo con el nivel de relación en que éstas se hallen respecto del lesionado. Para el caso que nos atañe, se encuentra acreditada la gravedad de la lesión porque se cuenta con dictamen PCL, el que conceptúa la pérdida de capacidad laboral en 37.5%, mismo que por provenir de un particular será objeto de su sustentación, ratificación y contradicción en audiencia de pruebas.</w:t>
            </w:r>
          </w:p>
          <w:p w14:paraId="3C689F61" w14:textId="77777777" w:rsidR="00702D8D" w:rsidRPr="00D7688F" w:rsidRDefault="00702D8D" w:rsidP="00D7688F">
            <w:pPr>
              <w:jc w:val="both"/>
              <w:rPr>
                <w:rFonts w:ascii="Arial" w:hAnsi="Arial" w:cs="Arial"/>
                <w:b/>
              </w:rPr>
            </w:pPr>
          </w:p>
          <w:p w14:paraId="14B73391" w14:textId="0C3EE8C5" w:rsidR="00702D8D" w:rsidRPr="00D7688F" w:rsidRDefault="00702D8D" w:rsidP="00D7688F">
            <w:pPr>
              <w:jc w:val="both"/>
              <w:rPr>
                <w:rFonts w:ascii="Arial" w:hAnsi="Arial" w:cs="Arial"/>
              </w:rPr>
            </w:pPr>
            <w:r w:rsidRPr="00D7688F">
              <w:rPr>
                <w:rFonts w:ascii="Arial" w:hAnsi="Arial" w:cs="Arial"/>
                <w:b/>
              </w:rPr>
              <w:t xml:space="preserve">2.- POR LUCRO CESANTE CONSOLIDADO Y FUTURO: </w:t>
            </w:r>
            <w:r w:rsidRPr="00D7688F">
              <w:rPr>
                <w:rFonts w:ascii="Arial" w:hAnsi="Arial" w:cs="Arial"/>
              </w:rPr>
              <w:t>65.2 SMMLV o $84.7</w:t>
            </w:r>
            <w:r w:rsidR="00D7688F" w:rsidRPr="00D7688F">
              <w:rPr>
                <w:rFonts w:ascii="Arial" w:hAnsi="Arial" w:cs="Arial"/>
              </w:rPr>
              <w:t>60</w:t>
            </w:r>
            <w:r w:rsidRPr="00D7688F">
              <w:rPr>
                <w:rFonts w:ascii="Arial" w:hAnsi="Arial" w:cs="Arial"/>
              </w:rPr>
              <w:t>.</w:t>
            </w:r>
            <w:r w:rsidR="00D7688F" w:rsidRPr="00D7688F">
              <w:rPr>
                <w:rFonts w:ascii="Arial" w:hAnsi="Arial" w:cs="Arial"/>
              </w:rPr>
              <w:t>000</w:t>
            </w:r>
            <w:r w:rsidRPr="00D7688F">
              <w:rPr>
                <w:rFonts w:ascii="Arial" w:hAnsi="Arial" w:cs="Arial"/>
              </w:rPr>
              <w:t xml:space="preserve"> M/Cte., esto con ocasión a que el demandante aporta una documental denominada “Certificación de ingresos”, expedida por la profesional en contaduría </w:t>
            </w:r>
            <w:proofErr w:type="spellStart"/>
            <w:r w:rsidRPr="00D7688F">
              <w:rPr>
                <w:rFonts w:ascii="Arial" w:hAnsi="Arial" w:cs="Arial"/>
              </w:rPr>
              <w:t>Laurentina</w:t>
            </w:r>
            <w:proofErr w:type="spellEnd"/>
            <w:r w:rsidRPr="00D7688F">
              <w:rPr>
                <w:rFonts w:ascii="Arial" w:hAnsi="Arial" w:cs="Arial"/>
              </w:rPr>
              <w:t xml:space="preserve"> Arboleda Padilla, la cual acompaña con copia de la tarjeta profesional de la Contadora en mención, que soporta que el actor devengaba $1.500.000 M/Cte., para el año 2019, además de dictamen PCL por 37.5%. Es preciso recalcar </w:t>
            </w:r>
            <w:proofErr w:type="gramStart"/>
            <w:r w:rsidRPr="00D7688F">
              <w:rPr>
                <w:rFonts w:ascii="Arial" w:hAnsi="Arial" w:cs="Arial"/>
              </w:rPr>
              <w:t>que</w:t>
            </w:r>
            <w:proofErr w:type="gramEnd"/>
            <w:r w:rsidRPr="00D7688F">
              <w:rPr>
                <w:rFonts w:ascii="Arial" w:hAnsi="Arial" w:cs="Arial"/>
              </w:rPr>
              <w:t xml:space="preserve"> si bien los documentos por si solos no son prueba plena para demostrar el perjuicio, los mismos se presumen auténticos y por el momento provienen de profesionales idóneas en la materia para certificar su contenido, por lo que para desacreditar lo allí consignado nos valdremos de la solicitud de su sustentación, ratificación y contradicción. Es por la razón que antecede y de manera provisional que se fija para esta liquidación el valor de notas, aceptando la liquidación presentada con la demanda por ser menor a la elaborada por la firma, la cual puede variar dependiendo de las resultas de la audiencia de pruebas.</w:t>
            </w:r>
          </w:p>
          <w:p w14:paraId="534207A8" w14:textId="77777777" w:rsidR="00702D8D" w:rsidRPr="00D7688F" w:rsidRDefault="00702D8D" w:rsidP="00D7688F">
            <w:pPr>
              <w:jc w:val="both"/>
              <w:rPr>
                <w:rFonts w:ascii="Arial" w:hAnsi="Arial" w:cs="Arial"/>
              </w:rPr>
            </w:pPr>
          </w:p>
          <w:p w14:paraId="272CAAE6" w14:textId="77777777" w:rsidR="00702D8D" w:rsidRPr="00D7688F" w:rsidRDefault="00702D8D" w:rsidP="00D7688F">
            <w:pPr>
              <w:jc w:val="both"/>
              <w:rPr>
                <w:rFonts w:ascii="Arial" w:hAnsi="Arial" w:cs="Arial"/>
                <w:lang w:val="es-ES_tradnl"/>
              </w:rPr>
            </w:pPr>
            <w:r w:rsidRPr="00D7688F">
              <w:rPr>
                <w:rFonts w:ascii="Arial" w:hAnsi="Arial" w:cs="Arial"/>
                <w:b/>
              </w:rPr>
              <w:t xml:space="preserve">3.- POR DAÑO A LA SALUD: </w:t>
            </w:r>
            <w:r w:rsidRPr="00D7688F">
              <w:rPr>
                <w:rFonts w:ascii="Arial" w:hAnsi="Arial" w:cs="Arial"/>
                <w:lang w:val="es-ES_tradnl"/>
              </w:rPr>
              <w:t xml:space="preserve">60 SMMLV., o $78.000.000 M/Cte. Se reconoce únicamente para la víctima directa, pues </w:t>
            </w:r>
            <w:r w:rsidRPr="00D7688F">
              <w:rPr>
                <w:rFonts w:ascii="Arial" w:hAnsi="Arial" w:cs="Arial"/>
                <w:lang w:val="es-ES_tradnl"/>
              </w:rPr>
              <w:lastRenderedPageBreak/>
              <w:t>de conformidad al PCL de 37.5%, la gravedad de la lesión es moderada, lo que permite tasar el perjuicio por 60 SMMLV.</w:t>
            </w:r>
          </w:p>
          <w:p w14:paraId="77A4FE7C" w14:textId="77777777" w:rsidR="00702D8D" w:rsidRPr="00D7688F" w:rsidRDefault="00702D8D" w:rsidP="00D7688F">
            <w:pPr>
              <w:jc w:val="both"/>
              <w:rPr>
                <w:rFonts w:ascii="Arial" w:hAnsi="Arial" w:cs="Arial"/>
              </w:rPr>
            </w:pPr>
          </w:p>
          <w:p w14:paraId="0FC3DF73" w14:textId="77777777" w:rsidR="00702D8D" w:rsidRPr="00D7688F" w:rsidRDefault="00702D8D" w:rsidP="00D7688F">
            <w:pPr>
              <w:jc w:val="both"/>
              <w:rPr>
                <w:rFonts w:ascii="Arial" w:hAnsi="Arial" w:cs="Arial"/>
              </w:rPr>
            </w:pPr>
            <w:r w:rsidRPr="00D7688F">
              <w:rPr>
                <w:rFonts w:ascii="Arial" w:hAnsi="Arial" w:cs="Arial"/>
                <w:b/>
              </w:rPr>
              <w:t xml:space="preserve">4.- DEDUCIBLE: </w:t>
            </w:r>
            <w:r w:rsidRPr="00D7688F">
              <w:rPr>
                <w:rFonts w:ascii="Arial" w:hAnsi="Arial" w:cs="Arial"/>
              </w:rPr>
              <w:t>No pactado.</w:t>
            </w:r>
          </w:p>
          <w:p w14:paraId="685FF0C1" w14:textId="77777777" w:rsidR="00702D8D" w:rsidRPr="00D7688F" w:rsidRDefault="00702D8D" w:rsidP="00D7688F">
            <w:pPr>
              <w:jc w:val="both"/>
              <w:rPr>
                <w:rFonts w:ascii="Arial" w:hAnsi="Arial" w:cs="Arial"/>
              </w:rPr>
            </w:pPr>
          </w:p>
          <w:p w14:paraId="43A3FBDF" w14:textId="77777777" w:rsidR="00702D8D" w:rsidRPr="00D7688F" w:rsidRDefault="00702D8D" w:rsidP="00D7688F">
            <w:pPr>
              <w:jc w:val="both"/>
              <w:rPr>
                <w:rFonts w:ascii="Arial" w:hAnsi="Arial" w:cs="Arial"/>
              </w:rPr>
            </w:pPr>
            <w:r w:rsidRPr="00D7688F">
              <w:rPr>
                <w:rFonts w:ascii="Arial" w:hAnsi="Arial" w:cs="Arial"/>
                <w:b/>
              </w:rPr>
              <w:t xml:space="preserve">5.- COASEGURO: </w:t>
            </w:r>
            <w:r w:rsidRPr="00D7688F">
              <w:rPr>
                <w:rFonts w:ascii="Arial" w:hAnsi="Arial" w:cs="Arial"/>
              </w:rPr>
              <w:t>Se pactó en los siguientes porcentajes:</w:t>
            </w:r>
          </w:p>
          <w:p w14:paraId="0502791A" w14:textId="77777777" w:rsidR="00702D8D" w:rsidRPr="00D7688F" w:rsidRDefault="00702D8D" w:rsidP="00D7688F">
            <w:pPr>
              <w:jc w:val="both"/>
              <w:rPr>
                <w:rFonts w:ascii="Arial" w:hAnsi="Arial" w:cs="Arial"/>
              </w:rPr>
            </w:pPr>
          </w:p>
          <w:p w14:paraId="4AEC7AD0" w14:textId="77777777" w:rsidR="00702D8D" w:rsidRPr="00D7688F" w:rsidRDefault="00702D8D" w:rsidP="00D7688F">
            <w:pPr>
              <w:jc w:val="both"/>
              <w:rPr>
                <w:rFonts w:ascii="Arial" w:hAnsi="Arial" w:cs="Arial"/>
              </w:rPr>
            </w:pPr>
            <w:proofErr w:type="gramStart"/>
            <w:r w:rsidRPr="00D7688F">
              <w:rPr>
                <w:rFonts w:ascii="Arial" w:hAnsi="Arial" w:cs="Arial"/>
              </w:rPr>
              <w:t>.-</w:t>
            </w:r>
            <w:proofErr w:type="gramEnd"/>
            <w:r w:rsidRPr="00D7688F">
              <w:rPr>
                <w:rFonts w:ascii="Arial" w:hAnsi="Arial" w:cs="Arial"/>
              </w:rPr>
              <w:t xml:space="preserve"> Solidaria-Líder: 32%</w:t>
            </w:r>
          </w:p>
          <w:p w14:paraId="6D306962" w14:textId="77777777" w:rsidR="00702D8D" w:rsidRPr="00D7688F" w:rsidRDefault="00702D8D" w:rsidP="00D7688F">
            <w:pPr>
              <w:jc w:val="both"/>
              <w:rPr>
                <w:rFonts w:ascii="Arial" w:hAnsi="Arial" w:cs="Arial"/>
              </w:rPr>
            </w:pPr>
            <w:proofErr w:type="gramStart"/>
            <w:r w:rsidRPr="00D7688F">
              <w:rPr>
                <w:rFonts w:ascii="Arial" w:hAnsi="Arial" w:cs="Arial"/>
              </w:rPr>
              <w:t>.-</w:t>
            </w:r>
            <w:proofErr w:type="gramEnd"/>
            <w:r w:rsidRPr="00D7688F">
              <w:rPr>
                <w:rFonts w:ascii="Arial" w:hAnsi="Arial" w:cs="Arial"/>
              </w:rPr>
              <w:t xml:space="preserve"> Chubb Seguros S.A.: 28%</w:t>
            </w:r>
          </w:p>
          <w:p w14:paraId="7547BD0C" w14:textId="77777777" w:rsidR="00702D8D" w:rsidRPr="00D7688F" w:rsidRDefault="00702D8D" w:rsidP="00D7688F">
            <w:pPr>
              <w:jc w:val="both"/>
              <w:rPr>
                <w:rFonts w:ascii="Arial" w:hAnsi="Arial" w:cs="Arial"/>
              </w:rPr>
            </w:pPr>
            <w:proofErr w:type="gramStart"/>
            <w:r w:rsidRPr="00D7688F">
              <w:rPr>
                <w:rFonts w:ascii="Arial" w:hAnsi="Arial" w:cs="Arial"/>
              </w:rPr>
              <w:t>.-</w:t>
            </w:r>
            <w:proofErr w:type="gramEnd"/>
            <w:r w:rsidRPr="00D7688F">
              <w:rPr>
                <w:rFonts w:ascii="Arial" w:hAnsi="Arial" w:cs="Arial"/>
              </w:rPr>
              <w:t xml:space="preserve"> SBS Seguro S.A.: 20%</w:t>
            </w:r>
          </w:p>
          <w:p w14:paraId="5C2C7DA7" w14:textId="77777777" w:rsidR="00702D8D" w:rsidRPr="00D7688F" w:rsidRDefault="00702D8D" w:rsidP="00D7688F">
            <w:pPr>
              <w:jc w:val="both"/>
              <w:rPr>
                <w:rFonts w:ascii="Arial" w:hAnsi="Arial" w:cs="Arial"/>
              </w:rPr>
            </w:pPr>
            <w:proofErr w:type="gramStart"/>
            <w:r w:rsidRPr="00D7688F">
              <w:rPr>
                <w:rFonts w:ascii="Arial" w:hAnsi="Arial" w:cs="Arial"/>
              </w:rPr>
              <w:t>.-</w:t>
            </w:r>
            <w:proofErr w:type="gramEnd"/>
            <w:r w:rsidRPr="00D7688F">
              <w:rPr>
                <w:rFonts w:ascii="Arial" w:hAnsi="Arial" w:cs="Arial"/>
              </w:rPr>
              <w:t xml:space="preserve"> Axa Colpatria S.A.: 10%</w:t>
            </w:r>
          </w:p>
          <w:p w14:paraId="31DD5918" w14:textId="77777777" w:rsidR="00702D8D" w:rsidRPr="00D7688F" w:rsidRDefault="00702D8D" w:rsidP="00D7688F">
            <w:pPr>
              <w:jc w:val="both"/>
              <w:rPr>
                <w:rFonts w:ascii="Arial" w:hAnsi="Arial" w:cs="Arial"/>
              </w:rPr>
            </w:pPr>
            <w:proofErr w:type="gramStart"/>
            <w:r w:rsidRPr="00D7688F">
              <w:rPr>
                <w:rFonts w:ascii="Arial" w:hAnsi="Arial" w:cs="Arial"/>
              </w:rPr>
              <w:t>.-</w:t>
            </w:r>
            <w:proofErr w:type="gramEnd"/>
            <w:r w:rsidRPr="00D7688F">
              <w:rPr>
                <w:rFonts w:ascii="Arial" w:hAnsi="Arial" w:cs="Arial"/>
              </w:rPr>
              <w:t xml:space="preserve"> HDI Seguros S.A.: 10%</w:t>
            </w:r>
          </w:p>
          <w:p w14:paraId="13AFB700" w14:textId="77777777" w:rsidR="00702D8D" w:rsidRPr="00D7688F" w:rsidRDefault="00702D8D" w:rsidP="00D7688F">
            <w:pPr>
              <w:jc w:val="both"/>
              <w:rPr>
                <w:rFonts w:ascii="Arial" w:hAnsi="Arial" w:cs="Arial"/>
              </w:rPr>
            </w:pPr>
          </w:p>
          <w:p w14:paraId="570C4733" w14:textId="50DDF633" w:rsidR="00702D8D" w:rsidRPr="00D7688F" w:rsidRDefault="00702D8D" w:rsidP="00D7688F">
            <w:pPr>
              <w:jc w:val="both"/>
              <w:rPr>
                <w:rFonts w:ascii="Arial" w:hAnsi="Arial" w:cs="Arial"/>
              </w:rPr>
            </w:pPr>
            <w:r w:rsidRPr="00D7688F">
              <w:rPr>
                <w:rFonts w:ascii="Arial" w:hAnsi="Arial" w:cs="Arial"/>
                <w:b/>
              </w:rPr>
              <w:t xml:space="preserve">SUBTOTAL: </w:t>
            </w:r>
            <w:r w:rsidRPr="00D7688F">
              <w:rPr>
                <w:rFonts w:ascii="Arial" w:hAnsi="Arial" w:cs="Arial"/>
              </w:rPr>
              <w:t>$591.7</w:t>
            </w:r>
            <w:r w:rsidR="00D7688F" w:rsidRPr="00D7688F">
              <w:rPr>
                <w:rFonts w:ascii="Arial" w:hAnsi="Arial" w:cs="Arial"/>
              </w:rPr>
              <w:t>60</w:t>
            </w:r>
            <w:r w:rsidRPr="00D7688F">
              <w:rPr>
                <w:rFonts w:ascii="Arial" w:hAnsi="Arial" w:cs="Arial"/>
              </w:rPr>
              <w:t>.</w:t>
            </w:r>
            <w:r w:rsidR="00D7688F" w:rsidRPr="00D7688F">
              <w:rPr>
                <w:rFonts w:ascii="Arial" w:hAnsi="Arial" w:cs="Arial"/>
              </w:rPr>
              <w:t>000</w:t>
            </w:r>
            <w:r w:rsidRPr="00D7688F">
              <w:rPr>
                <w:rFonts w:ascii="Arial" w:hAnsi="Arial" w:cs="Arial"/>
              </w:rPr>
              <w:t xml:space="preserve"> M/Cte., valor al que se debe sustraer el porcentaje de coaseguro, que para </w:t>
            </w:r>
            <w:r w:rsidR="00FF6B4A" w:rsidRPr="00D7688F">
              <w:rPr>
                <w:rFonts w:ascii="Arial" w:hAnsi="Arial" w:cs="Arial"/>
              </w:rPr>
              <w:t>HDI es del 10</w:t>
            </w:r>
            <w:r w:rsidRPr="00D7688F">
              <w:rPr>
                <w:rFonts w:ascii="Arial" w:hAnsi="Arial" w:cs="Arial"/>
              </w:rPr>
              <w:t>%, para un valor a cargo en</w:t>
            </w:r>
            <w:r w:rsidR="00FF6B4A" w:rsidRPr="00D7688F">
              <w:rPr>
                <w:rFonts w:ascii="Arial" w:hAnsi="Arial" w:cs="Arial"/>
              </w:rPr>
              <w:t xml:space="preserve"> caso de condena de $59.17</w:t>
            </w:r>
            <w:r w:rsidR="00D7688F" w:rsidRPr="00D7688F">
              <w:rPr>
                <w:rFonts w:ascii="Arial" w:hAnsi="Arial" w:cs="Arial"/>
              </w:rPr>
              <w:t>6</w:t>
            </w:r>
            <w:r w:rsidR="00FF6B4A" w:rsidRPr="00D7688F">
              <w:rPr>
                <w:rFonts w:ascii="Arial" w:hAnsi="Arial" w:cs="Arial"/>
              </w:rPr>
              <w:t>.</w:t>
            </w:r>
            <w:r w:rsidR="00D7688F" w:rsidRPr="00D7688F">
              <w:rPr>
                <w:rFonts w:ascii="Arial" w:hAnsi="Arial" w:cs="Arial"/>
              </w:rPr>
              <w:t>000</w:t>
            </w:r>
            <w:r w:rsidRPr="00D7688F">
              <w:rPr>
                <w:rFonts w:ascii="Arial" w:hAnsi="Arial" w:cs="Arial"/>
              </w:rPr>
              <w:t xml:space="preserve"> M/Cte.</w:t>
            </w:r>
          </w:p>
          <w:p w14:paraId="0D146551" w14:textId="77777777" w:rsidR="00702D8D" w:rsidRPr="00D7688F" w:rsidRDefault="00702D8D" w:rsidP="00D7688F">
            <w:pPr>
              <w:jc w:val="both"/>
              <w:rPr>
                <w:rFonts w:ascii="Arial" w:hAnsi="Arial" w:cs="Arial"/>
              </w:rPr>
            </w:pPr>
          </w:p>
          <w:p w14:paraId="055673A2" w14:textId="1FF6FC85" w:rsidR="00C5003E" w:rsidRPr="00D7688F" w:rsidRDefault="00702D8D" w:rsidP="00D7688F">
            <w:pPr>
              <w:jc w:val="both"/>
              <w:rPr>
                <w:rFonts w:ascii="Arial" w:hAnsi="Arial" w:cs="Arial"/>
              </w:rPr>
            </w:pPr>
            <w:proofErr w:type="gramStart"/>
            <w:r w:rsidRPr="00D7688F">
              <w:rPr>
                <w:rFonts w:ascii="Arial" w:hAnsi="Arial" w:cs="Arial"/>
                <w:b/>
              </w:rPr>
              <w:t>.-</w:t>
            </w:r>
            <w:proofErr w:type="gramEnd"/>
            <w:r w:rsidRPr="00D7688F">
              <w:rPr>
                <w:rFonts w:ascii="Arial" w:hAnsi="Arial" w:cs="Arial"/>
                <w:b/>
              </w:rPr>
              <w:t xml:space="preserve"> VALORACIÓN CONTINGENCIA: </w:t>
            </w:r>
            <w:r w:rsidR="00D7688F" w:rsidRPr="00D7688F">
              <w:rPr>
                <w:rFonts w:ascii="Arial" w:hAnsi="Arial" w:cs="Arial"/>
              </w:rPr>
              <w:t xml:space="preserve">$59.176.000 </w:t>
            </w:r>
          </w:p>
        </w:tc>
      </w:tr>
      <w:tr w:rsidR="00D7688F" w:rsidRPr="00D7688F" w14:paraId="1065B277" w14:textId="77777777" w:rsidTr="002B6BA8">
        <w:trPr>
          <w:trHeight w:val="737"/>
        </w:trPr>
        <w:tc>
          <w:tcPr>
            <w:tcW w:w="2547" w:type="dxa"/>
          </w:tcPr>
          <w:p w14:paraId="46517AD7" w14:textId="77777777" w:rsidR="00C5003E" w:rsidRPr="00D7688F" w:rsidRDefault="00C5003E" w:rsidP="00D7688F">
            <w:pPr>
              <w:jc w:val="both"/>
              <w:rPr>
                <w:rFonts w:ascii="Arial" w:hAnsi="Arial" w:cs="Arial"/>
                <w:b/>
                <w:lang w:val="es-ES"/>
              </w:rPr>
            </w:pPr>
            <w:r w:rsidRPr="00D7688F">
              <w:rPr>
                <w:rFonts w:ascii="Arial" w:hAnsi="Arial" w:cs="Arial"/>
                <w:b/>
                <w:lang w:val="es-ES"/>
              </w:rPr>
              <w:lastRenderedPageBreak/>
              <w:t xml:space="preserve">Calificación de la contingencia </w:t>
            </w:r>
          </w:p>
        </w:tc>
        <w:tc>
          <w:tcPr>
            <w:tcW w:w="6281" w:type="dxa"/>
          </w:tcPr>
          <w:p w14:paraId="38139ACA" w14:textId="77777777" w:rsidR="009E26AD" w:rsidRPr="00D7688F" w:rsidRDefault="009E26AD" w:rsidP="00D7688F">
            <w:pPr>
              <w:jc w:val="both"/>
              <w:rPr>
                <w:rFonts w:ascii="Arial" w:hAnsi="Arial" w:cs="Arial"/>
              </w:rPr>
            </w:pPr>
            <w:r w:rsidRPr="00D7688F">
              <w:rPr>
                <w:rFonts w:ascii="Arial" w:hAnsi="Arial" w:cs="Arial"/>
              </w:rPr>
              <w:t>La contingencia se califica como REMOTA, pese a que la póliza presta cobertura temporal y material, no se demuestra el daño antijurídico ni la falla en el servicio.</w:t>
            </w:r>
          </w:p>
          <w:p w14:paraId="6326115F" w14:textId="77777777" w:rsidR="009E26AD" w:rsidRPr="00D7688F" w:rsidRDefault="009E26AD" w:rsidP="00D7688F">
            <w:pPr>
              <w:jc w:val="both"/>
              <w:rPr>
                <w:rFonts w:ascii="Arial" w:hAnsi="Arial" w:cs="Arial"/>
              </w:rPr>
            </w:pPr>
          </w:p>
          <w:p w14:paraId="4675491F" w14:textId="178DCDD8" w:rsidR="009E26AD" w:rsidRPr="00D7688F" w:rsidRDefault="009E26AD" w:rsidP="00D7688F">
            <w:pPr>
              <w:jc w:val="both"/>
              <w:rPr>
                <w:rFonts w:ascii="Arial" w:hAnsi="Arial" w:cs="Arial"/>
                <w:iCs/>
              </w:rPr>
            </w:pPr>
            <w:r w:rsidRPr="00D7688F">
              <w:rPr>
                <w:rFonts w:ascii="Arial" w:hAnsi="Arial" w:cs="Arial"/>
              </w:rPr>
              <w:t xml:space="preserve">Lo primero que debe tomarse en consideración, es que la póliza </w:t>
            </w:r>
            <w:r w:rsidRPr="00D7688F">
              <w:rPr>
                <w:rFonts w:ascii="Arial" w:hAnsi="Arial" w:cs="Arial"/>
                <w:lang w:val="es-ES"/>
              </w:rPr>
              <w:t xml:space="preserve">RCE No. </w:t>
            </w:r>
            <w:r w:rsidR="004754F3" w:rsidRPr="00D7688F">
              <w:rPr>
                <w:rFonts w:ascii="Arial" w:hAnsi="Arial" w:cs="Arial"/>
                <w:bCs/>
              </w:rPr>
              <w:t>420-80-994000000181 anexo 0</w:t>
            </w:r>
            <w:r w:rsidRPr="00D7688F">
              <w:rPr>
                <w:rFonts w:ascii="Arial" w:hAnsi="Arial" w:cs="Arial"/>
              </w:rPr>
              <w:t xml:space="preserve">, en la cual participa como coaseguradora </w:t>
            </w:r>
            <w:r w:rsidR="004754F3" w:rsidRPr="00D7688F">
              <w:rPr>
                <w:rFonts w:ascii="Arial" w:hAnsi="Arial" w:cs="Arial"/>
              </w:rPr>
              <w:t>HDI Seguros</w:t>
            </w:r>
            <w:r w:rsidRPr="00D7688F">
              <w:rPr>
                <w:rFonts w:ascii="Arial" w:hAnsi="Arial" w:cs="Arial"/>
              </w:rPr>
              <w:t xml:space="preserve"> S.A., cuyo tomador y por tanto asegurado es el Distrito de Cali, presta cobertura temporal y material. Frente a la cobertura temporal, debe decirse que la póliza opera bajo la modalidad de “ocurrencia”. Así, el hecho demandado se produjo el 7-03-2021 –accidente de tránsito volcamiento por hueco en la vía- encontrándose dentro del periodo de vigencia del anexo 0, que está comprendido entre el 23-06-2020 y el 19-05-2021. Sobre la cobertura material, la póliza ampara los </w:t>
            </w:r>
            <w:r w:rsidRPr="00D7688F">
              <w:rPr>
                <w:rFonts w:ascii="Arial" w:hAnsi="Arial" w:cs="Arial"/>
                <w:iCs/>
              </w:rPr>
              <w:t>perjuicios patrimoniales y extra patrimoniales incluyendo los perjuicios morales y de vida en relación y el lucro cesante, que cause a terceros el asegurado, con motivo de la responsabilidad civil en que incurra o le sea imputable de acuerdo con la Ley colombiana, durante el giro normal de sus actividades,</w:t>
            </w:r>
            <w:r w:rsidRPr="00D7688F">
              <w:rPr>
                <w:rFonts w:ascii="Arial" w:hAnsi="Arial" w:cs="Arial"/>
              </w:rPr>
              <w:t xml:space="preserve"> amparando predios, labores y operaciones, objeto que se circunscribe a lo reclamado por las demandantes, ya que el accidente se produjo en las vías urbanas del Distrito de Cali.</w:t>
            </w:r>
          </w:p>
          <w:p w14:paraId="1C82FB69" w14:textId="77777777" w:rsidR="009E26AD" w:rsidRPr="00D7688F" w:rsidRDefault="009E26AD" w:rsidP="00D7688F">
            <w:pPr>
              <w:jc w:val="both"/>
              <w:rPr>
                <w:rFonts w:ascii="Arial" w:hAnsi="Arial" w:cs="Arial"/>
              </w:rPr>
            </w:pPr>
          </w:p>
          <w:p w14:paraId="3EE27315" w14:textId="0C37FBF9" w:rsidR="00C5003E" w:rsidRPr="00D7688F" w:rsidRDefault="009E26AD" w:rsidP="00D7688F">
            <w:pPr>
              <w:jc w:val="both"/>
              <w:rPr>
                <w:rFonts w:ascii="Arial" w:hAnsi="Arial" w:cs="Arial"/>
              </w:rPr>
            </w:pPr>
            <w:r w:rsidRPr="00D7688F">
              <w:rPr>
                <w:rFonts w:ascii="Arial" w:hAnsi="Arial" w:cs="Arial"/>
              </w:rPr>
              <w:t xml:space="preserve">Finalmente, la responsabilidad del asegurado no se encuentra comprometida, pues la demandante no logra probar la injerencia del Distrito de Cali en la producción del hecho dañoso, el cual se circunscribe a un accidente de tránsito en vía pública por un hueco en la vía sin señalización que provocó el volcamiento del actor desde su vehículo tipo motocicleta, pues este no logra acreditar las circunstancias de tiempo, modo y lugar preciso de los hechos, ya que no existe un IPAT, </w:t>
            </w:r>
            <w:r w:rsidRPr="00D7688F">
              <w:rPr>
                <w:rFonts w:ascii="Arial" w:hAnsi="Arial" w:cs="Arial"/>
              </w:rPr>
              <w:lastRenderedPageBreak/>
              <w:t>un informe por cuerpo de bomberos o de la Cruz Roja, ni similar que permita inferir lo aseverado por la demandante, quien pretende valerse de la historia clínica y un concepto técnico por perito en accidentes de tránsito elaborado a más de 5 meses del supuesto hecho, que a la postre no resultan determinantes para probar la responsabilidad de la pasiva. Aunado a lo mencionado, en favor de los intereses de la demandada, se hace posible la configuración de la culpa exclusiva de la víctima por desatender el deber objetivo de cuidado al desplegar una actividad peligrosa como la conducción de motocicleta sin las debidas precauciones. Es decir, no se acreditan los elementos mínimos estructurales de la falla del servicio. Lo anterior sin perjuicio del carácter contingente del proceso.</w:t>
            </w:r>
          </w:p>
        </w:tc>
      </w:tr>
      <w:tr w:rsidR="00D7688F" w:rsidRPr="00D7688F" w14:paraId="6F8835CD" w14:textId="77777777" w:rsidTr="002B6BA8">
        <w:trPr>
          <w:trHeight w:val="696"/>
        </w:trPr>
        <w:tc>
          <w:tcPr>
            <w:tcW w:w="2547" w:type="dxa"/>
          </w:tcPr>
          <w:p w14:paraId="287C3DCC" w14:textId="77777777" w:rsidR="00C5003E" w:rsidRPr="00D7688F" w:rsidRDefault="00C5003E" w:rsidP="00D7688F">
            <w:pPr>
              <w:jc w:val="both"/>
              <w:rPr>
                <w:rFonts w:ascii="Arial" w:hAnsi="Arial" w:cs="Arial"/>
                <w:b/>
                <w:lang w:val="es-ES"/>
              </w:rPr>
            </w:pPr>
            <w:r w:rsidRPr="00D7688F">
              <w:rPr>
                <w:rFonts w:ascii="Arial" w:hAnsi="Arial" w:cs="Arial"/>
                <w:b/>
                <w:lang w:val="es-ES"/>
              </w:rPr>
              <w:lastRenderedPageBreak/>
              <w:t xml:space="preserve">Póliza </w:t>
            </w:r>
          </w:p>
        </w:tc>
        <w:tc>
          <w:tcPr>
            <w:tcW w:w="6281" w:type="dxa"/>
          </w:tcPr>
          <w:p w14:paraId="415B8849" w14:textId="479ADE17" w:rsidR="00C5003E" w:rsidRPr="00D7688F" w:rsidRDefault="00C63F32" w:rsidP="00D7688F">
            <w:pPr>
              <w:jc w:val="both"/>
              <w:rPr>
                <w:rFonts w:ascii="Arial" w:hAnsi="Arial" w:cs="Arial"/>
                <w:b/>
                <w:lang w:val="es-ES"/>
              </w:rPr>
            </w:pPr>
            <w:r w:rsidRPr="00D7688F">
              <w:rPr>
                <w:rFonts w:ascii="Arial" w:hAnsi="Arial" w:cs="Arial"/>
                <w:bCs/>
              </w:rPr>
              <w:t>420-80-994000000181</w:t>
            </w:r>
          </w:p>
        </w:tc>
      </w:tr>
      <w:tr w:rsidR="00D7688F" w:rsidRPr="00D7688F" w14:paraId="54B880B9" w14:textId="77777777" w:rsidTr="002B6BA8">
        <w:trPr>
          <w:trHeight w:val="737"/>
        </w:trPr>
        <w:tc>
          <w:tcPr>
            <w:tcW w:w="2547" w:type="dxa"/>
          </w:tcPr>
          <w:p w14:paraId="5784FF25" w14:textId="77777777" w:rsidR="00C5003E" w:rsidRPr="00D7688F" w:rsidRDefault="00C5003E" w:rsidP="00D7688F">
            <w:pPr>
              <w:jc w:val="both"/>
              <w:rPr>
                <w:rFonts w:ascii="Arial" w:hAnsi="Arial" w:cs="Arial"/>
                <w:b/>
                <w:lang w:val="es-ES"/>
              </w:rPr>
            </w:pPr>
            <w:r w:rsidRPr="00D7688F">
              <w:rPr>
                <w:rFonts w:ascii="Arial" w:hAnsi="Arial" w:cs="Arial"/>
                <w:b/>
                <w:lang w:val="es-ES"/>
              </w:rPr>
              <w:t>Ramo</w:t>
            </w:r>
          </w:p>
        </w:tc>
        <w:tc>
          <w:tcPr>
            <w:tcW w:w="6281" w:type="dxa"/>
          </w:tcPr>
          <w:p w14:paraId="243D0A15" w14:textId="22A21C76" w:rsidR="00C5003E" w:rsidRPr="00D7688F" w:rsidRDefault="00C63F32" w:rsidP="00D7688F">
            <w:pPr>
              <w:jc w:val="both"/>
              <w:rPr>
                <w:rFonts w:ascii="Arial" w:hAnsi="Arial" w:cs="Arial"/>
                <w:bCs/>
                <w:lang w:val="es-ES"/>
              </w:rPr>
            </w:pPr>
            <w:r w:rsidRPr="00D7688F">
              <w:rPr>
                <w:rFonts w:ascii="Arial" w:hAnsi="Arial" w:cs="Arial"/>
                <w:bCs/>
                <w:lang w:val="es-ES"/>
              </w:rPr>
              <w:t>RESPONSABILIDAD CIVIL EXTRACONTRACTUAL</w:t>
            </w:r>
          </w:p>
        </w:tc>
      </w:tr>
      <w:tr w:rsidR="00D7688F" w:rsidRPr="00D7688F" w14:paraId="50913A56" w14:textId="77777777" w:rsidTr="002B6BA8">
        <w:trPr>
          <w:trHeight w:val="737"/>
        </w:trPr>
        <w:tc>
          <w:tcPr>
            <w:tcW w:w="2547" w:type="dxa"/>
          </w:tcPr>
          <w:p w14:paraId="452F22C8" w14:textId="77777777" w:rsidR="00C5003E" w:rsidRPr="00D7688F" w:rsidRDefault="00C5003E" w:rsidP="00D7688F">
            <w:pPr>
              <w:jc w:val="both"/>
              <w:rPr>
                <w:rFonts w:ascii="Arial" w:hAnsi="Arial" w:cs="Arial"/>
                <w:b/>
                <w:lang w:val="es-ES"/>
              </w:rPr>
            </w:pPr>
            <w:r w:rsidRPr="00D7688F">
              <w:rPr>
                <w:rFonts w:ascii="Arial" w:hAnsi="Arial" w:cs="Arial"/>
                <w:b/>
                <w:lang w:val="es-ES"/>
              </w:rPr>
              <w:t>Asegurado</w:t>
            </w:r>
          </w:p>
        </w:tc>
        <w:tc>
          <w:tcPr>
            <w:tcW w:w="6281" w:type="dxa"/>
          </w:tcPr>
          <w:p w14:paraId="3C5629E0" w14:textId="3B787995" w:rsidR="00C5003E" w:rsidRPr="00D7688F" w:rsidRDefault="00C63F32" w:rsidP="00D7688F">
            <w:pPr>
              <w:jc w:val="both"/>
              <w:rPr>
                <w:rFonts w:ascii="Arial" w:hAnsi="Arial" w:cs="Arial"/>
                <w:b/>
                <w:lang w:val="es-ES"/>
              </w:rPr>
            </w:pPr>
            <w:r w:rsidRPr="00D7688F">
              <w:rPr>
                <w:rFonts w:ascii="Arial" w:hAnsi="Arial" w:cs="Arial"/>
              </w:rPr>
              <w:t>DISTRITO ESPECIAL DE CALI</w:t>
            </w:r>
          </w:p>
        </w:tc>
      </w:tr>
      <w:tr w:rsidR="00D7688F" w:rsidRPr="00D7688F" w14:paraId="5DF8498A" w14:textId="77777777" w:rsidTr="002B6BA8">
        <w:trPr>
          <w:trHeight w:val="696"/>
        </w:trPr>
        <w:tc>
          <w:tcPr>
            <w:tcW w:w="2547" w:type="dxa"/>
          </w:tcPr>
          <w:p w14:paraId="6E77C56A" w14:textId="77777777" w:rsidR="00C5003E" w:rsidRPr="00D7688F" w:rsidRDefault="00C5003E" w:rsidP="00D7688F">
            <w:pPr>
              <w:tabs>
                <w:tab w:val="center" w:pos="1956"/>
              </w:tabs>
              <w:jc w:val="both"/>
              <w:rPr>
                <w:rFonts w:ascii="Arial" w:hAnsi="Arial" w:cs="Arial"/>
                <w:b/>
                <w:lang w:val="es-ES"/>
              </w:rPr>
            </w:pPr>
            <w:r w:rsidRPr="00D7688F">
              <w:rPr>
                <w:rFonts w:ascii="Arial" w:hAnsi="Arial" w:cs="Arial"/>
                <w:b/>
                <w:lang w:val="es-ES"/>
              </w:rPr>
              <w:t xml:space="preserve">Siniestro </w:t>
            </w:r>
            <w:r w:rsidRPr="00D7688F">
              <w:rPr>
                <w:rFonts w:ascii="Arial" w:hAnsi="Arial" w:cs="Arial"/>
                <w:b/>
                <w:lang w:val="es-ES"/>
              </w:rPr>
              <w:tab/>
            </w:r>
          </w:p>
        </w:tc>
        <w:tc>
          <w:tcPr>
            <w:tcW w:w="6281" w:type="dxa"/>
          </w:tcPr>
          <w:p w14:paraId="03DD5AFD" w14:textId="45260571" w:rsidR="00C5003E" w:rsidRPr="00D7688F" w:rsidRDefault="002B6BA8" w:rsidP="00D7688F">
            <w:pPr>
              <w:jc w:val="both"/>
              <w:rPr>
                <w:rFonts w:ascii="Arial" w:hAnsi="Arial" w:cs="Arial"/>
                <w:bCs/>
                <w:lang w:val="es-ES"/>
              </w:rPr>
            </w:pPr>
            <w:r w:rsidRPr="00D7688F">
              <w:rPr>
                <w:rFonts w:ascii="Arial" w:hAnsi="Arial" w:cs="Arial"/>
                <w:bCs/>
                <w:lang w:val="es-ES"/>
              </w:rPr>
              <w:t>Sin datos</w:t>
            </w:r>
          </w:p>
        </w:tc>
      </w:tr>
      <w:tr w:rsidR="00D7688F" w:rsidRPr="00D7688F" w14:paraId="3B64B0B8" w14:textId="77777777" w:rsidTr="002B6BA8">
        <w:trPr>
          <w:trHeight w:val="696"/>
        </w:trPr>
        <w:tc>
          <w:tcPr>
            <w:tcW w:w="2547" w:type="dxa"/>
          </w:tcPr>
          <w:p w14:paraId="192A24BA" w14:textId="77777777" w:rsidR="00C5003E" w:rsidRPr="00D7688F" w:rsidRDefault="00C5003E" w:rsidP="00D7688F">
            <w:pPr>
              <w:tabs>
                <w:tab w:val="center" w:pos="1956"/>
              </w:tabs>
              <w:jc w:val="both"/>
              <w:rPr>
                <w:rFonts w:ascii="Arial" w:hAnsi="Arial" w:cs="Arial"/>
                <w:b/>
                <w:lang w:val="es-ES"/>
              </w:rPr>
            </w:pPr>
            <w:r w:rsidRPr="00D7688F">
              <w:rPr>
                <w:rFonts w:ascii="Arial" w:hAnsi="Arial" w:cs="Arial"/>
                <w:b/>
                <w:lang w:val="es-ES"/>
              </w:rPr>
              <w:t>Coaseguro</w:t>
            </w:r>
          </w:p>
        </w:tc>
        <w:tc>
          <w:tcPr>
            <w:tcW w:w="6281" w:type="dxa"/>
          </w:tcPr>
          <w:p w14:paraId="43D4BCA2" w14:textId="492AA00C" w:rsidR="00517BC9" w:rsidRPr="00D7688F" w:rsidRDefault="009E26AD" w:rsidP="00D7688F">
            <w:pPr>
              <w:jc w:val="both"/>
              <w:rPr>
                <w:rFonts w:ascii="Arial" w:hAnsi="Arial" w:cs="Arial"/>
              </w:rPr>
            </w:pPr>
            <w:proofErr w:type="gramStart"/>
            <w:r w:rsidRPr="00D7688F">
              <w:rPr>
                <w:rFonts w:ascii="Arial" w:hAnsi="Arial" w:cs="Arial"/>
              </w:rPr>
              <w:t>.-</w:t>
            </w:r>
            <w:proofErr w:type="gramEnd"/>
            <w:r w:rsidRPr="00D7688F">
              <w:rPr>
                <w:rFonts w:ascii="Arial" w:hAnsi="Arial" w:cs="Arial"/>
              </w:rPr>
              <w:t xml:space="preserve"> Solidaria-Líder: 32</w:t>
            </w:r>
            <w:r w:rsidR="00517BC9" w:rsidRPr="00D7688F">
              <w:rPr>
                <w:rFonts w:ascii="Arial" w:hAnsi="Arial" w:cs="Arial"/>
              </w:rPr>
              <w:t>%</w:t>
            </w:r>
          </w:p>
          <w:p w14:paraId="53556B91" w14:textId="77777777" w:rsidR="00517BC9" w:rsidRPr="00D7688F" w:rsidRDefault="00517BC9" w:rsidP="00D7688F">
            <w:pPr>
              <w:jc w:val="both"/>
              <w:rPr>
                <w:rFonts w:ascii="Arial" w:hAnsi="Arial" w:cs="Arial"/>
              </w:rPr>
            </w:pPr>
            <w:proofErr w:type="gramStart"/>
            <w:r w:rsidRPr="00D7688F">
              <w:rPr>
                <w:rFonts w:ascii="Arial" w:hAnsi="Arial" w:cs="Arial"/>
              </w:rPr>
              <w:t>.-</w:t>
            </w:r>
            <w:proofErr w:type="gramEnd"/>
            <w:r w:rsidRPr="00D7688F">
              <w:rPr>
                <w:rFonts w:ascii="Arial" w:hAnsi="Arial" w:cs="Arial"/>
              </w:rPr>
              <w:t xml:space="preserve"> Chubb Seguros S.A.: 28%</w:t>
            </w:r>
          </w:p>
          <w:p w14:paraId="0F0C75EA" w14:textId="04DDB854" w:rsidR="00517BC9" w:rsidRPr="00D7688F" w:rsidRDefault="009E26AD" w:rsidP="00D7688F">
            <w:pPr>
              <w:jc w:val="both"/>
              <w:rPr>
                <w:rFonts w:ascii="Arial" w:hAnsi="Arial" w:cs="Arial"/>
              </w:rPr>
            </w:pPr>
            <w:proofErr w:type="gramStart"/>
            <w:r w:rsidRPr="00D7688F">
              <w:rPr>
                <w:rFonts w:ascii="Arial" w:hAnsi="Arial" w:cs="Arial"/>
              </w:rPr>
              <w:t>.-</w:t>
            </w:r>
            <w:proofErr w:type="gramEnd"/>
            <w:r w:rsidRPr="00D7688F">
              <w:rPr>
                <w:rFonts w:ascii="Arial" w:hAnsi="Arial" w:cs="Arial"/>
              </w:rPr>
              <w:t xml:space="preserve"> SBS Seguro S.A.: 2</w:t>
            </w:r>
            <w:r w:rsidR="00517BC9" w:rsidRPr="00D7688F">
              <w:rPr>
                <w:rFonts w:ascii="Arial" w:hAnsi="Arial" w:cs="Arial"/>
              </w:rPr>
              <w:t>0%</w:t>
            </w:r>
          </w:p>
          <w:p w14:paraId="6C145C7C" w14:textId="77777777" w:rsidR="00517BC9" w:rsidRPr="00D7688F" w:rsidRDefault="00517BC9" w:rsidP="00D7688F">
            <w:pPr>
              <w:jc w:val="both"/>
              <w:rPr>
                <w:rFonts w:ascii="Arial" w:hAnsi="Arial" w:cs="Arial"/>
              </w:rPr>
            </w:pPr>
            <w:proofErr w:type="gramStart"/>
            <w:r w:rsidRPr="00D7688F">
              <w:rPr>
                <w:rFonts w:ascii="Arial" w:hAnsi="Arial" w:cs="Arial"/>
              </w:rPr>
              <w:t>.-</w:t>
            </w:r>
            <w:proofErr w:type="gramEnd"/>
            <w:r w:rsidRPr="00D7688F">
              <w:rPr>
                <w:rFonts w:ascii="Arial" w:hAnsi="Arial" w:cs="Arial"/>
              </w:rPr>
              <w:t xml:space="preserve"> Axa Colpatria S.A.: 10%</w:t>
            </w:r>
          </w:p>
          <w:p w14:paraId="00CFB523" w14:textId="642CF004" w:rsidR="00C5003E" w:rsidRPr="00D7688F" w:rsidRDefault="00517BC9" w:rsidP="00D7688F">
            <w:pPr>
              <w:jc w:val="both"/>
              <w:rPr>
                <w:rFonts w:ascii="Arial" w:hAnsi="Arial" w:cs="Arial"/>
                <w:bCs/>
                <w:lang w:val="es-ES"/>
              </w:rPr>
            </w:pPr>
            <w:proofErr w:type="gramStart"/>
            <w:r w:rsidRPr="00D7688F">
              <w:rPr>
                <w:rFonts w:ascii="Arial" w:hAnsi="Arial" w:cs="Arial"/>
              </w:rPr>
              <w:t>.-</w:t>
            </w:r>
            <w:proofErr w:type="gramEnd"/>
            <w:r w:rsidRPr="00D7688F">
              <w:rPr>
                <w:rFonts w:ascii="Arial" w:hAnsi="Arial" w:cs="Arial"/>
              </w:rPr>
              <w:t xml:space="preserve"> HDI Seguros S.A.: 10%</w:t>
            </w:r>
          </w:p>
        </w:tc>
      </w:tr>
      <w:tr w:rsidR="00D7688F" w:rsidRPr="00D7688F" w14:paraId="3D677914" w14:textId="77777777" w:rsidTr="002B6BA8">
        <w:trPr>
          <w:trHeight w:val="696"/>
        </w:trPr>
        <w:tc>
          <w:tcPr>
            <w:tcW w:w="2547" w:type="dxa"/>
          </w:tcPr>
          <w:p w14:paraId="20DC54BE" w14:textId="77777777" w:rsidR="00C5003E" w:rsidRPr="00D7688F" w:rsidRDefault="00C5003E" w:rsidP="00D7688F">
            <w:pPr>
              <w:tabs>
                <w:tab w:val="center" w:pos="1956"/>
              </w:tabs>
              <w:jc w:val="both"/>
              <w:rPr>
                <w:rFonts w:ascii="Arial" w:hAnsi="Arial" w:cs="Arial"/>
                <w:b/>
                <w:lang w:val="es-ES"/>
              </w:rPr>
            </w:pPr>
            <w:r w:rsidRPr="00D7688F">
              <w:rPr>
                <w:rFonts w:ascii="Arial" w:hAnsi="Arial" w:cs="Arial"/>
                <w:b/>
                <w:lang w:val="es-ES"/>
              </w:rPr>
              <w:t xml:space="preserve">Observaciones </w:t>
            </w:r>
          </w:p>
        </w:tc>
        <w:tc>
          <w:tcPr>
            <w:tcW w:w="6281" w:type="dxa"/>
          </w:tcPr>
          <w:p w14:paraId="3FABD06B" w14:textId="6B2AC56A" w:rsidR="00C5003E" w:rsidRPr="00D7688F" w:rsidRDefault="00C5003E" w:rsidP="00D7688F">
            <w:pPr>
              <w:jc w:val="both"/>
              <w:rPr>
                <w:rFonts w:ascii="Arial" w:hAnsi="Arial" w:cs="Arial"/>
                <w:b/>
              </w:rPr>
            </w:pPr>
          </w:p>
        </w:tc>
      </w:tr>
    </w:tbl>
    <w:p w14:paraId="459CD6CC" w14:textId="77777777" w:rsidR="00C5003E" w:rsidRPr="00D7688F" w:rsidRDefault="00C5003E" w:rsidP="00D7688F">
      <w:pPr>
        <w:spacing w:line="240" w:lineRule="auto"/>
        <w:jc w:val="both"/>
        <w:rPr>
          <w:rFonts w:ascii="Arial" w:hAnsi="Arial" w:cs="Arial"/>
          <w:b/>
          <w:lang w:val="es-ES"/>
        </w:rPr>
      </w:pPr>
    </w:p>
    <w:sectPr w:rsidR="00C5003E" w:rsidRPr="00D768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E5FC7"/>
    <w:multiLevelType w:val="hybridMultilevel"/>
    <w:tmpl w:val="F0688354"/>
    <w:lvl w:ilvl="0" w:tplc="685AD420">
      <w:numFmt w:val="bullet"/>
      <w:lvlText w:val="-"/>
      <w:lvlJc w:val="left"/>
      <w:pPr>
        <w:ind w:left="720" w:hanging="360"/>
      </w:pPr>
      <w:rPr>
        <w:rFonts w:ascii="Calibri Light" w:eastAsiaTheme="majorEastAsia" w:hAnsi="Calibri Light" w:cs="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47154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3E"/>
    <w:rsid w:val="000A6ECF"/>
    <w:rsid w:val="00296136"/>
    <w:rsid w:val="002B6BA8"/>
    <w:rsid w:val="003743A2"/>
    <w:rsid w:val="00462B97"/>
    <w:rsid w:val="004754F3"/>
    <w:rsid w:val="00483AA0"/>
    <w:rsid w:val="004E1628"/>
    <w:rsid w:val="0050145D"/>
    <w:rsid w:val="00502D9B"/>
    <w:rsid w:val="00517BC9"/>
    <w:rsid w:val="00621477"/>
    <w:rsid w:val="006B3D49"/>
    <w:rsid w:val="00702D8D"/>
    <w:rsid w:val="007A05A2"/>
    <w:rsid w:val="00834F02"/>
    <w:rsid w:val="009E26AD"/>
    <w:rsid w:val="00B8477B"/>
    <w:rsid w:val="00BC7634"/>
    <w:rsid w:val="00BD0826"/>
    <w:rsid w:val="00C5003E"/>
    <w:rsid w:val="00C63F32"/>
    <w:rsid w:val="00D23F68"/>
    <w:rsid w:val="00D5389D"/>
    <w:rsid w:val="00D7688F"/>
    <w:rsid w:val="00FC7B01"/>
    <w:rsid w:val="00FF6B4A"/>
    <w:rsid w:val="00FF77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DE49B"/>
  <w15:docId w15:val="{8F20E8D2-4F46-4B5A-ADB2-5130916B4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2B6BA8"/>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5">
    <w:name w:val="heading 5"/>
    <w:basedOn w:val="Normal"/>
    <w:next w:val="Normal"/>
    <w:link w:val="Ttulo5Car"/>
    <w:uiPriority w:val="9"/>
    <w:unhideWhenUsed/>
    <w:qFormat/>
    <w:rsid w:val="002B6BA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50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3u6i1if2k">
    <w:name w:val="mark3u6i1if2k"/>
    <w:basedOn w:val="Fuentedeprrafopredeter"/>
    <w:rsid w:val="002B6BA8"/>
  </w:style>
  <w:style w:type="character" w:customStyle="1" w:styleId="Ttulo2Car">
    <w:name w:val="Título 2 Car"/>
    <w:basedOn w:val="Fuentedeprrafopredeter"/>
    <w:link w:val="Ttulo2"/>
    <w:uiPriority w:val="9"/>
    <w:rsid w:val="002B6BA8"/>
    <w:rPr>
      <w:rFonts w:ascii="Times New Roman" w:eastAsia="Times New Roman" w:hAnsi="Times New Roman" w:cs="Times New Roman"/>
      <w:b/>
      <w:bCs/>
      <w:sz w:val="36"/>
      <w:szCs w:val="36"/>
      <w:lang w:eastAsia="es-CO"/>
    </w:rPr>
  </w:style>
  <w:style w:type="character" w:customStyle="1" w:styleId="titleprocesscolor">
    <w:name w:val="titleprocesscolor"/>
    <w:basedOn w:val="Fuentedeprrafopredeter"/>
    <w:rsid w:val="002B6BA8"/>
  </w:style>
  <w:style w:type="character" w:customStyle="1" w:styleId="Ttulo5Car">
    <w:name w:val="Título 5 Car"/>
    <w:basedOn w:val="Fuentedeprrafopredeter"/>
    <w:link w:val="Ttulo5"/>
    <w:uiPriority w:val="9"/>
    <w:rsid w:val="002B6BA8"/>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2B6BA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arkbhqyo3rlu">
    <w:name w:val="markbhqyo3rlu"/>
    <w:basedOn w:val="Fuentedeprrafopredeter"/>
    <w:rsid w:val="002B6BA8"/>
  </w:style>
  <w:style w:type="paragraph" w:styleId="Textodeglobo">
    <w:name w:val="Balloon Text"/>
    <w:basedOn w:val="Normal"/>
    <w:link w:val="TextodegloboCar"/>
    <w:uiPriority w:val="99"/>
    <w:semiHidden/>
    <w:unhideWhenUsed/>
    <w:rsid w:val="00D538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389D"/>
    <w:rPr>
      <w:rFonts w:ascii="Tahoma" w:hAnsi="Tahoma" w:cs="Tahoma"/>
      <w:sz w:val="16"/>
      <w:szCs w:val="16"/>
    </w:rPr>
  </w:style>
  <w:style w:type="paragraph" w:styleId="Prrafodelista">
    <w:name w:val="List Paragraph"/>
    <w:basedOn w:val="Normal"/>
    <w:uiPriority w:val="34"/>
    <w:qFormat/>
    <w:rsid w:val="00D76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1930">
      <w:bodyDiv w:val="1"/>
      <w:marLeft w:val="0"/>
      <w:marRight w:val="0"/>
      <w:marTop w:val="0"/>
      <w:marBottom w:val="0"/>
      <w:divBdr>
        <w:top w:val="none" w:sz="0" w:space="0" w:color="auto"/>
        <w:left w:val="none" w:sz="0" w:space="0" w:color="auto"/>
        <w:bottom w:val="none" w:sz="0" w:space="0" w:color="auto"/>
        <w:right w:val="none" w:sz="0" w:space="0" w:color="auto"/>
      </w:divBdr>
    </w:div>
    <w:div w:id="187181358">
      <w:bodyDiv w:val="1"/>
      <w:marLeft w:val="0"/>
      <w:marRight w:val="0"/>
      <w:marTop w:val="0"/>
      <w:marBottom w:val="0"/>
      <w:divBdr>
        <w:top w:val="none" w:sz="0" w:space="0" w:color="auto"/>
        <w:left w:val="none" w:sz="0" w:space="0" w:color="auto"/>
        <w:bottom w:val="none" w:sz="0" w:space="0" w:color="auto"/>
        <w:right w:val="none" w:sz="0" w:space="0" w:color="auto"/>
      </w:divBdr>
    </w:div>
    <w:div w:id="723452793">
      <w:bodyDiv w:val="1"/>
      <w:marLeft w:val="0"/>
      <w:marRight w:val="0"/>
      <w:marTop w:val="0"/>
      <w:marBottom w:val="0"/>
      <w:divBdr>
        <w:top w:val="none" w:sz="0" w:space="0" w:color="auto"/>
        <w:left w:val="none" w:sz="0" w:space="0" w:color="auto"/>
        <w:bottom w:val="none" w:sz="0" w:space="0" w:color="auto"/>
        <w:right w:val="none" w:sz="0" w:space="0" w:color="auto"/>
      </w:divBdr>
    </w:div>
    <w:div w:id="1102531133">
      <w:bodyDiv w:val="1"/>
      <w:marLeft w:val="0"/>
      <w:marRight w:val="0"/>
      <w:marTop w:val="0"/>
      <w:marBottom w:val="0"/>
      <w:divBdr>
        <w:top w:val="none" w:sz="0" w:space="0" w:color="auto"/>
        <w:left w:val="none" w:sz="0" w:space="0" w:color="auto"/>
        <w:bottom w:val="none" w:sz="0" w:space="0" w:color="auto"/>
        <w:right w:val="none" w:sz="0" w:space="0" w:color="auto"/>
      </w:divBdr>
    </w:div>
    <w:div w:id="1312446425">
      <w:bodyDiv w:val="1"/>
      <w:marLeft w:val="0"/>
      <w:marRight w:val="0"/>
      <w:marTop w:val="0"/>
      <w:marBottom w:val="0"/>
      <w:divBdr>
        <w:top w:val="none" w:sz="0" w:space="0" w:color="auto"/>
        <w:left w:val="none" w:sz="0" w:space="0" w:color="auto"/>
        <w:bottom w:val="none" w:sz="0" w:space="0" w:color="auto"/>
        <w:right w:val="none" w:sz="0" w:space="0" w:color="auto"/>
      </w:divBdr>
    </w:div>
    <w:div w:id="1440102090">
      <w:bodyDiv w:val="1"/>
      <w:marLeft w:val="0"/>
      <w:marRight w:val="0"/>
      <w:marTop w:val="0"/>
      <w:marBottom w:val="0"/>
      <w:divBdr>
        <w:top w:val="none" w:sz="0" w:space="0" w:color="auto"/>
        <w:left w:val="none" w:sz="0" w:space="0" w:color="auto"/>
        <w:bottom w:val="none" w:sz="0" w:space="0" w:color="auto"/>
        <w:right w:val="none" w:sz="0" w:space="0" w:color="auto"/>
      </w:divBdr>
      <w:divsChild>
        <w:div w:id="1088581011">
          <w:marLeft w:val="0"/>
          <w:marRight w:val="0"/>
          <w:marTop w:val="0"/>
          <w:marBottom w:val="0"/>
          <w:divBdr>
            <w:top w:val="none" w:sz="0" w:space="0" w:color="auto"/>
            <w:left w:val="none" w:sz="0" w:space="0" w:color="auto"/>
            <w:bottom w:val="none" w:sz="0" w:space="0" w:color="auto"/>
            <w:right w:val="none" w:sz="0" w:space="0" w:color="auto"/>
          </w:divBdr>
        </w:div>
      </w:divsChild>
    </w:div>
    <w:div w:id="198445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D393833B186944A0A837CB0070EACA" ma:contentTypeVersion="15" ma:contentTypeDescription="Crear nuevo documento." ma:contentTypeScope="" ma:versionID="5e0314642b029ee940c6c2581398bbf3">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bd48be0d94f8e87ec7bd241daf70fe28"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36885-FCDC-4172-877D-B9698747E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F83186-5055-4D07-9259-13D8ADFB1EA7}">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3.xml><?xml version="1.0" encoding="utf-8"?>
<ds:datastoreItem xmlns:ds="http://schemas.openxmlformats.org/officeDocument/2006/customXml" ds:itemID="{685D4546-3978-475D-85E3-D279B756F4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1149</Words>
  <Characters>6323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Amado,Andrea</dc:creator>
  <cp:keywords/>
  <dc:description/>
  <cp:lastModifiedBy>JOSEPH PINTO</cp:lastModifiedBy>
  <cp:revision>3</cp:revision>
  <dcterms:created xsi:type="dcterms:W3CDTF">2024-04-27T13:53:00Z</dcterms:created>
  <dcterms:modified xsi:type="dcterms:W3CDTF">2024-04-27T13:54:00Z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