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83F3" w14:textId="58B00399" w:rsidR="00B9243D" w:rsidRDefault="005375B9" w:rsidP="005375B9">
      <w:pPr>
        <w:jc w:val="center"/>
      </w:pPr>
      <w:r w:rsidRPr="005375B9">
        <w:rPr>
          <w:noProof/>
        </w:rPr>
        <w:drawing>
          <wp:inline distT="0" distB="0" distL="0" distR="0" wp14:anchorId="78760D1F" wp14:editId="7B49C8F9">
            <wp:extent cx="3343275" cy="1781175"/>
            <wp:effectExtent l="0" t="0" r="9525" b="9525"/>
            <wp:docPr id="19911155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99A67" w14:textId="77777777" w:rsidR="00B06FB1" w:rsidRDefault="00B06FB1" w:rsidP="00B06FB1">
      <w:pPr>
        <w:jc w:val="both"/>
      </w:pPr>
    </w:p>
    <w:p w14:paraId="72105E94" w14:textId="77777777" w:rsidR="00B06FB1" w:rsidRDefault="00B06FB1" w:rsidP="00B06FB1">
      <w:pPr>
        <w:autoSpaceDE w:val="0"/>
        <w:autoSpaceDN w:val="0"/>
        <w:adjustRightInd w:val="0"/>
        <w:spacing w:after="0" w:line="240" w:lineRule="auto"/>
        <w:jc w:val="center"/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</w:pPr>
      <w:r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  <w:t>JUZGADO CINCUENTA Y TRES CIVIL DEL CIRCUITO DE BOGOTÁ</w:t>
      </w:r>
    </w:p>
    <w:p w14:paraId="79093E63" w14:textId="77777777" w:rsidR="00B06FB1" w:rsidRDefault="00B06FB1" w:rsidP="00B06FB1">
      <w:pPr>
        <w:autoSpaceDE w:val="0"/>
        <w:autoSpaceDN w:val="0"/>
        <w:adjustRightInd w:val="0"/>
        <w:spacing w:after="0" w:line="240" w:lineRule="auto"/>
        <w:jc w:val="center"/>
        <w:rPr>
          <w:rFonts w:ascii="TwCenMT-Regular" w:hAnsi="TwCenMT-Regular" w:cs="TwCenMT-Regular"/>
          <w:kern w:val="0"/>
          <w:sz w:val="26"/>
          <w:szCs w:val="26"/>
          <w:lang w:val="es-CO"/>
        </w:rPr>
      </w:pPr>
      <w:r>
        <w:rPr>
          <w:rFonts w:ascii="TwCenMT-Regular" w:hAnsi="TwCenMT-Regular" w:cs="TwCenMT-Regular"/>
          <w:kern w:val="0"/>
          <w:sz w:val="26"/>
          <w:szCs w:val="26"/>
          <w:lang w:val="es-CO"/>
        </w:rPr>
        <w:t>Bogotá D.C., treinta (30) de noviembre de dos mil veintitrés (2023)</w:t>
      </w:r>
    </w:p>
    <w:p w14:paraId="71D28ABB" w14:textId="77777777" w:rsidR="0025285C" w:rsidRDefault="0025285C" w:rsidP="00B06FB1">
      <w:pPr>
        <w:autoSpaceDE w:val="0"/>
        <w:autoSpaceDN w:val="0"/>
        <w:adjustRightInd w:val="0"/>
        <w:spacing w:after="0" w:line="240" w:lineRule="auto"/>
        <w:jc w:val="center"/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</w:pPr>
    </w:p>
    <w:p w14:paraId="72AB4815" w14:textId="1A19FB83" w:rsidR="00B06FB1" w:rsidRDefault="00B06FB1" w:rsidP="00B06FB1">
      <w:pPr>
        <w:autoSpaceDE w:val="0"/>
        <w:autoSpaceDN w:val="0"/>
        <w:adjustRightInd w:val="0"/>
        <w:spacing w:after="0" w:line="240" w:lineRule="auto"/>
        <w:jc w:val="center"/>
        <w:rPr>
          <w:rFonts w:ascii="TwCenMT-Regular" w:hAnsi="TwCenMT-Regular" w:cs="TwCenMT-Regular"/>
          <w:kern w:val="0"/>
          <w:sz w:val="26"/>
          <w:szCs w:val="26"/>
          <w:lang w:val="es-CO"/>
        </w:rPr>
      </w:pPr>
      <w:r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  <w:t xml:space="preserve">RADICADO: </w:t>
      </w:r>
      <w:r>
        <w:rPr>
          <w:rFonts w:ascii="TwCenMT-Regular" w:hAnsi="TwCenMT-Regular" w:cs="TwCenMT-Regular"/>
          <w:kern w:val="0"/>
          <w:sz w:val="26"/>
          <w:szCs w:val="26"/>
          <w:lang w:val="es-CO"/>
        </w:rPr>
        <w:t>11001 3103 0</w:t>
      </w:r>
      <w:r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  <w:t xml:space="preserve">53 </w:t>
      </w:r>
      <w:r>
        <w:rPr>
          <w:rFonts w:ascii="TwCenMT-Regular" w:hAnsi="TwCenMT-Regular" w:cs="TwCenMT-Regular"/>
          <w:kern w:val="0"/>
          <w:sz w:val="26"/>
          <w:szCs w:val="26"/>
          <w:lang w:val="es-CO"/>
        </w:rPr>
        <w:t>20</w:t>
      </w:r>
      <w:r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  <w:t xml:space="preserve">23 </w:t>
      </w:r>
      <w:r>
        <w:rPr>
          <w:rFonts w:ascii="TwCenMT-Regular" w:hAnsi="TwCenMT-Regular" w:cs="TwCenMT-Regular"/>
          <w:kern w:val="0"/>
          <w:sz w:val="26"/>
          <w:szCs w:val="26"/>
          <w:lang w:val="es-CO"/>
        </w:rPr>
        <w:t>00</w:t>
      </w:r>
      <w:r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  <w:t xml:space="preserve">008 </w:t>
      </w:r>
      <w:r>
        <w:rPr>
          <w:rFonts w:ascii="TwCenMT-Regular" w:hAnsi="TwCenMT-Regular" w:cs="TwCenMT-Regular"/>
          <w:kern w:val="0"/>
          <w:sz w:val="26"/>
          <w:szCs w:val="26"/>
          <w:lang w:val="es-CO"/>
        </w:rPr>
        <w:t>00</w:t>
      </w:r>
    </w:p>
    <w:p w14:paraId="53C89B91" w14:textId="77777777" w:rsidR="0025285C" w:rsidRDefault="0025285C" w:rsidP="00B06FB1">
      <w:pPr>
        <w:autoSpaceDE w:val="0"/>
        <w:autoSpaceDN w:val="0"/>
        <w:adjustRightInd w:val="0"/>
        <w:spacing w:after="0" w:line="240" w:lineRule="auto"/>
        <w:jc w:val="center"/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</w:pPr>
    </w:p>
    <w:p w14:paraId="2FF95207" w14:textId="35212657" w:rsidR="00B06FB1" w:rsidRDefault="00B06FB1" w:rsidP="00B06FB1">
      <w:pPr>
        <w:autoSpaceDE w:val="0"/>
        <w:autoSpaceDN w:val="0"/>
        <w:adjustRightInd w:val="0"/>
        <w:spacing w:after="0" w:line="240" w:lineRule="auto"/>
        <w:jc w:val="center"/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</w:pPr>
      <w:r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  <w:t>RECHAZA POR INDEBIDA SUBSANACIÓN</w:t>
      </w:r>
    </w:p>
    <w:p w14:paraId="33471FBE" w14:textId="77777777" w:rsidR="00B06FB1" w:rsidRDefault="00B06FB1" w:rsidP="00B06FB1">
      <w:pPr>
        <w:autoSpaceDE w:val="0"/>
        <w:autoSpaceDN w:val="0"/>
        <w:adjustRightInd w:val="0"/>
        <w:spacing w:after="0" w:line="240" w:lineRule="auto"/>
        <w:rPr>
          <w:rFonts w:ascii="TwCenMT-Regular" w:hAnsi="TwCenMT-Regular" w:cs="TwCenMT-Regular"/>
          <w:kern w:val="0"/>
          <w:sz w:val="24"/>
          <w:szCs w:val="24"/>
          <w:lang w:val="es-CO"/>
        </w:rPr>
      </w:pPr>
    </w:p>
    <w:p w14:paraId="01DD680A" w14:textId="25ECEADA" w:rsidR="00B06FB1" w:rsidRDefault="00B06FB1" w:rsidP="00B06FB1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ab/>
      </w:r>
    </w:p>
    <w:p w14:paraId="695DF3DC" w14:textId="1F26414F" w:rsidR="00B06FB1" w:rsidRDefault="00B06FB1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Observa el Despacho que no se le dio cabal cumplimiento al auto </w:t>
      </w:r>
      <w:proofErr w:type="spellStart"/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inadmisorio</w:t>
      </w:r>
      <w:proofErr w:type="spellEnd"/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 de la demanda,</w:t>
      </w:r>
      <w:r w:rsidR="0025285C"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por lo cual, procede el rechazo de plano, como se expondrá:</w:t>
      </w:r>
    </w:p>
    <w:p w14:paraId="4E5C6305" w14:textId="77777777" w:rsidR="0025285C" w:rsidRDefault="0025285C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</w:p>
    <w:p w14:paraId="54611E01" w14:textId="19A4479F" w:rsidR="00B06FB1" w:rsidRDefault="00B06FB1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En efecto, en el proveído adiado 13 de octubre de 2023 se le indicó:</w:t>
      </w:r>
    </w:p>
    <w:p w14:paraId="0F27CF48" w14:textId="77777777" w:rsidR="0025285C" w:rsidRDefault="0025285C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</w:p>
    <w:p w14:paraId="5F54AB18" w14:textId="6EAC05FD" w:rsidR="00B06FB1" w:rsidRDefault="00B06FB1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BoldItalic" w:hAnsi="TwCenMT-BoldItalic" w:cs="TwCenMT-BoldItalic"/>
          <w:b/>
          <w:bCs/>
          <w:i/>
          <w:iCs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“</w:t>
      </w:r>
      <w:r>
        <w:rPr>
          <w:rFonts w:ascii="TwCenMT-Italic" w:hAnsi="TwCenMT-Italic" w:cs="TwCenMT-Italic"/>
          <w:i/>
          <w:iCs/>
          <w:kern w:val="0"/>
          <w:sz w:val="24"/>
          <w:szCs w:val="24"/>
          <w:lang w:val="es-CO"/>
        </w:rPr>
        <w:t>Aun cuando el extremo demandante allegó escrito de subsanación de conformidad</w:t>
      </w:r>
      <w:r w:rsidR="0025285C">
        <w:rPr>
          <w:rFonts w:ascii="TwCenMT-Italic" w:hAnsi="TwCenMT-Italic" w:cs="TwCenMT-Italic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TwCenMT-Italic" w:hAnsi="TwCenMT-Italic" w:cs="TwCenMT-Italic"/>
          <w:i/>
          <w:iCs/>
          <w:kern w:val="0"/>
          <w:sz w:val="24"/>
          <w:szCs w:val="24"/>
          <w:lang w:val="es-CO"/>
        </w:rPr>
        <w:t xml:space="preserve">con lo preceptuado en el auto </w:t>
      </w:r>
      <w:proofErr w:type="spellStart"/>
      <w:r>
        <w:rPr>
          <w:rFonts w:ascii="TwCenMT-Italic" w:hAnsi="TwCenMT-Italic" w:cs="TwCenMT-Italic"/>
          <w:i/>
          <w:iCs/>
          <w:kern w:val="0"/>
          <w:sz w:val="24"/>
          <w:szCs w:val="24"/>
          <w:lang w:val="es-CO"/>
        </w:rPr>
        <w:t>inadmisorio</w:t>
      </w:r>
      <w:proofErr w:type="spellEnd"/>
      <w:r>
        <w:rPr>
          <w:rFonts w:ascii="TwCenMT-Italic" w:hAnsi="TwCenMT-Italic" w:cs="TwCenMT-Italic"/>
          <w:i/>
          <w:iCs/>
          <w:kern w:val="0"/>
          <w:sz w:val="24"/>
          <w:szCs w:val="24"/>
          <w:lang w:val="es-CO"/>
        </w:rPr>
        <w:t xml:space="preserve"> de data tres (3) de agosto de dos mil</w:t>
      </w:r>
      <w:r w:rsidR="0025285C">
        <w:rPr>
          <w:rFonts w:ascii="TwCenMT-Italic" w:hAnsi="TwCenMT-Italic" w:cs="TwCenMT-Italic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TwCenMT-Italic" w:hAnsi="TwCenMT-Italic" w:cs="TwCenMT-Italic"/>
          <w:i/>
          <w:iCs/>
          <w:kern w:val="0"/>
          <w:sz w:val="24"/>
          <w:szCs w:val="24"/>
          <w:lang w:val="es-CO"/>
        </w:rPr>
        <w:t xml:space="preserve">veintitrés (2023), </w:t>
      </w:r>
      <w:r>
        <w:rPr>
          <w:rFonts w:ascii="TwCenMT-BoldItalic" w:hAnsi="TwCenMT-BoldItalic" w:cs="TwCenMT-BoldItalic"/>
          <w:b/>
          <w:bCs/>
          <w:i/>
          <w:iCs/>
          <w:kern w:val="0"/>
          <w:sz w:val="24"/>
          <w:szCs w:val="24"/>
          <w:lang w:val="es-CO"/>
        </w:rPr>
        <w:t>evidencia el despacho que presentó un link en el cual hace</w:t>
      </w:r>
      <w:r w:rsidR="0025285C">
        <w:rPr>
          <w:rFonts w:ascii="TwCenMT-BoldItalic" w:hAnsi="TwCenMT-BoldItalic" w:cs="TwCenMT-BoldItalic"/>
          <w:b/>
          <w:bCs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TwCenMT-BoldItalic" w:hAnsi="TwCenMT-BoldItalic" w:cs="TwCenMT-BoldItalic"/>
          <w:b/>
          <w:bCs/>
          <w:i/>
          <w:iCs/>
          <w:kern w:val="0"/>
          <w:sz w:val="24"/>
          <w:szCs w:val="24"/>
          <w:lang w:val="es-CO"/>
        </w:rPr>
        <w:t>referencia a una serie de documentos, sin embargo, al ingresar al mismo no permite</w:t>
      </w:r>
      <w:r w:rsidR="0025285C">
        <w:rPr>
          <w:rFonts w:ascii="TwCenMT-BoldItalic" w:hAnsi="TwCenMT-BoldItalic" w:cs="TwCenMT-BoldItalic"/>
          <w:b/>
          <w:bCs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TwCenMT-BoldItalic" w:hAnsi="TwCenMT-BoldItalic" w:cs="TwCenMT-BoldItalic"/>
          <w:b/>
          <w:bCs/>
          <w:i/>
          <w:iCs/>
          <w:kern w:val="0"/>
          <w:sz w:val="24"/>
          <w:szCs w:val="24"/>
          <w:lang w:val="es-CO"/>
        </w:rPr>
        <w:t>el acceso, razón por la cual el despacho ha de inadmitir nuevamente la demanda</w:t>
      </w:r>
      <w:r w:rsidR="0025285C">
        <w:rPr>
          <w:rFonts w:ascii="TwCenMT-BoldItalic" w:hAnsi="TwCenMT-BoldItalic" w:cs="TwCenMT-BoldItalic"/>
          <w:b/>
          <w:bCs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TwCenMT-BoldItalic" w:hAnsi="TwCenMT-BoldItalic" w:cs="TwCenMT-BoldItalic"/>
          <w:b/>
          <w:bCs/>
          <w:i/>
          <w:iCs/>
          <w:kern w:val="0"/>
          <w:sz w:val="24"/>
          <w:szCs w:val="24"/>
          <w:lang w:val="es-CO"/>
        </w:rPr>
        <w:t>para que en el término de cinco (5) días la parte demandante proceda a la</w:t>
      </w:r>
      <w:r w:rsidR="0025285C">
        <w:rPr>
          <w:rFonts w:ascii="TwCenMT-BoldItalic" w:hAnsi="TwCenMT-BoldItalic" w:cs="TwCenMT-BoldItalic"/>
          <w:b/>
          <w:bCs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TwCenMT-BoldItalic" w:hAnsi="TwCenMT-BoldItalic" w:cs="TwCenMT-BoldItalic"/>
          <w:b/>
          <w:bCs/>
          <w:i/>
          <w:iCs/>
          <w:kern w:val="0"/>
          <w:sz w:val="24"/>
          <w:szCs w:val="24"/>
          <w:lang w:val="es-CO"/>
        </w:rPr>
        <w:t>subsanación:</w:t>
      </w:r>
    </w:p>
    <w:p w14:paraId="08946A57" w14:textId="38E407AC" w:rsidR="0025285C" w:rsidRPr="0025285C" w:rsidRDefault="0025285C" w:rsidP="0025285C">
      <w:pPr>
        <w:pStyle w:val="Prrafodelista"/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 w:rsidRPr="0025285C"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 </w:t>
      </w:r>
    </w:p>
    <w:p w14:paraId="299A441D" w14:textId="77777777" w:rsidR="00B06FB1" w:rsidRDefault="00B06FB1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A su vez el togado remitió un enlace en </w:t>
      </w:r>
      <w:proofErr w:type="spellStart"/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one</w:t>
      </w:r>
      <w:proofErr w:type="spellEnd"/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 drive con 596 archivos en carpetas como se</w:t>
      </w:r>
    </w:p>
    <w:p w14:paraId="39E5F81B" w14:textId="1E33DA63" w:rsidR="00B06FB1" w:rsidRDefault="00B06FB1" w:rsidP="0025285C">
      <w:pPr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constata a continuación:</w:t>
      </w:r>
    </w:p>
    <w:p w14:paraId="7E7DB695" w14:textId="77777777" w:rsidR="00B06FB1" w:rsidRDefault="00B06FB1" w:rsidP="0025285C">
      <w:pPr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</w:p>
    <w:p w14:paraId="21700212" w14:textId="77777777" w:rsidR="00B06FB1" w:rsidRDefault="00B06FB1" w:rsidP="0025285C">
      <w:pPr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</w:p>
    <w:p w14:paraId="2C628687" w14:textId="30A4963E" w:rsidR="00B06FB1" w:rsidRDefault="000E0AB3" w:rsidP="0025285C">
      <w:pPr>
        <w:jc w:val="both"/>
      </w:pPr>
      <w:r w:rsidRPr="000E0AB3">
        <w:rPr>
          <w:noProof/>
        </w:rPr>
        <w:lastRenderedPageBreak/>
        <w:drawing>
          <wp:inline distT="0" distB="0" distL="0" distR="0" wp14:anchorId="7BDD4A99" wp14:editId="3571FB64">
            <wp:extent cx="5612130" cy="5471795"/>
            <wp:effectExtent l="0" t="0" r="7620" b="0"/>
            <wp:docPr id="136927475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47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F8432" w14:textId="77777777" w:rsidR="000E0AB3" w:rsidRDefault="000E0AB3" w:rsidP="0025285C">
      <w:pPr>
        <w:jc w:val="both"/>
      </w:pPr>
    </w:p>
    <w:p w14:paraId="480ABB22" w14:textId="25C75206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No </w:t>
      </w:r>
      <w:proofErr w:type="gramStart"/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obstante</w:t>
      </w:r>
      <w:proofErr w:type="gramEnd"/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 a ello, las carpetas no corresponde a las pólizas objeto de demanda, pues</w:t>
      </w:r>
      <w:r w:rsidR="0025285C"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nótese que el nombre de cada carpeta corresponde al número de cédula del tomador de la</w:t>
      </w:r>
    </w:p>
    <w:p w14:paraId="5EB9EBD4" w14:textId="77777777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póliza, las cuales no tienen relación alguna con las 580 pólizas objeto de declaratoria de</w:t>
      </w:r>
    </w:p>
    <w:p w14:paraId="1D99141C" w14:textId="77777777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incumplimiento.</w:t>
      </w:r>
    </w:p>
    <w:p w14:paraId="74544480" w14:textId="77777777" w:rsidR="0025285C" w:rsidRDefault="0025285C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</w:p>
    <w:p w14:paraId="2374665A" w14:textId="03521901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Por lo cual, se vislumbra que las pólizas y carpetas aportadas no corresponden a las</w:t>
      </w:r>
      <w:r w:rsidR="0025285C"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enunciadas en el libelo </w:t>
      </w:r>
      <w:proofErr w:type="spellStart"/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demandatorio</w:t>
      </w:r>
      <w:proofErr w:type="spellEnd"/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, </w:t>
      </w:r>
      <w:proofErr w:type="gramStart"/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y</w:t>
      </w:r>
      <w:proofErr w:type="gramEnd"/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 por ende, no se acreditó el cumplimiento del auto</w:t>
      </w:r>
    </w:p>
    <w:p w14:paraId="43875519" w14:textId="77777777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admisorio.</w:t>
      </w:r>
    </w:p>
    <w:p w14:paraId="34BF2DE1" w14:textId="77777777" w:rsidR="0025285C" w:rsidRDefault="0025285C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</w:p>
    <w:p w14:paraId="39D88815" w14:textId="7F95E6AB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Para robustecer más lo anterior, téngase encuentra que la carpeta 349088, corresponde al</w:t>
      </w:r>
    </w:p>
    <w:p w14:paraId="0FDFB082" w14:textId="01DC3000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señor Orlando Bohórquez Acevedo y el número de póliza es 56359, la cual, no fue</w:t>
      </w:r>
      <w:r w:rsidR="0025285C"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relacionada en la demanda, la carpeta 4924109 corresponde a Obed Montenegro Sánchez</w:t>
      </w:r>
    </w:p>
    <w:p w14:paraId="2B5CCD1D" w14:textId="50DC11DE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lastRenderedPageBreak/>
        <w:t>y al número de póliza No. 57197, la carpeta 79218467 corresponde a José Rubén Diaz</w:t>
      </w:r>
      <w:r w:rsidR="0025285C"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Medina y al número de póliza No 57078 y así sucesivamente las carpetas no corresponden</w:t>
      </w:r>
    </w:p>
    <w:p w14:paraId="223589CF" w14:textId="77777777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a los anexos de la presente demanda.</w:t>
      </w:r>
    </w:p>
    <w:p w14:paraId="24ABA780" w14:textId="77777777" w:rsidR="0025285C" w:rsidRDefault="0025285C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</w:p>
    <w:p w14:paraId="210E96C7" w14:textId="0D391C03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En este punto, es importante resaltar que la secretaría del despacho le envió tres correos</w:t>
      </w:r>
      <w:r w:rsidR="0025285C"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electrónicos informando que los enlaces no permitían el acceso, por lo cual, el togado</w:t>
      </w:r>
      <w:r w:rsidR="0025285C"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finalmente remitió los documentos en </w:t>
      </w:r>
      <w:proofErr w:type="spellStart"/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one</w:t>
      </w:r>
      <w:proofErr w:type="spellEnd"/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 drive; sin embargo, los documentos remitidos no</w:t>
      </w:r>
      <w:r w:rsidR="0025285C"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corresponden a los enunciados en el libelo </w:t>
      </w:r>
      <w:proofErr w:type="spellStart"/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demandatorio</w:t>
      </w:r>
      <w:proofErr w:type="spellEnd"/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, téngase encuentra que entre otras</w:t>
      </w:r>
      <w:r w:rsidR="0025285C"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se solicitó la declaratoria de incumplimiento de las pólizas 56716, 54995, 55992, 54026,</w:t>
      </w:r>
      <w:r w:rsidR="0025285C"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57022, 56458, 55552, 55552, 53997, 56518, 55603, 57029, 56501, 55550, 54909,</w:t>
      </w:r>
      <w:r w:rsidR="0025285C"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55498, 56667, 54076, 56645, 55570, 56367, 55956, 55866, 51258, 55682, 55485,</w:t>
      </w:r>
      <w:r w:rsidR="0025285C"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55463, 54840, 55178, 56383, 56000, 51558, 55958, 55684, 56745, 55920, 53810,</w:t>
      </w:r>
      <w:r w:rsidR="0025285C"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56164, 52517, 55489, 55162, 56079, 54863, 51378, 54986, 53454, 56145, 55458,</w:t>
      </w:r>
      <w:r w:rsidR="0025285C"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56522, 52287, 52512, 56749, 55029, 51394, 54897, 54812, 55851, 56033, 52926,</w:t>
      </w:r>
      <w:r w:rsidR="0025285C"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57037, 56010, 56299, 55842, 52941, 52994, 51929, 53880, 51349 y 56232, las cuales</w:t>
      </w:r>
      <w:r w:rsidR="0025285C"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no fueron anexadas.</w:t>
      </w:r>
    </w:p>
    <w:p w14:paraId="508967EF" w14:textId="77777777" w:rsidR="0025285C" w:rsidRDefault="0025285C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</w:p>
    <w:p w14:paraId="47BB0591" w14:textId="62F44860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Téngase en cuenta que el artículo 90 del Estatuto Procesal dispone como causal de inadmisión:</w:t>
      </w:r>
    </w:p>
    <w:p w14:paraId="3E6C84DB" w14:textId="77777777" w:rsidR="0025285C" w:rsidRDefault="0025285C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</w:p>
    <w:p w14:paraId="7E4CBB63" w14:textId="7EA1D4C1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Italic" w:hAnsi="TwCenMT-Italic" w:cs="TwCenMT-Italic"/>
          <w:i/>
          <w:iCs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“</w:t>
      </w:r>
      <w:r>
        <w:rPr>
          <w:rFonts w:ascii="TwCenMT-Italic" w:hAnsi="TwCenMT-Italic" w:cs="TwCenMT-Italic"/>
          <w:i/>
          <w:iCs/>
          <w:kern w:val="0"/>
          <w:sz w:val="24"/>
          <w:szCs w:val="24"/>
          <w:lang w:val="es-CO"/>
        </w:rPr>
        <w:t>2. Cuando no se acompañen los anexos ordenados por la ley.</w:t>
      </w: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”. Por su parte, el numeral 3º del</w:t>
      </w:r>
      <w:r w:rsidR="0025285C"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artículo 84 </w:t>
      </w:r>
      <w:proofErr w:type="spellStart"/>
      <w:r>
        <w:rPr>
          <w:rFonts w:ascii="TwCenMT-Italic" w:hAnsi="TwCenMT-Italic" w:cs="TwCenMT-Italic"/>
          <w:i/>
          <w:iCs/>
          <w:kern w:val="0"/>
          <w:sz w:val="24"/>
          <w:szCs w:val="24"/>
          <w:lang w:val="es-CO"/>
        </w:rPr>
        <w:t>ibídem</w:t>
      </w:r>
      <w:proofErr w:type="spellEnd"/>
      <w:r>
        <w:rPr>
          <w:rFonts w:ascii="TwCenMT-Italic" w:hAnsi="TwCenMT-Italic" w:cs="TwCenMT-Italic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establece que con la demanda deberá acompañarse “</w:t>
      </w:r>
      <w:r>
        <w:rPr>
          <w:rFonts w:ascii="TwCenMT-Italic" w:hAnsi="TwCenMT-Italic" w:cs="TwCenMT-Italic"/>
          <w:i/>
          <w:iCs/>
          <w:kern w:val="0"/>
          <w:sz w:val="24"/>
          <w:szCs w:val="24"/>
          <w:lang w:val="es-CO"/>
        </w:rPr>
        <w:t>Las pruebas</w:t>
      </w:r>
      <w:r w:rsidR="0025285C">
        <w:rPr>
          <w:rFonts w:ascii="TwCenMT-Italic" w:hAnsi="TwCenMT-Italic" w:cs="TwCenMT-Italic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TwCenMT-Italic" w:hAnsi="TwCenMT-Italic" w:cs="TwCenMT-Italic"/>
          <w:i/>
          <w:iCs/>
          <w:kern w:val="0"/>
          <w:sz w:val="24"/>
          <w:szCs w:val="24"/>
          <w:lang w:val="es-CO"/>
        </w:rPr>
        <w:t>extraprocesales y los documentos que se pretenda hacer valer y se encuentren en poder del</w:t>
      </w:r>
    </w:p>
    <w:p w14:paraId="60BDB641" w14:textId="77777777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Italic" w:hAnsi="TwCenMT-Italic" w:cs="TwCenMT-Italic"/>
          <w:i/>
          <w:iCs/>
          <w:kern w:val="0"/>
          <w:sz w:val="24"/>
          <w:szCs w:val="24"/>
          <w:lang w:val="es-CO"/>
        </w:rPr>
        <w:t>demandante</w:t>
      </w: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.”</w:t>
      </w:r>
    </w:p>
    <w:p w14:paraId="45A71CE5" w14:textId="77777777" w:rsidR="0025285C" w:rsidRDefault="0025285C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</w:p>
    <w:p w14:paraId="6905CE07" w14:textId="216BF51D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Así las cosas, como no se dio cumplimiento cabal al punto objeto de inadmisión, se deberá</w:t>
      </w:r>
    </w:p>
    <w:p w14:paraId="1EBDCA65" w14:textId="77777777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rechazar la demanda por indebida subsanación, en atención a lo normado en el artículo 90</w:t>
      </w:r>
    </w:p>
    <w:p w14:paraId="720A5516" w14:textId="77777777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del Estatuto Procesal.</w:t>
      </w:r>
    </w:p>
    <w:p w14:paraId="7125AC0C" w14:textId="77777777" w:rsidR="0025285C" w:rsidRDefault="0025285C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</w:p>
    <w:p w14:paraId="116F2960" w14:textId="370C6258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Finalmente, no se ordenará el desglose de los anexos o del líbelo </w:t>
      </w:r>
      <w:proofErr w:type="spellStart"/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demandatorio</w:t>
      </w:r>
      <w:proofErr w:type="spellEnd"/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, en atención</w:t>
      </w:r>
    </w:p>
    <w:p w14:paraId="70930F6E" w14:textId="77777777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a que su presentación se realizó de forma digital.</w:t>
      </w:r>
    </w:p>
    <w:p w14:paraId="1B047D60" w14:textId="77777777" w:rsidR="0025285C" w:rsidRDefault="0025285C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</w:p>
    <w:p w14:paraId="54C3DAB5" w14:textId="4D463FA5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Por lo expuesto, el Juzgado,</w:t>
      </w:r>
    </w:p>
    <w:p w14:paraId="4773DE49" w14:textId="77777777" w:rsidR="0025285C" w:rsidRDefault="0025285C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kern w:val="0"/>
          <w:sz w:val="24"/>
          <w:szCs w:val="24"/>
          <w:lang w:val="es-CO"/>
        </w:rPr>
      </w:pPr>
    </w:p>
    <w:p w14:paraId="78AA3362" w14:textId="164A9CF3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Bold" w:hAnsi="TwCenMT-Bold" w:cs="TwCenMT-Bold"/>
          <w:b/>
          <w:bCs/>
          <w:kern w:val="0"/>
          <w:sz w:val="24"/>
          <w:szCs w:val="24"/>
          <w:lang w:val="es-CO"/>
        </w:rPr>
        <w:t>RESUELVE</w:t>
      </w: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:</w:t>
      </w:r>
    </w:p>
    <w:p w14:paraId="3F0DC873" w14:textId="77777777" w:rsidR="0025285C" w:rsidRDefault="0025285C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kern w:val="0"/>
          <w:sz w:val="24"/>
          <w:szCs w:val="24"/>
          <w:lang w:val="es-CO"/>
        </w:rPr>
      </w:pPr>
    </w:p>
    <w:p w14:paraId="34822A71" w14:textId="43235F5A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Bold" w:hAnsi="TwCenMT-Bold" w:cs="TwCenMT-Bold"/>
          <w:b/>
          <w:bCs/>
          <w:kern w:val="0"/>
          <w:sz w:val="24"/>
          <w:szCs w:val="24"/>
          <w:lang w:val="es-CO"/>
        </w:rPr>
        <w:t xml:space="preserve">PRIMERO: </w:t>
      </w: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Rechazar por indebida subsanación, la presente demanda.</w:t>
      </w:r>
    </w:p>
    <w:p w14:paraId="54CF2F5E" w14:textId="77777777" w:rsidR="0025285C" w:rsidRDefault="0025285C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kern w:val="0"/>
          <w:sz w:val="24"/>
          <w:szCs w:val="24"/>
          <w:lang w:val="es-CO"/>
        </w:rPr>
      </w:pPr>
    </w:p>
    <w:p w14:paraId="00A30400" w14:textId="0ECFCBEE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Bold" w:hAnsi="TwCenMT-Bold" w:cs="TwCenMT-Bold"/>
          <w:b/>
          <w:bCs/>
          <w:kern w:val="0"/>
          <w:sz w:val="24"/>
          <w:szCs w:val="24"/>
          <w:lang w:val="es-CO"/>
        </w:rPr>
        <w:t xml:space="preserve">SEGUNDO: </w:t>
      </w: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Previas las constancias de rigor, expídase el oficio compensatorio del caso.</w:t>
      </w:r>
    </w:p>
    <w:p w14:paraId="1389366B" w14:textId="77777777" w:rsidR="0025285C" w:rsidRDefault="0025285C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</w:pPr>
    </w:p>
    <w:p w14:paraId="08DD2A67" w14:textId="2B59150C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</w:pPr>
      <w:r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  <w:t>NOTIFÍQUESE Y CÚMPLASE</w:t>
      </w:r>
    </w:p>
    <w:p w14:paraId="269E7369" w14:textId="77777777" w:rsidR="0025285C" w:rsidRDefault="0025285C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</w:pPr>
    </w:p>
    <w:p w14:paraId="27B05FF4" w14:textId="11F95E2C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</w:pPr>
      <w:r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  <w:t>GERMÁN EDUARDO RIVERO SALAZAR</w:t>
      </w:r>
    </w:p>
    <w:p w14:paraId="345DCAE7" w14:textId="77777777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</w:pPr>
      <w:r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  <w:t>JUEZ</w:t>
      </w:r>
    </w:p>
    <w:p w14:paraId="4A3081AE" w14:textId="77777777" w:rsidR="0025285C" w:rsidRDefault="0025285C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kern w:val="0"/>
          <w:sz w:val="20"/>
          <w:szCs w:val="20"/>
          <w:lang w:val="es-CO"/>
        </w:rPr>
      </w:pPr>
    </w:p>
    <w:p w14:paraId="0D3DC50B" w14:textId="27BE4A2E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kern w:val="0"/>
          <w:sz w:val="20"/>
          <w:szCs w:val="20"/>
          <w:lang w:val="es-CO"/>
        </w:rPr>
      </w:pPr>
      <w:r>
        <w:rPr>
          <w:rFonts w:ascii="TwCenMT-Bold" w:hAnsi="TwCenMT-Bold" w:cs="TwCenMT-Bold"/>
          <w:b/>
          <w:bCs/>
          <w:kern w:val="0"/>
          <w:sz w:val="20"/>
          <w:szCs w:val="20"/>
          <w:lang w:val="es-CO"/>
        </w:rPr>
        <w:lastRenderedPageBreak/>
        <w:t>JUZGADO 53 CIVIL DEL CIRCUITO DE BOGOTÁ,</w:t>
      </w:r>
    </w:p>
    <w:p w14:paraId="15BCECE9" w14:textId="77777777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kern w:val="0"/>
          <w:sz w:val="20"/>
          <w:szCs w:val="20"/>
          <w:lang w:val="es-CO"/>
        </w:rPr>
      </w:pPr>
      <w:r>
        <w:rPr>
          <w:rFonts w:ascii="TwCenMT-Bold" w:hAnsi="TwCenMT-Bold" w:cs="TwCenMT-Bold"/>
          <w:b/>
          <w:bCs/>
          <w:kern w:val="0"/>
          <w:sz w:val="20"/>
          <w:szCs w:val="20"/>
          <w:lang w:val="es-CO"/>
        </w:rPr>
        <w:t>D.C.</w:t>
      </w:r>
    </w:p>
    <w:p w14:paraId="0BD9616E" w14:textId="77777777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0"/>
          <w:szCs w:val="20"/>
          <w:lang w:val="es-CO"/>
        </w:rPr>
      </w:pPr>
      <w:r>
        <w:rPr>
          <w:rFonts w:ascii="TwCenMT-Regular" w:hAnsi="TwCenMT-Regular" w:cs="TwCenMT-Regular"/>
          <w:kern w:val="0"/>
          <w:sz w:val="20"/>
          <w:szCs w:val="20"/>
          <w:lang w:val="es-CO"/>
        </w:rPr>
        <w:t>Notificación por Estado</w:t>
      </w:r>
    </w:p>
    <w:p w14:paraId="2D7B6C53" w14:textId="77777777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0"/>
          <w:szCs w:val="20"/>
          <w:lang w:val="es-CO"/>
        </w:rPr>
      </w:pPr>
      <w:r>
        <w:rPr>
          <w:rFonts w:ascii="TwCenMT-Regular" w:hAnsi="TwCenMT-Regular" w:cs="TwCenMT-Regular"/>
          <w:kern w:val="0"/>
          <w:sz w:val="20"/>
          <w:szCs w:val="20"/>
          <w:lang w:val="es-CO"/>
        </w:rPr>
        <w:t>La providencia anterior se notificó por anotación en</w:t>
      </w:r>
    </w:p>
    <w:p w14:paraId="72F7868D" w14:textId="77777777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0"/>
          <w:szCs w:val="20"/>
          <w:lang w:val="es-CO"/>
        </w:rPr>
      </w:pPr>
      <w:r>
        <w:rPr>
          <w:rFonts w:ascii="TwCenMT-Regular" w:hAnsi="TwCenMT-Regular" w:cs="TwCenMT-Regular"/>
          <w:kern w:val="0"/>
          <w:sz w:val="20"/>
          <w:szCs w:val="20"/>
          <w:lang w:val="es-CO"/>
        </w:rPr>
        <w:t>estado No. 62 fijado hoy 01 de diciembre de 2023,</w:t>
      </w:r>
    </w:p>
    <w:p w14:paraId="1CF1C1FA" w14:textId="77777777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0"/>
          <w:szCs w:val="20"/>
          <w:lang w:val="es-CO"/>
        </w:rPr>
      </w:pPr>
      <w:r>
        <w:rPr>
          <w:rFonts w:ascii="TwCenMT-Regular" w:hAnsi="TwCenMT-Regular" w:cs="TwCenMT-Regular"/>
          <w:kern w:val="0"/>
          <w:sz w:val="20"/>
          <w:szCs w:val="20"/>
          <w:lang w:val="es-CO"/>
        </w:rPr>
        <w:t>a la hora de las 8.00 A.M.</w:t>
      </w:r>
    </w:p>
    <w:p w14:paraId="01AB6186" w14:textId="77777777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FrenchScriptMT" w:hAnsi="FrenchScriptMT" w:cs="FrenchScriptMT"/>
          <w:kern w:val="0"/>
          <w:sz w:val="24"/>
          <w:szCs w:val="24"/>
          <w:lang w:val="es-CO"/>
        </w:rPr>
      </w:pPr>
      <w:r>
        <w:rPr>
          <w:rFonts w:ascii="FrenchScriptMT" w:hAnsi="FrenchScriptMT" w:cs="FrenchScriptMT"/>
          <w:kern w:val="0"/>
          <w:sz w:val="24"/>
          <w:szCs w:val="24"/>
          <w:lang w:val="es-CO"/>
        </w:rPr>
        <w:t>Luz Ángela Sandoval Guzmán</w:t>
      </w:r>
    </w:p>
    <w:p w14:paraId="26C91305" w14:textId="77777777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0"/>
          <w:szCs w:val="20"/>
          <w:lang w:val="es-CO"/>
        </w:rPr>
      </w:pPr>
      <w:r>
        <w:rPr>
          <w:rFonts w:ascii="TwCenMT-Regular" w:hAnsi="TwCenMT-Regular" w:cs="TwCenMT-Regular"/>
          <w:kern w:val="0"/>
          <w:sz w:val="20"/>
          <w:szCs w:val="20"/>
          <w:lang w:val="es-CO"/>
        </w:rPr>
        <w:t>Secretaria</w:t>
      </w:r>
    </w:p>
    <w:p w14:paraId="0AEB6949" w14:textId="77777777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Firmado Por:</w:t>
      </w:r>
    </w:p>
    <w:p w14:paraId="0432BE0F" w14:textId="77777777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German Eduardo Rivero Salazar</w:t>
      </w:r>
    </w:p>
    <w:p w14:paraId="29B20331" w14:textId="77777777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Juez</w:t>
      </w:r>
    </w:p>
    <w:p w14:paraId="2D313C0E" w14:textId="77777777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Juzgado De Circuito</w:t>
      </w:r>
    </w:p>
    <w:p w14:paraId="54D9A2FA" w14:textId="77777777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Civil 053</w:t>
      </w:r>
    </w:p>
    <w:p w14:paraId="3C4E2C02" w14:textId="77777777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Bogotá, D.C. - Bogotá D.C.,</w:t>
      </w:r>
    </w:p>
    <w:p w14:paraId="1DFB24BE" w14:textId="77777777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Este documento fue generado con firma electrónica y cuenta con plena validez jurídica,</w:t>
      </w:r>
    </w:p>
    <w:p w14:paraId="46BD4299" w14:textId="77777777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conforme a lo dispuesto en la Ley 527/99 y el decreto reglamentario 2364/12</w:t>
      </w:r>
    </w:p>
    <w:p w14:paraId="65B0BC8C" w14:textId="77777777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Código de verificación: 5e827fa5ed56f274b0e598f37ac9cfd033a5b53fde5f5468b7f8605a16b21fa8</w:t>
      </w:r>
    </w:p>
    <w:p w14:paraId="483E4650" w14:textId="77777777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Documento generado en 30/11/2023 04:26:01 PM</w:t>
      </w:r>
    </w:p>
    <w:p w14:paraId="181C43C8" w14:textId="77777777" w:rsidR="00803A73" w:rsidRDefault="00803A73" w:rsidP="0025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s-CO"/>
        </w:rPr>
      </w:pPr>
      <w:r>
        <w:rPr>
          <w:rFonts w:ascii="Arial" w:hAnsi="Arial" w:cs="Arial"/>
          <w:kern w:val="0"/>
          <w:sz w:val="20"/>
          <w:szCs w:val="20"/>
          <w:lang w:val="es-CO"/>
        </w:rPr>
        <w:t xml:space="preserve">Descargue el archivo y valide </w:t>
      </w:r>
      <w:proofErr w:type="gramStart"/>
      <w:r>
        <w:rPr>
          <w:rFonts w:ascii="Arial" w:hAnsi="Arial" w:cs="Arial"/>
          <w:kern w:val="0"/>
          <w:sz w:val="20"/>
          <w:szCs w:val="20"/>
          <w:lang w:val="es-CO"/>
        </w:rPr>
        <w:t>éste</w:t>
      </w:r>
      <w:proofErr w:type="gramEnd"/>
      <w:r>
        <w:rPr>
          <w:rFonts w:ascii="Arial" w:hAnsi="Arial" w:cs="Arial"/>
          <w:kern w:val="0"/>
          <w:sz w:val="20"/>
          <w:szCs w:val="20"/>
          <w:lang w:val="es-CO"/>
        </w:rPr>
        <w:t xml:space="preserve"> documento electrónico en la siguiente URL:</w:t>
      </w:r>
    </w:p>
    <w:p w14:paraId="6EDE4471" w14:textId="0F610588" w:rsidR="000E0AB3" w:rsidRDefault="00803A73" w:rsidP="0025285C">
      <w:pPr>
        <w:jc w:val="both"/>
      </w:pPr>
      <w:r>
        <w:rPr>
          <w:rFonts w:ascii="Arial" w:hAnsi="Arial" w:cs="Arial"/>
          <w:kern w:val="0"/>
          <w:sz w:val="20"/>
          <w:szCs w:val="20"/>
          <w:lang w:val="es-CO"/>
        </w:rPr>
        <w:t>https://procesojudicial.ramajudicial.gov.co/FirmaElectronica</w:t>
      </w:r>
    </w:p>
    <w:sectPr w:rsidR="000E0A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CenMT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CenM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CenM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CenM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nchScript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035E5"/>
    <w:multiLevelType w:val="hybridMultilevel"/>
    <w:tmpl w:val="017C3498"/>
    <w:lvl w:ilvl="0" w:tplc="EF180CF2">
      <w:start w:val="1"/>
      <w:numFmt w:val="decimal"/>
      <w:lvlText w:val="%1."/>
      <w:lvlJc w:val="left"/>
      <w:pPr>
        <w:ind w:left="4860" w:hanging="4500"/>
      </w:pPr>
      <w:rPr>
        <w:rFonts w:ascii="TwCenMT-Italic" w:hAnsi="TwCenMT-Italic" w:cs="TwCenMT-Italic"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8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B9"/>
    <w:rsid w:val="000E0AB3"/>
    <w:rsid w:val="0025285C"/>
    <w:rsid w:val="005375B9"/>
    <w:rsid w:val="00737460"/>
    <w:rsid w:val="00803A73"/>
    <w:rsid w:val="00B06FB1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112E"/>
  <w15:chartTrackingRefBased/>
  <w15:docId w15:val="{68BABE68-6FFD-4261-A584-621DF4F7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714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6</cp:revision>
  <dcterms:created xsi:type="dcterms:W3CDTF">2023-12-01T15:35:00Z</dcterms:created>
  <dcterms:modified xsi:type="dcterms:W3CDTF">2023-12-01T15:40:00Z</dcterms:modified>
</cp:coreProperties>
</file>