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9E860" w14:textId="77777777" w:rsidR="00C71799" w:rsidRPr="0066501B" w:rsidRDefault="00C71799" w:rsidP="0066501B">
      <w:pPr>
        <w:shd w:val="clear" w:color="auto" w:fill="FFFFFF"/>
        <w:spacing w:line="360" w:lineRule="auto"/>
        <w:jc w:val="both"/>
        <w:textAlignment w:val="baseline"/>
        <w:rPr>
          <w:rFonts w:ascii="Arial" w:hAnsi="Arial" w:cs="Arial"/>
          <w:sz w:val="22"/>
          <w:szCs w:val="22"/>
          <w:lang w:eastAsia="es-CO"/>
        </w:rPr>
      </w:pPr>
      <w:r w:rsidRPr="0066501B">
        <w:rPr>
          <w:rFonts w:ascii="Arial" w:hAnsi="Arial" w:cs="Arial"/>
          <w:sz w:val="22"/>
          <w:szCs w:val="22"/>
        </w:rPr>
        <w:t>Señores </w:t>
      </w:r>
    </w:p>
    <w:p w14:paraId="352468FE" w14:textId="77777777" w:rsidR="00C71799" w:rsidRPr="0066501B" w:rsidRDefault="00C71799" w:rsidP="0066501B">
      <w:pPr>
        <w:shd w:val="clear" w:color="auto" w:fill="FFFFFF"/>
        <w:spacing w:line="360" w:lineRule="auto"/>
        <w:jc w:val="both"/>
        <w:textAlignment w:val="baseline"/>
        <w:rPr>
          <w:rFonts w:ascii="Arial" w:hAnsi="Arial" w:cs="Arial"/>
          <w:b/>
          <w:bCs/>
          <w:sz w:val="22"/>
          <w:szCs w:val="22"/>
        </w:rPr>
      </w:pPr>
      <w:r w:rsidRPr="0066501B">
        <w:rPr>
          <w:rFonts w:ascii="Arial" w:hAnsi="Arial" w:cs="Arial"/>
          <w:b/>
          <w:bCs/>
          <w:sz w:val="22"/>
          <w:szCs w:val="22"/>
        </w:rPr>
        <w:t>JUZGADO DOCE (12) CIVIL MUNICIPAL DE BOGOTA D.C.</w:t>
      </w:r>
    </w:p>
    <w:p w14:paraId="50DCA201" w14:textId="77777777" w:rsidR="00C71799" w:rsidRPr="0066501B" w:rsidRDefault="00941F3B" w:rsidP="0066501B">
      <w:pPr>
        <w:shd w:val="clear" w:color="auto" w:fill="FFFFFF"/>
        <w:spacing w:line="360" w:lineRule="auto"/>
        <w:jc w:val="both"/>
        <w:textAlignment w:val="baseline"/>
        <w:rPr>
          <w:rFonts w:ascii="Arial" w:hAnsi="Arial" w:cs="Arial"/>
          <w:b/>
          <w:bCs/>
          <w:sz w:val="22"/>
          <w:szCs w:val="22"/>
        </w:rPr>
      </w:pPr>
      <w:hyperlink r:id="rId8" w:history="1">
        <w:r w:rsidR="00C71799" w:rsidRPr="0066501B">
          <w:rPr>
            <w:rStyle w:val="Hipervnculo"/>
            <w:rFonts w:ascii="Arial" w:hAnsi="Arial" w:cs="Arial"/>
            <w:b/>
            <w:bCs/>
            <w:sz w:val="22"/>
            <w:szCs w:val="22"/>
          </w:rPr>
          <w:t>cmpl12bt@cendoj.ramajudicial.gov.co</w:t>
        </w:r>
      </w:hyperlink>
      <w:r w:rsidR="00C71799" w:rsidRPr="0066501B">
        <w:rPr>
          <w:rFonts w:ascii="Arial" w:hAnsi="Arial" w:cs="Arial"/>
          <w:b/>
          <w:bCs/>
          <w:sz w:val="22"/>
          <w:szCs w:val="22"/>
        </w:rPr>
        <w:t xml:space="preserve"> </w:t>
      </w:r>
    </w:p>
    <w:p w14:paraId="3B3FD003"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r w:rsidRPr="0066501B">
        <w:rPr>
          <w:rFonts w:ascii="Arial" w:hAnsi="Arial" w:cs="Arial"/>
          <w:sz w:val="22"/>
          <w:szCs w:val="22"/>
        </w:rPr>
        <w:t xml:space="preserve">E. </w:t>
      </w:r>
      <w:r w:rsidRPr="0066501B">
        <w:rPr>
          <w:rFonts w:ascii="Arial" w:hAnsi="Arial" w:cs="Arial"/>
          <w:sz w:val="22"/>
          <w:szCs w:val="22"/>
        </w:rPr>
        <w:tab/>
        <w:t xml:space="preserve">S. </w:t>
      </w:r>
      <w:r w:rsidRPr="0066501B">
        <w:rPr>
          <w:rFonts w:ascii="Arial" w:hAnsi="Arial" w:cs="Arial"/>
          <w:sz w:val="22"/>
          <w:szCs w:val="22"/>
        </w:rPr>
        <w:tab/>
        <w:t>D. </w:t>
      </w:r>
    </w:p>
    <w:p w14:paraId="1A1BE027"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p>
    <w:p w14:paraId="3A730293"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r w:rsidRPr="0066501B">
        <w:rPr>
          <w:rFonts w:ascii="Arial" w:hAnsi="Arial" w:cs="Arial"/>
          <w:b/>
          <w:bCs/>
          <w:sz w:val="22"/>
          <w:szCs w:val="22"/>
        </w:rPr>
        <w:t>REFERENCIA</w:t>
      </w:r>
      <w:r w:rsidRPr="0066501B">
        <w:rPr>
          <w:rFonts w:ascii="Arial" w:hAnsi="Arial" w:cs="Arial"/>
          <w:sz w:val="22"/>
          <w:szCs w:val="22"/>
        </w:rPr>
        <w:t>:    PROCESO VERBAL </w:t>
      </w:r>
    </w:p>
    <w:p w14:paraId="6936830A"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r w:rsidRPr="0066501B">
        <w:rPr>
          <w:rFonts w:ascii="Arial" w:hAnsi="Arial" w:cs="Arial"/>
          <w:b/>
          <w:bCs/>
          <w:sz w:val="22"/>
          <w:szCs w:val="22"/>
        </w:rPr>
        <w:t>RADICADO</w:t>
      </w:r>
      <w:r w:rsidRPr="0066501B">
        <w:rPr>
          <w:rFonts w:ascii="Arial" w:hAnsi="Arial" w:cs="Arial"/>
          <w:sz w:val="22"/>
          <w:szCs w:val="22"/>
        </w:rPr>
        <w:t xml:space="preserve">: </w:t>
      </w:r>
      <w:r w:rsidRPr="0066501B">
        <w:rPr>
          <w:rFonts w:ascii="Arial" w:hAnsi="Arial" w:cs="Arial"/>
          <w:sz w:val="22"/>
          <w:szCs w:val="22"/>
        </w:rPr>
        <w:t> </w:t>
      </w:r>
      <w:r w:rsidRPr="0066501B">
        <w:rPr>
          <w:rFonts w:ascii="Arial" w:hAnsi="Arial" w:cs="Arial"/>
          <w:sz w:val="22"/>
          <w:szCs w:val="22"/>
        </w:rPr>
        <w:t> </w:t>
      </w:r>
      <w:r w:rsidRPr="0066501B">
        <w:rPr>
          <w:rFonts w:ascii="Arial" w:hAnsi="Arial" w:cs="Arial"/>
          <w:sz w:val="22"/>
          <w:szCs w:val="22"/>
        </w:rPr>
        <w:t>   110014003012-</w:t>
      </w:r>
      <w:r w:rsidRPr="0066501B">
        <w:rPr>
          <w:rFonts w:ascii="Arial" w:hAnsi="Arial" w:cs="Arial"/>
          <w:b/>
          <w:sz w:val="22"/>
          <w:szCs w:val="22"/>
          <w:u w:val="single"/>
        </w:rPr>
        <w:t>2023-00878</w:t>
      </w:r>
      <w:r w:rsidRPr="0066501B">
        <w:rPr>
          <w:rFonts w:ascii="Arial" w:hAnsi="Arial" w:cs="Arial"/>
          <w:sz w:val="22"/>
          <w:szCs w:val="22"/>
        </w:rPr>
        <w:t>-00</w:t>
      </w:r>
    </w:p>
    <w:p w14:paraId="6B4DF4F7"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r w:rsidRPr="0066501B">
        <w:rPr>
          <w:rFonts w:ascii="Arial" w:hAnsi="Arial" w:cs="Arial"/>
          <w:b/>
          <w:bCs/>
          <w:sz w:val="22"/>
          <w:szCs w:val="22"/>
        </w:rPr>
        <w:t>DEMANDANTE</w:t>
      </w:r>
      <w:r w:rsidRPr="0066501B">
        <w:rPr>
          <w:rFonts w:ascii="Arial" w:hAnsi="Arial" w:cs="Arial"/>
          <w:sz w:val="22"/>
          <w:szCs w:val="22"/>
        </w:rPr>
        <w:t>:  ROLBERT AVAD RODRÍGUEZ LOZANO</w:t>
      </w:r>
    </w:p>
    <w:p w14:paraId="28BB9BDF"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r w:rsidRPr="0066501B">
        <w:rPr>
          <w:rFonts w:ascii="Arial" w:hAnsi="Arial" w:cs="Arial"/>
          <w:b/>
          <w:bCs/>
          <w:sz w:val="22"/>
          <w:szCs w:val="22"/>
        </w:rPr>
        <w:t>DEMANDADOS</w:t>
      </w:r>
      <w:r w:rsidRPr="0066501B">
        <w:rPr>
          <w:rFonts w:ascii="Arial" w:hAnsi="Arial" w:cs="Arial"/>
          <w:sz w:val="22"/>
          <w:szCs w:val="22"/>
        </w:rPr>
        <w:t>: ALLIANZ SEGUROS S.A.</w:t>
      </w:r>
    </w:p>
    <w:p w14:paraId="40578278"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p>
    <w:p w14:paraId="783501DE" w14:textId="77777777" w:rsidR="00C71799" w:rsidRPr="0066501B" w:rsidRDefault="00C71799" w:rsidP="0066501B">
      <w:pPr>
        <w:shd w:val="clear" w:color="auto" w:fill="FFFFFF"/>
        <w:spacing w:line="360" w:lineRule="auto"/>
        <w:jc w:val="right"/>
        <w:textAlignment w:val="baseline"/>
        <w:rPr>
          <w:rFonts w:ascii="Arial" w:hAnsi="Arial" w:cs="Arial"/>
          <w:sz w:val="22"/>
          <w:szCs w:val="22"/>
        </w:rPr>
      </w:pPr>
      <w:r w:rsidRPr="0066501B">
        <w:rPr>
          <w:rFonts w:ascii="Arial" w:hAnsi="Arial" w:cs="Arial"/>
          <w:b/>
          <w:bCs/>
          <w:sz w:val="22"/>
          <w:szCs w:val="22"/>
        </w:rPr>
        <w:t>ASUNTO</w:t>
      </w:r>
      <w:r w:rsidRPr="0066501B">
        <w:rPr>
          <w:rFonts w:ascii="Arial" w:hAnsi="Arial" w:cs="Arial"/>
          <w:sz w:val="22"/>
          <w:szCs w:val="22"/>
        </w:rPr>
        <w:t xml:space="preserve">: REPAROS CONCRETOS CONTRA LA SENTENCIA </w:t>
      </w:r>
    </w:p>
    <w:p w14:paraId="24959E68" w14:textId="77777777" w:rsidR="00C71799" w:rsidRPr="0066501B" w:rsidRDefault="00C71799" w:rsidP="0066501B">
      <w:pPr>
        <w:shd w:val="clear" w:color="auto" w:fill="FFFFFF"/>
        <w:spacing w:line="360" w:lineRule="auto"/>
        <w:jc w:val="right"/>
        <w:textAlignment w:val="baseline"/>
        <w:rPr>
          <w:rFonts w:ascii="Arial" w:hAnsi="Arial" w:cs="Arial"/>
          <w:sz w:val="22"/>
          <w:szCs w:val="22"/>
        </w:rPr>
      </w:pPr>
      <w:r w:rsidRPr="0066501B">
        <w:rPr>
          <w:rFonts w:ascii="Arial" w:hAnsi="Arial" w:cs="Arial"/>
          <w:sz w:val="22"/>
          <w:szCs w:val="22"/>
        </w:rPr>
        <w:t>DEL 30 DE JULIO DE 2024 </w:t>
      </w:r>
    </w:p>
    <w:p w14:paraId="1AEABFE5"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p>
    <w:p w14:paraId="3AD06BF0" w14:textId="36DDDEC2" w:rsidR="00C71799" w:rsidRPr="0066501B" w:rsidRDefault="00C71799" w:rsidP="0066501B">
      <w:pPr>
        <w:shd w:val="clear" w:color="auto" w:fill="FFFFFF"/>
        <w:spacing w:line="360" w:lineRule="auto"/>
        <w:jc w:val="both"/>
        <w:textAlignment w:val="baseline"/>
        <w:rPr>
          <w:rFonts w:ascii="Arial" w:hAnsi="Arial" w:cs="Arial"/>
          <w:sz w:val="22"/>
          <w:szCs w:val="22"/>
        </w:rPr>
      </w:pPr>
      <w:r w:rsidRPr="0066501B">
        <w:rPr>
          <w:rFonts w:ascii="Arial" w:hAnsi="Arial" w:cs="Arial"/>
          <w:b/>
          <w:bCs/>
          <w:sz w:val="22"/>
          <w:szCs w:val="22"/>
        </w:rPr>
        <w:t>GUSTAVO ALBERTO HERRERA ÁVILA</w:t>
      </w:r>
      <w:r w:rsidRPr="0066501B">
        <w:rPr>
          <w:rFonts w:ascii="Arial" w:hAnsi="Arial" w:cs="Arial"/>
          <w:sz w:val="22"/>
          <w:szCs w:val="22"/>
        </w:rPr>
        <w:t>, mayor de edad, identificado con la cédula de ciudadanía No. 19.395.114 expedida en Bogotá, abogado titulado y en ejercicio, portador de la Tarjeta Profesional No. 39.116 del Consejo Superior de la Judicatura, actuando en calidad de apoderado de </w:t>
      </w:r>
      <w:r w:rsidRPr="0066501B">
        <w:rPr>
          <w:rFonts w:ascii="Arial" w:hAnsi="Arial" w:cs="Arial"/>
          <w:b/>
          <w:bCs/>
          <w:sz w:val="22"/>
          <w:szCs w:val="22"/>
        </w:rPr>
        <w:t>ALLIANZ SEGUROS S.A</w:t>
      </w:r>
      <w:r w:rsidRPr="0066501B">
        <w:rPr>
          <w:rFonts w:ascii="Arial" w:hAnsi="Arial" w:cs="Arial"/>
          <w:sz w:val="22"/>
          <w:szCs w:val="22"/>
        </w:rPr>
        <w:t xml:space="preserve">., conforme al poder que reposa en el expediente, </w:t>
      </w:r>
      <w:r w:rsidR="00EE3A0B" w:rsidRPr="0066501B">
        <w:rPr>
          <w:rFonts w:ascii="Arial" w:hAnsi="Arial" w:cs="Arial"/>
          <w:sz w:val="22"/>
          <w:szCs w:val="22"/>
        </w:rPr>
        <w:t>manifiesto</w:t>
      </w:r>
      <w:r w:rsidRPr="0066501B">
        <w:rPr>
          <w:rFonts w:ascii="Arial" w:hAnsi="Arial" w:cs="Arial"/>
          <w:sz w:val="22"/>
          <w:szCs w:val="22"/>
        </w:rPr>
        <w:t xml:space="preserve"> que </w:t>
      </w:r>
      <w:r w:rsidRPr="0066501B">
        <w:rPr>
          <w:rFonts w:ascii="Arial" w:hAnsi="Arial" w:cs="Arial"/>
          <w:b/>
          <w:sz w:val="22"/>
          <w:szCs w:val="22"/>
        </w:rPr>
        <w:t xml:space="preserve">REASUMO </w:t>
      </w:r>
      <w:r w:rsidRPr="0066501B">
        <w:rPr>
          <w:rFonts w:ascii="Arial" w:hAnsi="Arial" w:cs="Arial"/>
          <w:sz w:val="22"/>
          <w:szCs w:val="22"/>
        </w:rPr>
        <w:t xml:space="preserve">el poder a mi conferido, y en el mismo acto me permito presentar los </w:t>
      </w:r>
      <w:r w:rsidRPr="0066501B">
        <w:rPr>
          <w:rFonts w:ascii="Arial" w:hAnsi="Arial" w:cs="Arial"/>
          <w:b/>
          <w:sz w:val="22"/>
          <w:szCs w:val="22"/>
        </w:rPr>
        <w:t xml:space="preserve">REPAROS CONCRETOS </w:t>
      </w:r>
      <w:r w:rsidRPr="0066501B">
        <w:rPr>
          <w:rFonts w:ascii="Arial" w:hAnsi="Arial" w:cs="Arial"/>
          <w:sz w:val="22"/>
          <w:szCs w:val="22"/>
        </w:rPr>
        <w:t>contra la sentencia de primera instancia proferida de forma oral por su despacho el 30 de julio del 2024 en audiencia de instrucción y juzgamiento, en este proceso, por medio del cual se resolvió acceder a las pretensiones de la demanda y condenar a mi prohijada, solicitando desde este momento que tal providencia sea revocada íntegramente, de conformidad con los fundamentos fácticos y jurídicos que se esgrimen a continuación:</w:t>
      </w:r>
    </w:p>
    <w:p w14:paraId="68C9B56B"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p>
    <w:p w14:paraId="1D41C4E8" w14:textId="77777777" w:rsidR="00C71799" w:rsidRPr="0066501B" w:rsidRDefault="00C71799" w:rsidP="0066501B">
      <w:pPr>
        <w:shd w:val="clear" w:color="auto" w:fill="FFFFFF"/>
        <w:spacing w:line="360" w:lineRule="auto"/>
        <w:jc w:val="both"/>
        <w:textAlignment w:val="baseline"/>
        <w:rPr>
          <w:rFonts w:ascii="Arial" w:eastAsia="Arial" w:hAnsi="Arial" w:cs="Arial"/>
          <w:b/>
          <w:bCs/>
          <w:sz w:val="22"/>
          <w:szCs w:val="22"/>
        </w:rPr>
      </w:pPr>
    </w:p>
    <w:p w14:paraId="7F2BB57E" w14:textId="77777777" w:rsidR="00C71799" w:rsidRPr="0066501B" w:rsidRDefault="00C71799" w:rsidP="0066501B">
      <w:pPr>
        <w:pStyle w:val="Prrafodelista"/>
        <w:numPr>
          <w:ilvl w:val="0"/>
          <w:numId w:val="2"/>
        </w:numPr>
        <w:spacing w:line="360" w:lineRule="auto"/>
        <w:jc w:val="center"/>
        <w:rPr>
          <w:rFonts w:ascii="Arial" w:eastAsia="Arial" w:hAnsi="Arial" w:cs="Arial"/>
          <w:b/>
          <w:bCs/>
          <w:sz w:val="22"/>
          <w:szCs w:val="22"/>
        </w:rPr>
      </w:pPr>
      <w:r w:rsidRPr="0066501B">
        <w:rPr>
          <w:rFonts w:ascii="Arial" w:eastAsia="Arial" w:hAnsi="Arial" w:cs="Arial"/>
          <w:b/>
          <w:bCs/>
          <w:sz w:val="22"/>
          <w:szCs w:val="22"/>
        </w:rPr>
        <w:t>OPORTUNIDAD Y PROCEDENCIA</w:t>
      </w:r>
    </w:p>
    <w:p w14:paraId="4ADEB256" w14:textId="77777777" w:rsidR="00C71799" w:rsidRPr="0066501B" w:rsidRDefault="00C71799" w:rsidP="0066501B">
      <w:pPr>
        <w:spacing w:line="360" w:lineRule="auto"/>
        <w:jc w:val="both"/>
        <w:rPr>
          <w:rFonts w:ascii="Arial" w:eastAsia="Arial" w:hAnsi="Arial" w:cs="Arial"/>
          <w:b/>
          <w:bCs/>
          <w:sz w:val="22"/>
          <w:szCs w:val="22"/>
        </w:rPr>
      </w:pPr>
    </w:p>
    <w:p w14:paraId="5C6C67FB" w14:textId="77777777" w:rsidR="00C71799" w:rsidRPr="0066501B" w:rsidRDefault="00C71799" w:rsidP="0066501B">
      <w:pPr>
        <w:spacing w:line="360" w:lineRule="auto"/>
        <w:jc w:val="both"/>
        <w:rPr>
          <w:rFonts w:ascii="Arial" w:eastAsia="Arial" w:hAnsi="Arial" w:cs="Arial"/>
          <w:sz w:val="22"/>
          <w:szCs w:val="22"/>
        </w:rPr>
      </w:pPr>
      <w:r w:rsidRPr="0066501B">
        <w:rPr>
          <w:rFonts w:ascii="Arial" w:eastAsia="Arial" w:hAnsi="Arial" w:cs="Arial"/>
          <w:sz w:val="22"/>
          <w:szCs w:val="22"/>
        </w:rPr>
        <w:t>Como lo dispone el artículo 322 numeral 3 inciso del Código General del Proceso, presento los reparos manifestados dentro del término de tres (3) días hábiles siguientes a la realización de la misma:</w:t>
      </w:r>
    </w:p>
    <w:p w14:paraId="45DDE0C0" w14:textId="77777777" w:rsidR="00C71799" w:rsidRPr="0066501B" w:rsidRDefault="00C71799" w:rsidP="0066501B">
      <w:pPr>
        <w:spacing w:line="360" w:lineRule="auto"/>
        <w:jc w:val="both"/>
        <w:rPr>
          <w:rFonts w:ascii="Arial" w:eastAsia="Arial" w:hAnsi="Arial" w:cs="Arial"/>
          <w:sz w:val="22"/>
          <w:szCs w:val="22"/>
        </w:rPr>
      </w:pPr>
    </w:p>
    <w:p w14:paraId="6C03F40C" w14:textId="77777777" w:rsidR="00C71799" w:rsidRPr="0066501B" w:rsidRDefault="00C71799" w:rsidP="0066501B">
      <w:pPr>
        <w:spacing w:line="360" w:lineRule="auto"/>
        <w:ind w:left="680" w:right="680"/>
        <w:jc w:val="both"/>
        <w:rPr>
          <w:rFonts w:ascii="Arial" w:eastAsia="Arial" w:hAnsi="Arial" w:cs="Arial"/>
          <w:i/>
          <w:iCs/>
          <w:sz w:val="22"/>
          <w:szCs w:val="22"/>
        </w:rPr>
      </w:pPr>
      <w:r w:rsidRPr="0066501B">
        <w:rPr>
          <w:rFonts w:ascii="Arial" w:eastAsia="Arial" w:hAnsi="Arial" w:cs="Arial"/>
          <w:i/>
          <w:iCs/>
          <w:sz w:val="22"/>
          <w:szCs w:val="22"/>
        </w:rPr>
        <w:t>“(…) Cuando se apele una sentencia, el apelante, al momento de interponer el recurso en la audiencia, si hubiere sido proferida en ella, o dentro de los tres (3) días siguientes a su finalización o a la notificación de la que hubiere sido dictada por fuera de audiencia, deberá precisar, de manera breve, los reparos concretos que le hace a la decisión, sobre los cuales versará la sustentación que hará ante el superior (…)”</w:t>
      </w:r>
    </w:p>
    <w:p w14:paraId="6EB66971" w14:textId="77777777" w:rsidR="00C71799" w:rsidRPr="0066501B" w:rsidRDefault="00C71799" w:rsidP="0066501B">
      <w:pPr>
        <w:spacing w:line="360" w:lineRule="auto"/>
        <w:jc w:val="both"/>
        <w:rPr>
          <w:rFonts w:ascii="Arial" w:eastAsia="Arial" w:hAnsi="Arial" w:cs="Arial"/>
          <w:i/>
          <w:iCs/>
          <w:sz w:val="22"/>
          <w:szCs w:val="22"/>
        </w:rPr>
      </w:pPr>
    </w:p>
    <w:p w14:paraId="66F80245" w14:textId="553AF25F" w:rsidR="00C71799" w:rsidRPr="0066501B" w:rsidRDefault="00C71799" w:rsidP="0066501B">
      <w:pPr>
        <w:spacing w:line="360" w:lineRule="auto"/>
        <w:jc w:val="both"/>
        <w:rPr>
          <w:rFonts w:ascii="Arial" w:eastAsia="Arial" w:hAnsi="Arial" w:cs="Arial"/>
          <w:sz w:val="22"/>
          <w:szCs w:val="22"/>
        </w:rPr>
      </w:pPr>
      <w:r w:rsidRPr="0066501B">
        <w:rPr>
          <w:rFonts w:ascii="Arial" w:eastAsia="Arial" w:hAnsi="Arial" w:cs="Arial"/>
          <w:sz w:val="22"/>
          <w:szCs w:val="22"/>
        </w:rPr>
        <w:t xml:space="preserve">En el caso en concreto, la audiencia mediante la cual se dictó sentencia oral se llevó a cabo </w:t>
      </w:r>
      <w:r w:rsidR="00433D3F" w:rsidRPr="0066501B">
        <w:rPr>
          <w:rFonts w:ascii="Arial" w:hAnsi="Arial" w:cs="Arial"/>
          <w:sz w:val="22"/>
          <w:szCs w:val="22"/>
        </w:rPr>
        <w:t>30 de julio del 2024</w:t>
      </w:r>
      <w:r w:rsidRPr="0066501B">
        <w:rPr>
          <w:rFonts w:ascii="Arial" w:eastAsia="Arial" w:hAnsi="Arial" w:cs="Arial"/>
          <w:sz w:val="22"/>
          <w:szCs w:val="22"/>
        </w:rPr>
        <w:t xml:space="preserve">. Allí se interpuso el recurso y se manifestó la exposición de los reparos de forma </w:t>
      </w:r>
      <w:r w:rsidRPr="0066501B">
        <w:rPr>
          <w:rFonts w:ascii="Arial" w:eastAsia="Arial" w:hAnsi="Arial" w:cs="Arial"/>
          <w:sz w:val="22"/>
          <w:szCs w:val="22"/>
        </w:rPr>
        <w:lastRenderedPageBreak/>
        <w:t xml:space="preserve">escrita. El término de tres días hábiles concluye el </w:t>
      </w:r>
      <w:r w:rsidR="00433D3F" w:rsidRPr="0066501B">
        <w:rPr>
          <w:rFonts w:ascii="Arial" w:hAnsi="Arial" w:cs="Arial"/>
          <w:sz w:val="22"/>
          <w:szCs w:val="22"/>
        </w:rPr>
        <w:t>02 de agosto del 2024</w:t>
      </w:r>
      <w:r w:rsidRPr="0066501B">
        <w:rPr>
          <w:rFonts w:ascii="Arial" w:eastAsia="Arial" w:hAnsi="Arial" w:cs="Arial"/>
          <w:sz w:val="22"/>
          <w:szCs w:val="22"/>
        </w:rPr>
        <w:t>, por lo tanto, este escrito se remite dentro del término procesal oportuno.</w:t>
      </w:r>
    </w:p>
    <w:p w14:paraId="537BF266" w14:textId="77777777" w:rsidR="00C71799" w:rsidRPr="0066501B" w:rsidRDefault="00C71799" w:rsidP="0066501B">
      <w:pPr>
        <w:spacing w:line="360" w:lineRule="auto"/>
        <w:jc w:val="both"/>
        <w:rPr>
          <w:rFonts w:ascii="Arial" w:eastAsia="Arial" w:hAnsi="Arial" w:cs="Arial"/>
          <w:sz w:val="22"/>
          <w:szCs w:val="22"/>
        </w:rPr>
      </w:pPr>
    </w:p>
    <w:p w14:paraId="550F0B05" w14:textId="77777777" w:rsidR="00C71799" w:rsidRPr="0066501B" w:rsidRDefault="00C71799" w:rsidP="0066501B">
      <w:pPr>
        <w:spacing w:line="360" w:lineRule="auto"/>
        <w:jc w:val="both"/>
        <w:rPr>
          <w:rFonts w:ascii="Arial" w:eastAsia="Arial" w:hAnsi="Arial" w:cs="Arial"/>
          <w:sz w:val="22"/>
          <w:szCs w:val="22"/>
        </w:rPr>
      </w:pPr>
    </w:p>
    <w:p w14:paraId="3D26A219" w14:textId="77777777" w:rsidR="00C71799" w:rsidRPr="0066501B" w:rsidRDefault="00C71799" w:rsidP="0066501B">
      <w:pPr>
        <w:pStyle w:val="Prrafodelista"/>
        <w:numPr>
          <w:ilvl w:val="0"/>
          <w:numId w:val="2"/>
        </w:numPr>
        <w:spacing w:line="360" w:lineRule="auto"/>
        <w:jc w:val="center"/>
        <w:rPr>
          <w:rFonts w:ascii="Arial" w:eastAsia="Arial" w:hAnsi="Arial" w:cs="Arial"/>
          <w:b/>
          <w:bCs/>
          <w:sz w:val="22"/>
          <w:szCs w:val="22"/>
        </w:rPr>
      </w:pPr>
      <w:r w:rsidRPr="0066501B">
        <w:rPr>
          <w:rFonts w:ascii="Arial" w:eastAsia="Arial" w:hAnsi="Arial" w:cs="Arial"/>
          <w:b/>
          <w:bCs/>
          <w:sz w:val="22"/>
          <w:szCs w:val="22"/>
        </w:rPr>
        <w:t>REPAROS CONTRA LA SENTENCIA</w:t>
      </w:r>
    </w:p>
    <w:p w14:paraId="69599C2F" w14:textId="77777777" w:rsidR="00C71799" w:rsidRPr="0066501B" w:rsidRDefault="00C71799" w:rsidP="0066501B">
      <w:pPr>
        <w:spacing w:line="360" w:lineRule="auto"/>
        <w:jc w:val="both"/>
        <w:rPr>
          <w:rFonts w:ascii="Arial" w:eastAsia="Arial" w:hAnsi="Arial" w:cs="Arial"/>
          <w:b/>
          <w:bCs/>
          <w:sz w:val="22"/>
          <w:szCs w:val="22"/>
        </w:rPr>
      </w:pPr>
    </w:p>
    <w:p w14:paraId="2DC9A0E0" w14:textId="77777777" w:rsidR="00C71799" w:rsidRPr="0066501B" w:rsidRDefault="00C71799" w:rsidP="0066501B">
      <w:pPr>
        <w:pStyle w:val="Prrafodelista"/>
        <w:numPr>
          <w:ilvl w:val="0"/>
          <w:numId w:val="1"/>
        </w:numPr>
        <w:spacing w:line="360" w:lineRule="auto"/>
        <w:jc w:val="both"/>
        <w:rPr>
          <w:rFonts w:ascii="Arial" w:eastAsia="Arial" w:hAnsi="Arial" w:cs="Arial"/>
          <w:b/>
          <w:bCs/>
          <w:sz w:val="22"/>
          <w:szCs w:val="22"/>
        </w:rPr>
      </w:pPr>
      <w:r w:rsidRPr="0066501B">
        <w:rPr>
          <w:rFonts w:ascii="Arial" w:eastAsia="Arial" w:hAnsi="Arial" w:cs="Arial"/>
          <w:b/>
          <w:bCs/>
          <w:sz w:val="22"/>
          <w:szCs w:val="22"/>
        </w:rPr>
        <w:t>DEFECTO FÁCTICO POR INDEBIDA VALORACIÓN PROBATORIA QUE CONLLEVÓ A QUE EL JUZGADO DE ORIGEN INAPLICARA TOTALMENTE EL ARTÍCULO 1077 DEL CÓDIGO DE COMERCIO DEBIDO A QUE, AL NO HABERSE COMPROBADO LA REALIZACIÓN DEL RIESGO ASEGURADO NI LA CUANTÍA DE LA PÉRDIDA, NO HABÍA LUGAR A DECLARAR LA RESPONSABILIDAD DEL ASEGURADOR</w:t>
      </w:r>
    </w:p>
    <w:p w14:paraId="2B2D7723" w14:textId="77777777" w:rsidR="00C71799" w:rsidRPr="0066501B" w:rsidRDefault="00C71799" w:rsidP="0066501B">
      <w:pPr>
        <w:spacing w:line="360" w:lineRule="auto"/>
        <w:jc w:val="both"/>
        <w:rPr>
          <w:rFonts w:ascii="Arial" w:eastAsia="Arial" w:hAnsi="Arial" w:cs="Arial"/>
          <w:b/>
          <w:bCs/>
          <w:sz w:val="22"/>
          <w:szCs w:val="22"/>
        </w:rPr>
      </w:pPr>
    </w:p>
    <w:p w14:paraId="27AFD71B" w14:textId="1E858668" w:rsidR="006A3EBA" w:rsidRPr="0066501B" w:rsidRDefault="00C71799" w:rsidP="0066501B">
      <w:pPr>
        <w:spacing w:line="360" w:lineRule="auto"/>
        <w:jc w:val="both"/>
        <w:rPr>
          <w:rFonts w:ascii="Arial" w:hAnsi="Arial" w:cs="Arial"/>
          <w:sz w:val="22"/>
          <w:szCs w:val="22"/>
        </w:rPr>
      </w:pPr>
      <w:r w:rsidRPr="0066501B">
        <w:rPr>
          <w:rFonts w:ascii="Arial" w:eastAsia="Arial" w:hAnsi="Arial" w:cs="Arial"/>
          <w:sz w:val="22"/>
          <w:szCs w:val="22"/>
        </w:rPr>
        <w:t>E</w:t>
      </w:r>
      <w:r w:rsidRPr="0066501B">
        <w:rPr>
          <w:rFonts w:ascii="Arial" w:hAnsi="Arial" w:cs="Arial"/>
          <w:sz w:val="22"/>
          <w:szCs w:val="22"/>
        </w:rPr>
        <w:t xml:space="preserve">l a quo, realizó una indebida valoración </w:t>
      </w:r>
      <w:r w:rsidR="001A3883" w:rsidRPr="0066501B">
        <w:rPr>
          <w:rFonts w:ascii="Arial" w:hAnsi="Arial" w:cs="Arial"/>
          <w:sz w:val="22"/>
          <w:szCs w:val="22"/>
        </w:rPr>
        <w:t>de las pruebas allegadas al proceso</w:t>
      </w:r>
      <w:r w:rsidRPr="0066501B">
        <w:rPr>
          <w:rFonts w:ascii="Arial" w:hAnsi="Arial" w:cs="Arial"/>
          <w:sz w:val="22"/>
          <w:szCs w:val="22"/>
        </w:rPr>
        <w:t xml:space="preserve">, para endilgar responsabilidad civil en cabeza </w:t>
      </w:r>
      <w:r w:rsidR="001A3883" w:rsidRPr="0066501B">
        <w:rPr>
          <w:rFonts w:ascii="Arial" w:hAnsi="Arial" w:cs="Arial"/>
          <w:sz w:val="22"/>
          <w:szCs w:val="22"/>
        </w:rPr>
        <w:t xml:space="preserve">de mi mandante, omitiendo efectuar una debida valoración al informe emitido por el Instituto Nacional de Investigación y Prevención del Fraude (INIF), y del testimonio del señor Luis Carlos Pérez Rubio, funcionario adscrito a dicha institución. Concretamente mediante dicho elemento probatorio se acreditó que en el caso que nos asiste </w:t>
      </w:r>
      <w:r w:rsidR="006A3EBA" w:rsidRPr="0066501B">
        <w:rPr>
          <w:rFonts w:ascii="Arial" w:hAnsi="Arial" w:cs="Arial"/>
          <w:sz w:val="22"/>
          <w:szCs w:val="22"/>
        </w:rPr>
        <w:t xml:space="preserve">existe una verdadera incertidumbre sobre la forma en la que podría haberse desarrollado el evento denunciado por el asegurado, y que, por contera, no está fehacientemente probado el siniestro y que, en consecuencia, </w:t>
      </w:r>
      <w:r w:rsidR="001A3883" w:rsidRPr="0066501B">
        <w:rPr>
          <w:rFonts w:ascii="Arial" w:hAnsi="Arial" w:cs="Arial"/>
          <w:sz w:val="22"/>
          <w:szCs w:val="22"/>
        </w:rPr>
        <w:t xml:space="preserve">no </w:t>
      </w:r>
      <w:r w:rsidR="006A3EBA" w:rsidRPr="0066501B">
        <w:rPr>
          <w:rFonts w:ascii="Arial" w:hAnsi="Arial" w:cs="Arial"/>
          <w:sz w:val="22"/>
          <w:szCs w:val="22"/>
        </w:rPr>
        <w:t>se probó el</w:t>
      </w:r>
      <w:r w:rsidR="001A3883" w:rsidRPr="0066501B">
        <w:rPr>
          <w:rFonts w:ascii="Arial" w:hAnsi="Arial" w:cs="Arial"/>
          <w:sz w:val="22"/>
          <w:szCs w:val="22"/>
        </w:rPr>
        <w:t xml:space="preserve"> presunto incumplimiento contractual que se pr</w:t>
      </w:r>
      <w:r w:rsidR="006A3EBA" w:rsidRPr="0066501B">
        <w:rPr>
          <w:rFonts w:ascii="Arial" w:hAnsi="Arial" w:cs="Arial"/>
          <w:sz w:val="22"/>
          <w:szCs w:val="22"/>
        </w:rPr>
        <w:t xml:space="preserve">etende por la parte accionante. </w:t>
      </w:r>
    </w:p>
    <w:p w14:paraId="7FA9479C" w14:textId="77777777" w:rsidR="006A3EBA" w:rsidRPr="0066501B" w:rsidRDefault="006A3EBA" w:rsidP="0066501B">
      <w:pPr>
        <w:spacing w:line="360" w:lineRule="auto"/>
        <w:jc w:val="both"/>
        <w:rPr>
          <w:rFonts w:ascii="Arial" w:hAnsi="Arial" w:cs="Arial"/>
          <w:sz w:val="22"/>
          <w:szCs w:val="22"/>
        </w:rPr>
      </w:pPr>
    </w:p>
    <w:p w14:paraId="5293B819" w14:textId="258BB930" w:rsidR="001A3883" w:rsidRPr="0066501B" w:rsidRDefault="006A3EBA" w:rsidP="0066501B">
      <w:pPr>
        <w:spacing w:line="360" w:lineRule="auto"/>
        <w:jc w:val="both"/>
        <w:rPr>
          <w:rFonts w:ascii="Arial" w:hAnsi="Arial" w:cs="Arial"/>
          <w:sz w:val="22"/>
          <w:szCs w:val="22"/>
        </w:rPr>
      </w:pPr>
      <w:r w:rsidRPr="0066501B">
        <w:rPr>
          <w:rFonts w:ascii="Arial" w:hAnsi="Arial" w:cs="Arial"/>
          <w:sz w:val="22"/>
          <w:szCs w:val="22"/>
        </w:rPr>
        <w:t xml:space="preserve">En efecto, </w:t>
      </w:r>
      <w:r w:rsidR="001A3883" w:rsidRPr="0066501B">
        <w:rPr>
          <w:rFonts w:ascii="Arial" w:hAnsi="Arial" w:cs="Arial"/>
          <w:sz w:val="22"/>
          <w:szCs w:val="22"/>
        </w:rPr>
        <w:t xml:space="preserve">la actora no cumplió con la carga probatoria contemplada en el precedente jurisprudencial de la H. Corte Suprema de Justicia frente a estos particulares, en los cuales señala que </w:t>
      </w:r>
      <w:r w:rsidR="001A3883" w:rsidRPr="0066501B">
        <w:rPr>
          <w:rFonts w:ascii="Arial" w:hAnsi="Arial" w:cs="Arial"/>
          <w:i/>
          <w:sz w:val="22"/>
          <w:szCs w:val="22"/>
        </w:rPr>
        <w:t>“(…) sobre el asegurado gravita el onusprobandi de la ocurrencia del siniestro, la existencia y cuantía (…)”</w:t>
      </w:r>
      <w:r w:rsidRPr="0066501B">
        <w:rPr>
          <w:rFonts w:ascii="Arial" w:hAnsi="Arial" w:cs="Arial"/>
          <w:sz w:val="22"/>
          <w:szCs w:val="22"/>
        </w:rPr>
        <w:t xml:space="preserve">; también, afirma la Corte, el asegurado debe informar prontamente la ocurrencia del riesgo asegurado </w:t>
      </w:r>
      <w:r w:rsidRPr="0066501B">
        <w:rPr>
          <w:rFonts w:ascii="Arial" w:hAnsi="Arial" w:cs="Arial"/>
          <w:i/>
          <w:sz w:val="22"/>
          <w:szCs w:val="22"/>
        </w:rPr>
        <w:t>“(…) aparejado de los comprobantes que, según las condiciones de la correspondiente póliza sean indispensables para acreditar los requisitos del artículo 1077, o sea, el acaecimiento del riesgo y la cuantía de la pérdida (…)”;</w:t>
      </w:r>
      <w:r w:rsidRPr="0066501B">
        <w:rPr>
          <w:rFonts w:ascii="Arial" w:hAnsi="Arial" w:cs="Arial"/>
          <w:sz w:val="22"/>
          <w:szCs w:val="22"/>
        </w:rPr>
        <w:t xml:space="preserve">  carga demostrativa que la parte actora no ha cumplido, haciendo improcedente una sentencia a favor de sus pretensiones.</w:t>
      </w:r>
    </w:p>
    <w:p w14:paraId="6DF71E9B" w14:textId="77777777" w:rsidR="006A3EBA" w:rsidRPr="0066501B" w:rsidRDefault="006A3EBA" w:rsidP="0066501B">
      <w:pPr>
        <w:spacing w:line="360" w:lineRule="auto"/>
        <w:jc w:val="both"/>
        <w:rPr>
          <w:rFonts w:ascii="Arial" w:hAnsi="Arial" w:cs="Arial"/>
          <w:sz w:val="22"/>
          <w:szCs w:val="22"/>
        </w:rPr>
      </w:pPr>
    </w:p>
    <w:p w14:paraId="344A6F08" w14:textId="48923A69" w:rsidR="0071405C" w:rsidRPr="0066501B" w:rsidRDefault="001A3883" w:rsidP="0066501B">
      <w:pPr>
        <w:spacing w:line="360" w:lineRule="auto"/>
        <w:jc w:val="both"/>
        <w:rPr>
          <w:rFonts w:ascii="Arial" w:hAnsi="Arial" w:cs="Arial"/>
          <w:sz w:val="22"/>
          <w:szCs w:val="22"/>
        </w:rPr>
      </w:pPr>
      <w:r w:rsidRPr="0066501B">
        <w:rPr>
          <w:rFonts w:ascii="Arial" w:hAnsi="Arial" w:cs="Arial"/>
          <w:sz w:val="22"/>
          <w:szCs w:val="22"/>
        </w:rPr>
        <w:t xml:space="preserve">En el caso concreto, la parte actora se encontraba en la obligación de demostrar por medio de elementos probatorios pertinentes, conducentes y útiles que el siniestro efectivamente ocurrió. Es decir, demostrar plenamente la ocurrencia del presunto accidente en el que </w:t>
      </w:r>
      <w:r w:rsidR="00C15FF0" w:rsidRPr="0066501B">
        <w:rPr>
          <w:rFonts w:ascii="Arial" w:hAnsi="Arial" w:cs="Arial"/>
          <w:sz w:val="22"/>
          <w:szCs w:val="22"/>
        </w:rPr>
        <w:t>habría resultado</w:t>
      </w:r>
      <w:r w:rsidRPr="0066501B">
        <w:rPr>
          <w:rFonts w:ascii="Arial" w:hAnsi="Arial" w:cs="Arial"/>
          <w:sz w:val="22"/>
          <w:szCs w:val="22"/>
        </w:rPr>
        <w:t xml:space="preserve"> gravemente dañado el vehículo de placas EHR666, situación que no ocurrió. Aunque se presenta con la demanda un relato sucinto de la forma en la supuestamente ocurrieron los hecho</w:t>
      </w:r>
      <w:r w:rsidR="0071405C" w:rsidRPr="0066501B">
        <w:rPr>
          <w:rFonts w:ascii="Arial" w:hAnsi="Arial" w:cs="Arial"/>
          <w:sz w:val="22"/>
          <w:szCs w:val="22"/>
        </w:rPr>
        <w:t>s, debe decirse que no se aportó</w:t>
      </w:r>
      <w:r w:rsidRPr="0066501B">
        <w:rPr>
          <w:rFonts w:ascii="Arial" w:hAnsi="Arial" w:cs="Arial"/>
          <w:sz w:val="22"/>
          <w:szCs w:val="22"/>
        </w:rPr>
        <w:t xml:space="preserve"> ninguna prueba contundente para pr</w:t>
      </w:r>
      <w:r w:rsidR="0071405C" w:rsidRPr="0066501B">
        <w:rPr>
          <w:rFonts w:ascii="Arial" w:hAnsi="Arial" w:cs="Arial"/>
          <w:sz w:val="22"/>
          <w:szCs w:val="22"/>
        </w:rPr>
        <w:t xml:space="preserve">obar la ocurrencia del accidente </w:t>
      </w:r>
      <w:r w:rsidRPr="0066501B">
        <w:rPr>
          <w:rFonts w:ascii="Arial" w:hAnsi="Arial" w:cs="Arial"/>
          <w:sz w:val="22"/>
          <w:szCs w:val="22"/>
        </w:rPr>
        <w:t>de tránsito tales como el I</w:t>
      </w:r>
      <w:r w:rsidR="0071405C" w:rsidRPr="0066501B">
        <w:rPr>
          <w:rFonts w:ascii="Arial" w:hAnsi="Arial" w:cs="Arial"/>
          <w:sz w:val="22"/>
          <w:szCs w:val="22"/>
        </w:rPr>
        <w:t xml:space="preserve">nforme </w:t>
      </w:r>
      <w:r w:rsidRPr="0066501B">
        <w:rPr>
          <w:rFonts w:ascii="Arial" w:hAnsi="Arial" w:cs="Arial"/>
          <w:sz w:val="22"/>
          <w:szCs w:val="22"/>
        </w:rPr>
        <w:t>P</w:t>
      </w:r>
      <w:r w:rsidR="0071405C" w:rsidRPr="0066501B">
        <w:rPr>
          <w:rFonts w:ascii="Arial" w:hAnsi="Arial" w:cs="Arial"/>
          <w:sz w:val="22"/>
          <w:szCs w:val="22"/>
        </w:rPr>
        <w:t xml:space="preserve">olicial de </w:t>
      </w:r>
      <w:r w:rsidRPr="0066501B">
        <w:rPr>
          <w:rFonts w:ascii="Arial" w:hAnsi="Arial" w:cs="Arial"/>
          <w:sz w:val="22"/>
          <w:szCs w:val="22"/>
        </w:rPr>
        <w:t>A</w:t>
      </w:r>
      <w:r w:rsidR="0071405C" w:rsidRPr="0066501B">
        <w:rPr>
          <w:rFonts w:ascii="Arial" w:hAnsi="Arial" w:cs="Arial"/>
          <w:sz w:val="22"/>
          <w:szCs w:val="22"/>
        </w:rPr>
        <w:t xml:space="preserve">ccidentes de </w:t>
      </w:r>
      <w:r w:rsidRPr="0066501B">
        <w:rPr>
          <w:rFonts w:ascii="Arial" w:hAnsi="Arial" w:cs="Arial"/>
          <w:sz w:val="22"/>
          <w:szCs w:val="22"/>
        </w:rPr>
        <w:t>T</w:t>
      </w:r>
      <w:r w:rsidR="0071405C" w:rsidRPr="0066501B">
        <w:rPr>
          <w:rFonts w:ascii="Arial" w:hAnsi="Arial" w:cs="Arial"/>
          <w:sz w:val="22"/>
          <w:szCs w:val="22"/>
        </w:rPr>
        <w:t>ránsito</w:t>
      </w:r>
      <w:r w:rsidRPr="0066501B">
        <w:rPr>
          <w:rFonts w:ascii="Arial" w:hAnsi="Arial" w:cs="Arial"/>
          <w:sz w:val="22"/>
          <w:szCs w:val="22"/>
        </w:rPr>
        <w:t xml:space="preserve">, ni ningún otro documento o testigo </w:t>
      </w:r>
      <w:r w:rsidR="0071405C" w:rsidRPr="0066501B">
        <w:rPr>
          <w:rFonts w:ascii="Arial" w:hAnsi="Arial" w:cs="Arial"/>
          <w:sz w:val="22"/>
          <w:szCs w:val="22"/>
        </w:rPr>
        <w:t>presencial de los hechos;</w:t>
      </w:r>
      <w:r w:rsidRPr="0066501B">
        <w:rPr>
          <w:rFonts w:ascii="Arial" w:hAnsi="Arial" w:cs="Arial"/>
          <w:sz w:val="22"/>
          <w:szCs w:val="22"/>
        </w:rPr>
        <w:t xml:space="preserve"> es decir</w:t>
      </w:r>
      <w:r w:rsidR="0071405C" w:rsidRPr="0066501B">
        <w:rPr>
          <w:rFonts w:ascii="Arial" w:hAnsi="Arial" w:cs="Arial"/>
          <w:sz w:val="22"/>
          <w:szCs w:val="22"/>
        </w:rPr>
        <w:t>, lo único que existe es la</w:t>
      </w:r>
      <w:r w:rsidRPr="0066501B">
        <w:rPr>
          <w:rFonts w:ascii="Arial" w:hAnsi="Arial" w:cs="Arial"/>
          <w:sz w:val="22"/>
          <w:szCs w:val="22"/>
        </w:rPr>
        <w:t xml:space="preserve"> mera manifestación del demandante </w:t>
      </w:r>
      <w:r w:rsidR="0071405C" w:rsidRPr="0066501B">
        <w:rPr>
          <w:rFonts w:ascii="Arial" w:hAnsi="Arial" w:cs="Arial"/>
          <w:sz w:val="22"/>
          <w:szCs w:val="22"/>
        </w:rPr>
        <w:t xml:space="preserve">la cual de ninguna manera </w:t>
      </w:r>
      <w:r w:rsidRPr="0066501B">
        <w:rPr>
          <w:rFonts w:ascii="Arial" w:hAnsi="Arial" w:cs="Arial"/>
          <w:sz w:val="22"/>
          <w:szCs w:val="22"/>
        </w:rPr>
        <w:t xml:space="preserve">no constituye </w:t>
      </w:r>
      <w:r w:rsidR="0071405C" w:rsidRPr="0066501B">
        <w:rPr>
          <w:rFonts w:ascii="Arial" w:hAnsi="Arial" w:cs="Arial"/>
          <w:sz w:val="22"/>
          <w:szCs w:val="22"/>
        </w:rPr>
        <w:t xml:space="preserve">elemento de </w:t>
      </w:r>
      <w:r w:rsidRPr="0066501B">
        <w:rPr>
          <w:rFonts w:ascii="Arial" w:hAnsi="Arial" w:cs="Arial"/>
          <w:sz w:val="22"/>
          <w:szCs w:val="22"/>
        </w:rPr>
        <w:t xml:space="preserve">prueba de la ocurrencia del riesgo asegurado.   </w:t>
      </w:r>
    </w:p>
    <w:p w14:paraId="3AB9A07D" w14:textId="77777777" w:rsidR="0071405C" w:rsidRPr="0066501B" w:rsidRDefault="0071405C" w:rsidP="0066501B">
      <w:pPr>
        <w:spacing w:line="360" w:lineRule="auto"/>
        <w:jc w:val="both"/>
        <w:rPr>
          <w:rFonts w:ascii="Arial" w:hAnsi="Arial" w:cs="Arial"/>
          <w:sz w:val="22"/>
          <w:szCs w:val="22"/>
        </w:rPr>
      </w:pPr>
    </w:p>
    <w:p w14:paraId="6A4B1371" w14:textId="7DC4E992" w:rsidR="0071405C" w:rsidRPr="0066501B" w:rsidRDefault="0071405C" w:rsidP="0066501B">
      <w:pPr>
        <w:spacing w:line="360" w:lineRule="auto"/>
        <w:jc w:val="both"/>
        <w:rPr>
          <w:rFonts w:ascii="Arial" w:hAnsi="Arial" w:cs="Arial"/>
          <w:sz w:val="22"/>
          <w:szCs w:val="22"/>
        </w:rPr>
      </w:pPr>
      <w:r w:rsidRPr="0066501B">
        <w:rPr>
          <w:rFonts w:ascii="Arial" w:hAnsi="Arial" w:cs="Arial"/>
          <w:sz w:val="22"/>
          <w:szCs w:val="22"/>
        </w:rPr>
        <w:t xml:space="preserve">Ahora bien, si bien comparecieron dos testigos al proceso aportados por la parte demandante, se evidenció que ambos tienen parentesco </w:t>
      </w:r>
      <w:r w:rsidR="00220238" w:rsidRPr="0066501B">
        <w:rPr>
          <w:rFonts w:ascii="Arial" w:hAnsi="Arial" w:cs="Arial"/>
          <w:sz w:val="22"/>
          <w:szCs w:val="22"/>
        </w:rPr>
        <w:t xml:space="preserve">consanguíneo o de </w:t>
      </w:r>
      <w:r w:rsidRPr="0066501B">
        <w:rPr>
          <w:rFonts w:ascii="Arial" w:hAnsi="Arial" w:cs="Arial"/>
          <w:sz w:val="22"/>
          <w:szCs w:val="22"/>
        </w:rPr>
        <w:t xml:space="preserve">afinidad con el demandante, por lo que </w:t>
      </w:r>
      <w:r w:rsidR="00220238" w:rsidRPr="0066501B">
        <w:rPr>
          <w:rFonts w:ascii="Arial" w:hAnsi="Arial" w:cs="Arial"/>
          <w:sz w:val="22"/>
          <w:szCs w:val="22"/>
        </w:rPr>
        <w:t xml:space="preserve">el despacho no puede conceder a dichos testigos la validez demostrativa pretendida por el extremo actor; máxime cuando estas personas no fueron </w:t>
      </w:r>
      <w:r w:rsidR="00AE59F9" w:rsidRPr="0066501B">
        <w:rPr>
          <w:rFonts w:ascii="Arial" w:hAnsi="Arial" w:cs="Arial"/>
          <w:sz w:val="22"/>
          <w:szCs w:val="22"/>
        </w:rPr>
        <w:t xml:space="preserve">testigos presenciales del hecho luego que llegaron al lugar del presunto accidente momentos después de que este había ocurrido. De manera que a estos no les consta de forma directa la forma en la que el accidente habría tenido lugar. </w:t>
      </w:r>
    </w:p>
    <w:p w14:paraId="525C825D" w14:textId="77777777" w:rsidR="0071405C" w:rsidRPr="0066501B" w:rsidRDefault="0071405C" w:rsidP="0066501B">
      <w:pPr>
        <w:spacing w:line="360" w:lineRule="auto"/>
        <w:jc w:val="both"/>
        <w:rPr>
          <w:rFonts w:ascii="Arial" w:hAnsi="Arial" w:cs="Arial"/>
          <w:sz w:val="22"/>
          <w:szCs w:val="22"/>
        </w:rPr>
      </w:pPr>
    </w:p>
    <w:p w14:paraId="16C9673D" w14:textId="230ABA52" w:rsidR="001A3883" w:rsidRPr="0066501B" w:rsidRDefault="00AE59F9" w:rsidP="0066501B">
      <w:pPr>
        <w:spacing w:line="360" w:lineRule="auto"/>
        <w:jc w:val="both"/>
        <w:rPr>
          <w:rFonts w:ascii="Arial" w:hAnsi="Arial" w:cs="Arial"/>
          <w:sz w:val="22"/>
          <w:szCs w:val="22"/>
        </w:rPr>
      </w:pPr>
      <w:r w:rsidRPr="0066501B">
        <w:rPr>
          <w:rFonts w:ascii="Arial" w:hAnsi="Arial" w:cs="Arial"/>
          <w:sz w:val="22"/>
          <w:szCs w:val="22"/>
        </w:rPr>
        <w:t>Es preciso se tenga en cuenta que, d</w:t>
      </w:r>
      <w:r w:rsidR="001A3883" w:rsidRPr="0066501B">
        <w:rPr>
          <w:rFonts w:ascii="Arial" w:hAnsi="Arial" w:cs="Arial"/>
          <w:sz w:val="22"/>
          <w:szCs w:val="22"/>
        </w:rPr>
        <w:t xml:space="preserve">e lo relatado por el señor Rodríguez se colige que, aparentemente, el vehículo de placas EHR666 se vio involucrado en extrañas circunstancias en las que </w:t>
      </w:r>
      <w:r w:rsidR="00324189" w:rsidRPr="0066501B">
        <w:rPr>
          <w:rFonts w:ascii="Arial" w:hAnsi="Arial" w:cs="Arial"/>
          <w:sz w:val="22"/>
          <w:szCs w:val="22"/>
        </w:rPr>
        <w:t xml:space="preserve">presuntamente </w:t>
      </w:r>
      <w:r w:rsidR="001A3883" w:rsidRPr="0066501B">
        <w:rPr>
          <w:rFonts w:ascii="Arial" w:hAnsi="Arial" w:cs="Arial"/>
          <w:sz w:val="22"/>
          <w:szCs w:val="22"/>
        </w:rPr>
        <w:t>perdió el control del vehículo y este cayó al vacío por un barranco, pero que él logró salir del vehículo antes quedando completamente ileso.</w:t>
      </w:r>
      <w:r w:rsidR="00324189" w:rsidRPr="0066501B">
        <w:rPr>
          <w:rFonts w:ascii="Arial" w:hAnsi="Arial" w:cs="Arial"/>
          <w:sz w:val="22"/>
          <w:szCs w:val="22"/>
        </w:rPr>
        <w:t xml:space="preserve"> Sin embargo, y sin perjuicio de la versión del asegurado, d</w:t>
      </w:r>
      <w:r w:rsidR="001A3883" w:rsidRPr="0066501B">
        <w:rPr>
          <w:rFonts w:ascii="Arial" w:hAnsi="Arial" w:cs="Arial"/>
          <w:sz w:val="22"/>
          <w:szCs w:val="22"/>
        </w:rPr>
        <w:t xml:space="preserve">ebe resaltarse que no se logró demostrar fehacientemente </w:t>
      </w:r>
      <w:r w:rsidR="00324189" w:rsidRPr="0066501B">
        <w:rPr>
          <w:rFonts w:ascii="Arial" w:hAnsi="Arial" w:cs="Arial"/>
          <w:sz w:val="22"/>
          <w:szCs w:val="22"/>
        </w:rPr>
        <w:t xml:space="preserve">que ese </w:t>
      </w:r>
      <w:r w:rsidR="001A3883" w:rsidRPr="0066501B">
        <w:rPr>
          <w:rFonts w:ascii="Arial" w:hAnsi="Arial" w:cs="Arial"/>
          <w:sz w:val="22"/>
          <w:szCs w:val="22"/>
        </w:rPr>
        <w:t xml:space="preserve">evento </w:t>
      </w:r>
      <w:r w:rsidR="00324189" w:rsidRPr="0066501B">
        <w:rPr>
          <w:rFonts w:ascii="Arial" w:hAnsi="Arial" w:cs="Arial"/>
          <w:sz w:val="22"/>
          <w:szCs w:val="22"/>
        </w:rPr>
        <w:t xml:space="preserve">se produjo de esa </w:t>
      </w:r>
      <w:r w:rsidR="001A3883" w:rsidRPr="0066501B">
        <w:rPr>
          <w:rFonts w:ascii="Arial" w:hAnsi="Arial" w:cs="Arial"/>
          <w:sz w:val="22"/>
          <w:szCs w:val="22"/>
        </w:rPr>
        <w:t xml:space="preserve">manera, de hecho, hay mucha y, verdadera incertidumbre sobre la forma en la que podría haberse desarrollado el </w:t>
      </w:r>
      <w:r w:rsidR="00324189" w:rsidRPr="0066501B">
        <w:rPr>
          <w:rFonts w:ascii="Arial" w:hAnsi="Arial" w:cs="Arial"/>
          <w:sz w:val="22"/>
          <w:szCs w:val="22"/>
        </w:rPr>
        <w:t xml:space="preserve">accidente </w:t>
      </w:r>
      <w:r w:rsidR="001A3883" w:rsidRPr="0066501B">
        <w:rPr>
          <w:rFonts w:ascii="Arial" w:hAnsi="Arial" w:cs="Arial"/>
          <w:sz w:val="22"/>
          <w:szCs w:val="22"/>
        </w:rPr>
        <w:t>denunciado; y es que, se resalta ejemplo lo siguiente:</w:t>
      </w:r>
      <w:r w:rsidR="00324189" w:rsidRPr="0066501B">
        <w:rPr>
          <w:rFonts w:ascii="Arial" w:hAnsi="Arial" w:cs="Arial"/>
          <w:sz w:val="22"/>
          <w:szCs w:val="22"/>
        </w:rPr>
        <w:t xml:space="preserve"> (i) s</w:t>
      </w:r>
      <w:r w:rsidR="001A3883" w:rsidRPr="0066501B">
        <w:rPr>
          <w:rFonts w:ascii="Arial" w:hAnsi="Arial" w:cs="Arial"/>
          <w:sz w:val="22"/>
          <w:szCs w:val="22"/>
        </w:rPr>
        <w:t>i el vehículo perdió el control y cayó al vacío, debía andar a una velocidad considerable en la cual cualquier persona que se lance de un vehículo en movimiento a esa velocidad, resultaría, al menos, levemente herido, sin embargo, el conductor no resultó lesionado e</w:t>
      </w:r>
      <w:r w:rsidR="00324189" w:rsidRPr="0066501B">
        <w:rPr>
          <w:rFonts w:ascii="Arial" w:hAnsi="Arial" w:cs="Arial"/>
          <w:sz w:val="22"/>
          <w:szCs w:val="22"/>
        </w:rPr>
        <w:t>n el accidente, y eso se afirma por cuanto no se aportó ningún elemento documental que de cuenta fehaciente de la existencia de lesiones; (ii) n</w:t>
      </w:r>
      <w:r w:rsidR="001A3883" w:rsidRPr="0066501B">
        <w:rPr>
          <w:rFonts w:ascii="Arial" w:hAnsi="Arial" w:cs="Arial"/>
          <w:sz w:val="22"/>
          <w:szCs w:val="22"/>
        </w:rPr>
        <w:t xml:space="preserve">o hay un solo testigo </w:t>
      </w:r>
      <w:r w:rsidR="00324189" w:rsidRPr="0066501B">
        <w:rPr>
          <w:rFonts w:ascii="Arial" w:hAnsi="Arial" w:cs="Arial"/>
          <w:sz w:val="22"/>
          <w:szCs w:val="22"/>
        </w:rPr>
        <w:t>presencial de los hechos ocurridos; (iii) n</w:t>
      </w:r>
      <w:r w:rsidR="001A3883" w:rsidRPr="0066501B">
        <w:rPr>
          <w:rFonts w:ascii="Arial" w:hAnsi="Arial" w:cs="Arial"/>
          <w:sz w:val="22"/>
          <w:szCs w:val="22"/>
        </w:rPr>
        <w:t xml:space="preserve">o hay reporte a autoridades de tránsito sobre el accidente a </w:t>
      </w:r>
      <w:r w:rsidR="00324189" w:rsidRPr="0066501B">
        <w:rPr>
          <w:rFonts w:ascii="Arial" w:hAnsi="Arial" w:cs="Arial"/>
          <w:sz w:val="22"/>
          <w:szCs w:val="22"/>
        </w:rPr>
        <w:t>pesar de la magnitud del mismo; (iv) e</w:t>
      </w:r>
      <w:r w:rsidR="001A3883" w:rsidRPr="0066501B">
        <w:rPr>
          <w:rFonts w:ascii="Arial" w:hAnsi="Arial" w:cs="Arial"/>
          <w:sz w:val="22"/>
          <w:szCs w:val="22"/>
        </w:rPr>
        <w:t>l accidente ocurrió presuntamente en una zona rural, despoblada, con poco flujo vehicular</w:t>
      </w:r>
      <w:r w:rsidR="00324189" w:rsidRPr="0066501B">
        <w:rPr>
          <w:rFonts w:ascii="Arial" w:hAnsi="Arial" w:cs="Arial"/>
          <w:sz w:val="22"/>
          <w:szCs w:val="22"/>
        </w:rPr>
        <w:t xml:space="preserve">, en horas de la noche, por lo que si no había medios en ese lugar que pudiesen constatar la ocurrencia del accidente el demandante debió de aportar cualquier otro medio de convicción válido que diera cuenta del mismo; (v) </w:t>
      </w:r>
      <w:commentRangeStart w:id="0"/>
      <w:r w:rsidR="00324189" w:rsidRPr="0066501B">
        <w:rPr>
          <w:rFonts w:ascii="Arial" w:hAnsi="Arial" w:cs="Arial"/>
          <w:sz w:val="22"/>
          <w:szCs w:val="22"/>
        </w:rPr>
        <w:t>e</w:t>
      </w:r>
      <w:r w:rsidR="001A3883" w:rsidRPr="0066501B">
        <w:rPr>
          <w:rFonts w:ascii="Arial" w:hAnsi="Arial" w:cs="Arial"/>
          <w:sz w:val="22"/>
          <w:szCs w:val="22"/>
        </w:rPr>
        <w:t>l accidente ocurrió 9 días después de ini</w:t>
      </w:r>
      <w:r w:rsidR="00324189" w:rsidRPr="0066501B">
        <w:rPr>
          <w:rFonts w:ascii="Arial" w:hAnsi="Arial" w:cs="Arial"/>
          <w:sz w:val="22"/>
          <w:szCs w:val="22"/>
        </w:rPr>
        <w:t>ciada la vigencia de la póliza, lo cual resulta extraño teniendo en cuenta que además, e</w:t>
      </w:r>
      <w:r w:rsidR="001A3883" w:rsidRPr="0066501B">
        <w:rPr>
          <w:rFonts w:ascii="Arial" w:hAnsi="Arial" w:cs="Arial"/>
          <w:sz w:val="22"/>
          <w:szCs w:val="22"/>
        </w:rPr>
        <w:t xml:space="preserve">l demandante manifestó la existencia de deudas previas que requería pagar. </w:t>
      </w:r>
      <w:commentRangeEnd w:id="0"/>
      <w:r w:rsidR="00B928EF" w:rsidRPr="0066501B">
        <w:rPr>
          <w:rStyle w:val="Refdecomentario"/>
          <w:rFonts w:ascii="Arial" w:hAnsi="Arial" w:cs="Arial"/>
          <w:sz w:val="22"/>
          <w:szCs w:val="22"/>
        </w:rPr>
        <w:commentReference w:id="0"/>
      </w:r>
    </w:p>
    <w:p w14:paraId="17218711" w14:textId="77777777" w:rsidR="00C71799" w:rsidRPr="0066501B" w:rsidRDefault="00C71799" w:rsidP="0066501B">
      <w:pPr>
        <w:spacing w:line="360" w:lineRule="auto"/>
        <w:jc w:val="both"/>
        <w:rPr>
          <w:rFonts w:ascii="Arial" w:hAnsi="Arial" w:cs="Arial"/>
          <w:sz w:val="22"/>
          <w:szCs w:val="22"/>
        </w:rPr>
      </w:pPr>
    </w:p>
    <w:p w14:paraId="58B412F6" w14:textId="77777777" w:rsidR="002357DF" w:rsidRPr="0066501B" w:rsidRDefault="00871188" w:rsidP="0066501B">
      <w:pPr>
        <w:spacing w:line="360" w:lineRule="auto"/>
        <w:jc w:val="both"/>
        <w:rPr>
          <w:rFonts w:ascii="Arial" w:hAnsi="Arial" w:cs="Arial"/>
          <w:sz w:val="22"/>
          <w:szCs w:val="22"/>
        </w:rPr>
      </w:pPr>
      <w:r w:rsidRPr="0066501B">
        <w:rPr>
          <w:rFonts w:ascii="Arial" w:hAnsi="Arial" w:cs="Arial"/>
          <w:sz w:val="22"/>
          <w:szCs w:val="22"/>
        </w:rPr>
        <w:t>Resultaría injustificable que ante los vacíos fácticos y probatorios que se avizoran en esa causa, se admita a la existencia de responsabilidad alguna frente a mi representada; en estos escenarios la carga probatoria que le asiste al extremo activo es importantísima, luego que la demostración del agravio infringido específicamente por la accionada, es el fundamento básico que permite ordenar una condena a favor de las pretensiones invocadas en la acción incoada. Entendiendo que no se cumplió con esa carga probatoria, no puede afirmarse que exista responsabilidad civil por parte de ALLIANZ SEGUROS S.A., y, por consiguiente, no existe responsabilidad de indemnizar a cargo de mi prohijada, ni se requiere hacer efectiva la póliza involucrada.</w:t>
      </w:r>
    </w:p>
    <w:p w14:paraId="6ED3BE48" w14:textId="77777777" w:rsidR="002357DF" w:rsidRPr="0066501B" w:rsidRDefault="002357DF" w:rsidP="0066501B">
      <w:pPr>
        <w:spacing w:line="360" w:lineRule="auto"/>
        <w:jc w:val="both"/>
        <w:rPr>
          <w:rFonts w:ascii="Arial" w:hAnsi="Arial" w:cs="Arial"/>
          <w:sz w:val="22"/>
          <w:szCs w:val="22"/>
        </w:rPr>
      </w:pPr>
    </w:p>
    <w:p w14:paraId="556101D7" w14:textId="1442055B" w:rsidR="00C71799" w:rsidRPr="0066501B" w:rsidRDefault="00C6277C" w:rsidP="0066501B">
      <w:pPr>
        <w:spacing w:line="360" w:lineRule="auto"/>
        <w:jc w:val="both"/>
        <w:rPr>
          <w:rFonts w:ascii="Arial" w:hAnsi="Arial" w:cs="Arial"/>
          <w:sz w:val="22"/>
          <w:szCs w:val="22"/>
        </w:rPr>
      </w:pPr>
      <w:r w:rsidRPr="0066501B">
        <w:rPr>
          <w:rFonts w:ascii="Arial" w:hAnsi="Arial" w:cs="Arial"/>
          <w:sz w:val="22"/>
          <w:szCs w:val="22"/>
        </w:rPr>
        <w:t xml:space="preserve">Por lo anterior, la sentencia del a quo deberá ser revocada integralmente. </w:t>
      </w:r>
    </w:p>
    <w:p w14:paraId="05907757" w14:textId="77777777" w:rsidR="00C71799" w:rsidRPr="0066501B" w:rsidRDefault="00C71799" w:rsidP="0066501B">
      <w:pPr>
        <w:spacing w:line="360" w:lineRule="auto"/>
        <w:jc w:val="both"/>
        <w:rPr>
          <w:rFonts w:ascii="Arial" w:eastAsia="Arial" w:hAnsi="Arial" w:cs="Arial"/>
          <w:b/>
          <w:bCs/>
          <w:sz w:val="22"/>
          <w:szCs w:val="22"/>
        </w:rPr>
      </w:pPr>
    </w:p>
    <w:p w14:paraId="59AF5674" w14:textId="7B496034" w:rsidR="003703DB" w:rsidRPr="0066501B" w:rsidRDefault="003703DB" w:rsidP="0066501B">
      <w:pPr>
        <w:pStyle w:val="Prrafodelista"/>
        <w:numPr>
          <w:ilvl w:val="0"/>
          <w:numId w:val="1"/>
        </w:numPr>
        <w:spacing w:line="360" w:lineRule="auto"/>
        <w:jc w:val="both"/>
        <w:rPr>
          <w:rFonts w:ascii="Arial" w:eastAsia="Arial" w:hAnsi="Arial" w:cs="Arial"/>
          <w:b/>
          <w:bCs/>
          <w:sz w:val="22"/>
          <w:szCs w:val="22"/>
        </w:rPr>
      </w:pPr>
      <w:r w:rsidRPr="0066501B">
        <w:rPr>
          <w:rFonts w:ascii="Arial" w:eastAsia="Arial" w:hAnsi="Arial" w:cs="Arial"/>
          <w:b/>
          <w:bCs/>
          <w:sz w:val="22"/>
          <w:szCs w:val="22"/>
        </w:rPr>
        <w:lastRenderedPageBreak/>
        <w:t>DEFECTO FÁCTICO POR INDEBIDA VALORACIÓN PROBATORIA DEL CONTRAT</w:t>
      </w:r>
      <w:r w:rsidR="00D742CB">
        <w:rPr>
          <w:rFonts w:ascii="Arial" w:eastAsia="Arial" w:hAnsi="Arial" w:cs="Arial"/>
          <w:b/>
          <w:bCs/>
          <w:sz w:val="22"/>
          <w:szCs w:val="22"/>
        </w:rPr>
        <w:t>O DE SEGURO PUES EL JUZGADO PASÓ</w:t>
      </w:r>
      <w:r w:rsidRPr="0066501B">
        <w:rPr>
          <w:rFonts w:ascii="Arial" w:eastAsia="Arial" w:hAnsi="Arial" w:cs="Arial"/>
          <w:b/>
          <w:bCs/>
          <w:sz w:val="22"/>
          <w:szCs w:val="22"/>
        </w:rPr>
        <w:t xml:space="preserve"> POR ALTO QUE LA ASEGURADORA EXCLUYÓ DE COBERTURA LAS RECLAMACIONES EN LAS QUE SE EVIDENCIARA LA EXISTENCIA DE DOLO Y/O MALA FE DEL ASEGURAD</w:t>
      </w:r>
      <w:commentRangeStart w:id="1"/>
      <w:r w:rsidRPr="0066501B">
        <w:rPr>
          <w:rFonts w:ascii="Arial" w:eastAsia="Arial" w:hAnsi="Arial" w:cs="Arial"/>
          <w:b/>
          <w:bCs/>
          <w:sz w:val="22"/>
          <w:szCs w:val="22"/>
        </w:rPr>
        <w:t xml:space="preserve">O </w:t>
      </w:r>
      <w:commentRangeEnd w:id="1"/>
      <w:r w:rsidRPr="0066501B">
        <w:rPr>
          <w:rStyle w:val="Refdecomentario"/>
          <w:rFonts w:ascii="Arial" w:hAnsi="Arial" w:cs="Arial"/>
          <w:sz w:val="22"/>
          <w:szCs w:val="22"/>
          <w:lang w:val="es-CO"/>
        </w:rPr>
        <w:commentReference w:id="1"/>
      </w:r>
    </w:p>
    <w:p w14:paraId="2E5EB7AF" w14:textId="5A6CA7EF" w:rsidR="003703DB" w:rsidRDefault="003703DB" w:rsidP="0066501B">
      <w:pPr>
        <w:spacing w:line="360" w:lineRule="auto"/>
        <w:jc w:val="both"/>
        <w:rPr>
          <w:rFonts w:ascii="Arial" w:eastAsia="Arial" w:hAnsi="Arial" w:cs="Arial"/>
          <w:b/>
          <w:bCs/>
          <w:sz w:val="22"/>
          <w:szCs w:val="22"/>
        </w:rPr>
      </w:pPr>
    </w:p>
    <w:p w14:paraId="630E99EA" w14:textId="58592FC9" w:rsidR="0066501B" w:rsidRPr="0066501B" w:rsidRDefault="0066501B" w:rsidP="0066501B">
      <w:pPr>
        <w:pStyle w:val="Prrafodelista"/>
        <w:numPr>
          <w:ilvl w:val="0"/>
          <w:numId w:val="1"/>
        </w:numPr>
        <w:spacing w:line="360" w:lineRule="auto"/>
        <w:jc w:val="both"/>
        <w:rPr>
          <w:rFonts w:ascii="Arial" w:hAnsi="Arial" w:cs="Arial"/>
          <w:b/>
          <w:bCs/>
          <w:sz w:val="22"/>
          <w:szCs w:val="22"/>
        </w:rPr>
      </w:pPr>
      <w:r w:rsidRPr="0066501B">
        <w:rPr>
          <w:rFonts w:ascii="Arial" w:hAnsi="Arial" w:cs="Arial"/>
          <w:b/>
          <w:bCs/>
          <w:sz w:val="22"/>
          <w:szCs w:val="22"/>
        </w:rPr>
        <w:t>EL A QUO VULNERÓ LAS NORMAS SUSTANTIVAS DEL CONTRATO DE SEGURO AL GENERAR ENRIQUECIMIENTO EN CABEZA DE LA PARTE ACTORA</w:t>
      </w:r>
    </w:p>
    <w:p w14:paraId="4233A3F6" w14:textId="77777777" w:rsidR="0066501B" w:rsidRPr="0066501B" w:rsidRDefault="0066501B" w:rsidP="0066501B">
      <w:pPr>
        <w:spacing w:line="360" w:lineRule="auto"/>
        <w:rPr>
          <w:rFonts w:ascii="Arial" w:hAnsi="Arial" w:cs="Arial"/>
          <w:b/>
          <w:bCs/>
          <w:sz w:val="22"/>
          <w:szCs w:val="22"/>
        </w:rPr>
      </w:pPr>
    </w:p>
    <w:p w14:paraId="5225FB2B" w14:textId="275729C3" w:rsidR="0066501B" w:rsidRPr="0066501B" w:rsidRDefault="0066501B" w:rsidP="00162605">
      <w:pPr>
        <w:spacing w:line="360" w:lineRule="auto"/>
        <w:jc w:val="both"/>
        <w:rPr>
          <w:rFonts w:ascii="Arial" w:hAnsi="Arial" w:cs="Arial"/>
          <w:sz w:val="22"/>
          <w:szCs w:val="22"/>
        </w:rPr>
      </w:pPr>
      <w:r w:rsidRPr="0066501B">
        <w:rPr>
          <w:rFonts w:ascii="Arial" w:hAnsi="Arial" w:cs="Arial"/>
          <w:sz w:val="22"/>
          <w:szCs w:val="22"/>
        </w:rPr>
        <w:t xml:space="preserve">El fallo apelado </w:t>
      </w:r>
      <w:r w:rsidR="00941F3B">
        <w:rPr>
          <w:rFonts w:ascii="Arial" w:hAnsi="Arial" w:cs="Arial"/>
          <w:sz w:val="22"/>
          <w:szCs w:val="22"/>
        </w:rPr>
        <w:t>erró</w:t>
      </w:r>
      <w:r w:rsidRPr="0066501B">
        <w:rPr>
          <w:rFonts w:ascii="Arial" w:hAnsi="Arial" w:cs="Arial"/>
          <w:sz w:val="22"/>
          <w:szCs w:val="22"/>
        </w:rPr>
        <w:t xml:space="preserve"> al violar las normas sustantivas del contrato de seguro, tanto del Código de Comercio, como las aplicables del Código Civil, por la remisión que a este último hace a aquel en el artículo 822; al desconocer la premisa según la cual, el seguro es meramente indemnizatorio y nunca puede ser fuente de enriquecimiento, de ganancia o utilidad. Así las cosas, en el presente caso </w:t>
      </w:r>
      <w:r>
        <w:rPr>
          <w:rFonts w:ascii="Arial" w:hAnsi="Arial" w:cs="Arial"/>
          <w:sz w:val="22"/>
          <w:szCs w:val="22"/>
        </w:rPr>
        <w:t xml:space="preserve">no se probó de forma fehaciente la ocurrencia del evento asegurado y su cuantía, </w:t>
      </w:r>
      <w:r w:rsidRPr="0066501B">
        <w:rPr>
          <w:rFonts w:ascii="Arial" w:hAnsi="Arial" w:cs="Arial"/>
          <w:sz w:val="22"/>
          <w:szCs w:val="22"/>
        </w:rPr>
        <w:t>de</w:t>
      </w:r>
      <w:r>
        <w:rPr>
          <w:rFonts w:ascii="Arial" w:hAnsi="Arial" w:cs="Arial"/>
          <w:sz w:val="22"/>
          <w:szCs w:val="22"/>
        </w:rPr>
        <w:t xml:space="preserve"> manera que</w:t>
      </w:r>
      <w:r w:rsidR="00A33B6A">
        <w:rPr>
          <w:rFonts w:ascii="Arial" w:hAnsi="Arial" w:cs="Arial"/>
          <w:sz w:val="22"/>
          <w:szCs w:val="22"/>
        </w:rPr>
        <w:t xml:space="preserve"> al</w:t>
      </w:r>
      <w:r>
        <w:rPr>
          <w:rFonts w:ascii="Arial" w:hAnsi="Arial" w:cs="Arial"/>
          <w:sz w:val="22"/>
          <w:szCs w:val="22"/>
        </w:rPr>
        <w:t xml:space="preserve"> acceder a las pretensiones de la parte accionante,</w:t>
      </w:r>
      <w:r w:rsidRPr="0066501B">
        <w:rPr>
          <w:rFonts w:ascii="Arial" w:hAnsi="Arial" w:cs="Arial"/>
          <w:sz w:val="22"/>
          <w:szCs w:val="22"/>
        </w:rPr>
        <w:t xml:space="preserve"> constituiría un reconocimiento de índole económico que se aparta del objeto de resarcimiento y reparación que r</w:t>
      </w:r>
      <w:r w:rsidR="00715543">
        <w:rPr>
          <w:rFonts w:ascii="Arial" w:hAnsi="Arial" w:cs="Arial"/>
          <w:sz w:val="22"/>
          <w:szCs w:val="22"/>
        </w:rPr>
        <w:t xml:space="preserve">evisten los contratos de seguro, y por lo tanto constituye una violación al principio meramente indemnizatorio del contrato de seguro. </w:t>
      </w:r>
    </w:p>
    <w:p w14:paraId="1621828E" w14:textId="77777777" w:rsidR="0066501B" w:rsidRPr="0066501B" w:rsidRDefault="0066501B" w:rsidP="00162605">
      <w:pPr>
        <w:spacing w:line="360" w:lineRule="auto"/>
        <w:jc w:val="both"/>
        <w:rPr>
          <w:rFonts w:ascii="Arial" w:hAnsi="Arial" w:cs="Arial"/>
          <w:sz w:val="22"/>
          <w:szCs w:val="22"/>
        </w:rPr>
      </w:pPr>
    </w:p>
    <w:p w14:paraId="2DA13625" w14:textId="369B9513" w:rsidR="0066501B" w:rsidRPr="00C421AF" w:rsidRDefault="0066501B" w:rsidP="00162605">
      <w:pPr>
        <w:spacing w:line="360" w:lineRule="auto"/>
        <w:jc w:val="both"/>
        <w:rPr>
          <w:rFonts w:ascii="Arial" w:hAnsi="Arial" w:cs="Arial"/>
          <w:sz w:val="22"/>
          <w:szCs w:val="22"/>
        </w:rPr>
      </w:pPr>
      <w:r w:rsidRPr="0066501B">
        <w:rPr>
          <w:rFonts w:ascii="Arial" w:hAnsi="Arial" w:cs="Arial"/>
          <w:sz w:val="22"/>
          <w:szCs w:val="22"/>
        </w:rPr>
        <w:t xml:space="preserve">En efecto, el Juzgado vulneró la regla en virtud de la cual el seguro no puede constituir sino una fuente de reparación y no de lucro. Como se señaló anteriormente </w:t>
      </w:r>
      <w:r w:rsidR="007234A6">
        <w:rPr>
          <w:rFonts w:ascii="Arial" w:hAnsi="Arial" w:cs="Arial"/>
          <w:sz w:val="22"/>
          <w:szCs w:val="22"/>
        </w:rPr>
        <w:t xml:space="preserve">los reconocimientos efectuados por el juzgado </w:t>
      </w:r>
      <w:r w:rsidRPr="0066501B">
        <w:rPr>
          <w:rFonts w:ascii="Arial" w:hAnsi="Arial" w:cs="Arial"/>
          <w:sz w:val="22"/>
          <w:szCs w:val="22"/>
        </w:rPr>
        <w:t>lleva consecuentemente a generar un enriquecimiento en cabeza de la parte actora.</w:t>
      </w:r>
      <w:r w:rsidR="007234A6">
        <w:rPr>
          <w:rFonts w:ascii="Arial" w:hAnsi="Arial" w:cs="Arial"/>
          <w:sz w:val="22"/>
          <w:szCs w:val="22"/>
        </w:rPr>
        <w:t xml:space="preserve"> C</w:t>
      </w:r>
      <w:r w:rsidRPr="0066501B">
        <w:rPr>
          <w:rFonts w:ascii="Arial" w:hAnsi="Arial" w:cs="Arial"/>
          <w:sz w:val="22"/>
          <w:szCs w:val="22"/>
        </w:rPr>
        <w:t>omo es sabido, la responsabilidad civil no puede constituirse en fuente de enriquecimiento para los hoy demandantes</w:t>
      </w:r>
      <w:r w:rsidR="00C421AF">
        <w:rPr>
          <w:rFonts w:ascii="Arial" w:hAnsi="Arial" w:cs="Arial"/>
          <w:sz w:val="22"/>
          <w:szCs w:val="22"/>
        </w:rPr>
        <w:t>, sobre el particular se ha dicho lo siguiente</w:t>
      </w:r>
      <w:r w:rsidRPr="0066501B">
        <w:rPr>
          <w:rFonts w:ascii="Arial" w:hAnsi="Arial" w:cs="Arial"/>
          <w:sz w:val="22"/>
          <w:szCs w:val="22"/>
        </w:rPr>
        <w:t>:</w:t>
      </w:r>
      <w:r w:rsidR="00C421AF">
        <w:rPr>
          <w:rFonts w:ascii="Arial" w:hAnsi="Arial" w:cs="Arial"/>
          <w:sz w:val="22"/>
          <w:szCs w:val="22"/>
        </w:rPr>
        <w:t xml:space="preserve"> </w:t>
      </w:r>
      <w:r w:rsidRPr="00C421AF">
        <w:rPr>
          <w:rFonts w:ascii="Arial" w:hAnsi="Arial" w:cs="Arial"/>
          <w:i/>
          <w:color w:val="0D0D0D" w:themeColor="text1" w:themeTint="F2"/>
          <w:sz w:val="22"/>
          <w:szCs w:val="22"/>
        </w:rPr>
        <w:t>“(…) la responsabilidad civil es meramente resarcitoria, de modo que no puede convertirse en fuente de lucro para el damnificado ni en factor de expoliación para el dañador, como lo sostiene un autorizado expositor (…)”</w:t>
      </w:r>
      <w:r w:rsidRPr="00C421AF">
        <w:rPr>
          <w:rStyle w:val="Refdenotaalpie"/>
          <w:rFonts w:ascii="Arial" w:hAnsi="Arial" w:cs="Arial"/>
          <w:i/>
          <w:color w:val="0D0D0D" w:themeColor="text1" w:themeTint="F2"/>
          <w:sz w:val="22"/>
          <w:szCs w:val="22"/>
        </w:rPr>
        <w:footnoteReference w:id="1"/>
      </w:r>
    </w:p>
    <w:p w14:paraId="1CA6EE74" w14:textId="77777777" w:rsidR="0066501B" w:rsidRPr="0066501B" w:rsidRDefault="0066501B" w:rsidP="00162605">
      <w:pPr>
        <w:spacing w:line="360" w:lineRule="auto"/>
        <w:jc w:val="both"/>
        <w:rPr>
          <w:rFonts w:ascii="Arial" w:hAnsi="Arial" w:cs="Arial"/>
          <w:sz w:val="22"/>
          <w:szCs w:val="22"/>
        </w:rPr>
      </w:pPr>
    </w:p>
    <w:p w14:paraId="4B1696C8" w14:textId="28424DD3" w:rsidR="0066501B" w:rsidRPr="0066501B" w:rsidRDefault="0066501B" w:rsidP="00162605">
      <w:pPr>
        <w:spacing w:line="360" w:lineRule="auto"/>
        <w:jc w:val="both"/>
        <w:rPr>
          <w:rFonts w:ascii="Arial" w:hAnsi="Arial" w:cs="Arial"/>
          <w:sz w:val="22"/>
          <w:szCs w:val="22"/>
        </w:rPr>
      </w:pPr>
      <w:r w:rsidRPr="0066501B">
        <w:rPr>
          <w:rFonts w:ascii="Arial" w:hAnsi="Arial" w:cs="Arial"/>
          <w:sz w:val="22"/>
          <w:szCs w:val="22"/>
        </w:rPr>
        <w:t xml:space="preserve">En este asunto, de conformidad con la cita anteriormente expuesta, es claro resaltar como la activa no demostró fehacientemente </w:t>
      </w:r>
      <w:r w:rsidR="000A4AB9">
        <w:rPr>
          <w:rFonts w:ascii="Arial" w:hAnsi="Arial" w:cs="Arial"/>
          <w:sz w:val="22"/>
          <w:szCs w:val="22"/>
        </w:rPr>
        <w:t xml:space="preserve">la ocurrencia del siniestro y su cuantía, por lo que el reconocimiento de la suma ordenada </w:t>
      </w:r>
      <w:r w:rsidR="00CA245D">
        <w:rPr>
          <w:rFonts w:ascii="Arial" w:hAnsi="Arial" w:cs="Arial"/>
          <w:sz w:val="22"/>
          <w:szCs w:val="22"/>
        </w:rPr>
        <w:t xml:space="preserve">no estuvo justificado, y los argumentos del juzgador </w:t>
      </w:r>
      <w:r w:rsidRPr="0066501B">
        <w:rPr>
          <w:rFonts w:ascii="Arial" w:hAnsi="Arial" w:cs="Arial"/>
          <w:sz w:val="22"/>
          <w:szCs w:val="22"/>
        </w:rPr>
        <w:t xml:space="preserve">estuvieron claramente huérfanos de elementos probatorios que, permitieran de manera razonada reconocer </w:t>
      </w:r>
      <w:r w:rsidR="00CA245D">
        <w:rPr>
          <w:rFonts w:ascii="Arial" w:hAnsi="Arial" w:cs="Arial"/>
          <w:sz w:val="22"/>
          <w:szCs w:val="22"/>
        </w:rPr>
        <w:t xml:space="preserve">lo pretendido por el demandante. </w:t>
      </w:r>
    </w:p>
    <w:p w14:paraId="3CA34ACD" w14:textId="77777777" w:rsidR="0066501B" w:rsidRPr="0066501B" w:rsidRDefault="0066501B" w:rsidP="00162605">
      <w:pPr>
        <w:spacing w:line="360" w:lineRule="auto"/>
        <w:jc w:val="both"/>
        <w:rPr>
          <w:rFonts w:ascii="Arial" w:hAnsi="Arial" w:cs="Arial"/>
          <w:sz w:val="22"/>
          <w:szCs w:val="22"/>
        </w:rPr>
      </w:pPr>
    </w:p>
    <w:p w14:paraId="5F7973A3" w14:textId="4B1EEB87" w:rsidR="0066501B" w:rsidRPr="0066501B" w:rsidRDefault="0066501B" w:rsidP="00162605">
      <w:pPr>
        <w:spacing w:line="360" w:lineRule="auto"/>
        <w:jc w:val="both"/>
        <w:rPr>
          <w:rFonts w:ascii="Arial" w:hAnsi="Arial" w:cs="Arial"/>
          <w:sz w:val="22"/>
          <w:szCs w:val="22"/>
        </w:rPr>
      </w:pPr>
      <w:r w:rsidRPr="0066501B">
        <w:rPr>
          <w:rFonts w:ascii="Arial" w:hAnsi="Arial" w:cs="Arial"/>
          <w:sz w:val="22"/>
          <w:szCs w:val="22"/>
        </w:rPr>
        <w:t xml:space="preserve">Así las cosas, evidentemente no existen argumentos fácticos ni elementos probatorios suficientes que justifiquen </w:t>
      </w:r>
      <w:r w:rsidR="00CA245D">
        <w:rPr>
          <w:rFonts w:ascii="Arial" w:hAnsi="Arial" w:cs="Arial"/>
          <w:sz w:val="22"/>
          <w:szCs w:val="22"/>
        </w:rPr>
        <w:t xml:space="preserve">el reconocimiento indemnizatorio ordenado por el juez de </w:t>
      </w:r>
      <w:r w:rsidRPr="0066501B">
        <w:rPr>
          <w:rFonts w:ascii="Arial" w:hAnsi="Arial" w:cs="Arial"/>
          <w:sz w:val="22"/>
          <w:szCs w:val="22"/>
        </w:rPr>
        <w:t xml:space="preserve">primera instancia, llevando a un enriquecimiento injustificado en cabeza de la parte actora a su vez imponiendo cargas a mi representada, las cuales como se ha dicho a lo largo del proceso, no pueden ir más allá del ámbito del amparo, la definición contractual de su alcance o extensión, los límites asegurados para cada riesgo tomado, etc., previstos en la póliza de seguro expedida por mi mandante. </w:t>
      </w:r>
    </w:p>
    <w:p w14:paraId="515613E6" w14:textId="553D7D21" w:rsidR="0066501B" w:rsidRDefault="0066501B" w:rsidP="0066501B">
      <w:pPr>
        <w:spacing w:line="360" w:lineRule="auto"/>
        <w:rPr>
          <w:rFonts w:ascii="Arial" w:hAnsi="Arial" w:cs="Arial"/>
          <w:sz w:val="22"/>
          <w:szCs w:val="22"/>
        </w:rPr>
      </w:pPr>
    </w:p>
    <w:p w14:paraId="32F64922" w14:textId="70D06B41" w:rsidR="00162605" w:rsidRDefault="00162605" w:rsidP="0066501B">
      <w:pPr>
        <w:spacing w:line="360" w:lineRule="auto"/>
        <w:rPr>
          <w:rFonts w:ascii="Arial" w:hAnsi="Arial" w:cs="Arial"/>
          <w:sz w:val="22"/>
          <w:szCs w:val="22"/>
        </w:rPr>
      </w:pPr>
    </w:p>
    <w:p w14:paraId="39105BF8" w14:textId="06471F6C" w:rsidR="00162605" w:rsidRPr="0066501B" w:rsidRDefault="00162605" w:rsidP="00162605">
      <w:pPr>
        <w:pStyle w:val="Prrafodelista"/>
        <w:numPr>
          <w:ilvl w:val="0"/>
          <w:numId w:val="1"/>
        </w:numPr>
        <w:spacing w:line="360" w:lineRule="auto"/>
        <w:jc w:val="both"/>
        <w:rPr>
          <w:rFonts w:ascii="Arial" w:hAnsi="Arial" w:cs="Arial"/>
          <w:b/>
          <w:bCs/>
          <w:sz w:val="22"/>
          <w:szCs w:val="22"/>
        </w:rPr>
      </w:pPr>
      <w:r>
        <w:rPr>
          <w:rFonts w:ascii="Arial" w:hAnsi="Arial" w:cs="Arial"/>
          <w:b/>
          <w:bCs/>
          <w:sz w:val="22"/>
          <w:szCs w:val="22"/>
        </w:rPr>
        <w:t xml:space="preserve">EL A QUO INCURRIÓ EN UN YERRO FRENTE A LAS DISPOSICIONES DE LA PARTE RESOLUTIVA DE LA DECISIÓN, PUESTO QUE DE FORMA CONTRADICTORIA NEGÓ LA PROSPERIDAD DE LAS EXCEPCIONES EN LOS NUMERALES SEXTO Y SÉPTIMO DE LA CONTESTACIÓN A LA DEMANDA, RELATIVOS AL LÍMITE ASEGURADO Y A LA TRASFERENCIA DE LA PROPIEDAD, CUANDO EN LA PARTE CONSIDERATIVA DE LA DECISIÓN MANIFESTÓ QUE ESTAS ESTABAN PROBADAS </w:t>
      </w:r>
    </w:p>
    <w:p w14:paraId="06AF861E" w14:textId="018BA44D" w:rsidR="00162605" w:rsidRDefault="00162605" w:rsidP="0066501B">
      <w:pPr>
        <w:spacing w:line="360" w:lineRule="auto"/>
        <w:rPr>
          <w:rFonts w:ascii="Arial" w:hAnsi="Arial" w:cs="Arial"/>
          <w:sz w:val="22"/>
          <w:szCs w:val="22"/>
        </w:rPr>
      </w:pPr>
    </w:p>
    <w:p w14:paraId="652ADCD6" w14:textId="0A919EA4" w:rsidR="00162605" w:rsidRDefault="00941F3B" w:rsidP="00941F3B">
      <w:pPr>
        <w:spacing w:line="360" w:lineRule="auto"/>
        <w:jc w:val="both"/>
        <w:rPr>
          <w:rFonts w:ascii="Arial" w:hAnsi="Arial" w:cs="Arial"/>
          <w:sz w:val="22"/>
          <w:szCs w:val="22"/>
        </w:rPr>
      </w:pPr>
      <w:r>
        <w:rPr>
          <w:rFonts w:ascii="Arial" w:hAnsi="Arial" w:cs="Arial"/>
          <w:sz w:val="22"/>
          <w:szCs w:val="22"/>
        </w:rPr>
        <w:t xml:space="preserve">Sin perjuicio de las manifestaciones anteriores, y sin que implique ninguna aceptación de responsabilidad por parte de la pasiva, es preciso aclarar que el despacho en la parte considerativa de la decisión manifestó que limitaría la obligación indemnizatoria que ordenó asumir a mi mandante, de cara al límite asegurado en la póliza para el amparo de pérdida total por daños de mayor cuantía, y que, además, ordenaría la trasferencia de la propiedad del automotor a nombre de mi prohijada, en virtud de las condiciones concertadas en el aseguramiento vinculado. No obstante, a pesar de que en los numerales tercero y cuarto de la parte resolutiva de la sentencia ordenó lo pertinente, </w:t>
      </w:r>
      <w:r w:rsidR="00A15CA8">
        <w:rPr>
          <w:rFonts w:ascii="Arial" w:hAnsi="Arial" w:cs="Arial"/>
          <w:sz w:val="22"/>
          <w:szCs w:val="22"/>
        </w:rPr>
        <w:t xml:space="preserve">de forma contradictoria, </w:t>
      </w:r>
      <w:r>
        <w:rPr>
          <w:rFonts w:ascii="Arial" w:hAnsi="Arial" w:cs="Arial"/>
          <w:sz w:val="22"/>
          <w:szCs w:val="22"/>
        </w:rPr>
        <w:t xml:space="preserve">en el numeral primero indicó lo siguiente: </w:t>
      </w:r>
    </w:p>
    <w:p w14:paraId="4C30C176" w14:textId="77777777" w:rsidR="00941F3B" w:rsidRDefault="00941F3B" w:rsidP="00941F3B">
      <w:pPr>
        <w:spacing w:line="360" w:lineRule="auto"/>
        <w:jc w:val="both"/>
        <w:rPr>
          <w:rFonts w:ascii="Arial" w:hAnsi="Arial" w:cs="Arial"/>
          <w:sz w:val="22"/>
          <w:szCs w:val="22"/>
        </w:rPr>
      </w:pPr>
    </w:p>
    <w:p w14:paraId="31D045FB" w14:textId="27734159" w:rsidR="00941F3B" w:rsidRPr="00A15CA8" w:rsidRDefault="00A15CA8" w:rsidP="00A15CA8">
      <w:pPr>
        <w:spacing w:line="360" w:lineRule="auto"/>
        <w:ind w:left="680" w:right="680"/>
        <w:jc w:val="both"/>
        <w:rPr>
          <w:rFonts w:ascii="Arial" w:hAnsi="Arial" w:cs="Arial"/>
          <w:i/>
          <w:sz w:val="22"/>
          <w:szCs w:val="22"/>
        </w:rPr>
      </w:pPr>
      <w:r w:rsidRPr="00A15CA8">
        <w:rPr>
          <w:rFonts w:ascii="Arial" w:hAnsi="Arial" w:cs="Arial"/>
          <w:i/>
          <w:sz w:val="22"/>
          <w:szCs w:val="22"/>
        </w:rPr>
        <w:t xml:space="preserve">“(…) </w:t>
      </w:r>
      <w:r w:rsidR="00941F3B" w:rsidRPr="00A15CA8">
        <w:rPr>
          <w:rFonts w:ascii="Arial" w:hAnsi="Arial" w:cs="Arial"/>
          <w:i/>
          <w:sz w:val="22"/>
          <w:szCs w:val="22"/>
        </w:rPr>
        <w:t>PRMERO: declarar no probadas las excepciones de mérito formuladas por el apoderado de la pasiva y denominadas: “Inexistencia de obligación indemnizatoria en cuanto al amparo de daños de mayor cuantía debido al incumplimiento de la carga de la prueba establecida en el artículo 1077 del código de comercio”; “falta de cobertura material de la póliza por configuración de las exclusiones de los literales p y q del artículo 3.1 de las condiciones del seguro”; “pérdida de la indemnización por mala fe del asegurado – artículo 1078 c.co.”; “carácter meramente indemnizatorio del contrato de seguro”; “inexistencia de obligación frente a los actos potestativos del  asegurado”; “</w:t>
      </w:r>
      <w:r w:rsidR="00941F3B" w:rsidRPr="00A15CA8">
        <w:rPr>
          <w:rFonts w:ascii="Arial" w:hAnsi="Arial" w:cs="Arial"/>
          <w:b/>
          <w:i/>
          <w:sz w:val="22"/>
          <w:szCs w:val="22"/>
          <w:u w:val="single"/>
        </w:rPr>
        <w:t>en cualquier caso, de ninguna forma se podrá exceder el límite del valor asegurado”; “aplicación del clausulado general del contrato de seguro – en caso de acreditarse el daño de mayor cuantía, transferir el dominio a Allianz Seguros S.A</w:t>
      </w:r>
      <w:r w:rsidR="00941F3B" w:rsidRPr="00A15CA8">
        <w:rPr>
          <w:rFonts w:ascii="Arial" w:hAnsi="Arial" w:cs="Arial"/>
          <w:i/>
          <w:sz w:val="22"/>
          <w:szCs w:val="22"/>
        </w:rPr>
        <w:t>”; “imposibilidad de condenar al pago de intereses moratorios toda vez que la obligació</w:t>
      </w:r>
      <w:r w:rsidRPr="00A15CA8">
        <w:rPr>
          <w:rFonts w:ascii="Arial" w:hAnsi="Arial" w:cs="Arial"/>
          <w:i/>
          <w:sz w:val="22"/>
          <w:szCs w:val="22"/>
        </w:rPr>
        <w:t>n indemnizatoria no ha nacido” (…)”</w:t>
      </w:r>
    </w:p>
    <w:p w14:paraId="7E5BD44E" w14:textId="77777777" w:rsidR="00941F3B" w:rsidRPr="0066501B" w:rsidRDefault="00941F3B" w:rsidP="00941F3B">
      <w:pPr>
        <w:spacing w:line="360" w:lineRule="auto"/>
        <w:jc w:val="both"/>
        <w:rPr>
          <w:rFonts w:ascii="Arial" w:hAnsi="Arial" w:cs="Arial"/>
          <w:sz w:val="22"/>
          <w:szCs w:val="22"/>
        </w:rPr>
      </w:pPr>
    </w:p>
    <w:p w14:paraId="6E4636AB" w14:textId="23E8A7CA" w:rsidR="0066501B" w:rsidRDefault="00A15CA8" w:rsidP="00A15CA8">
      <w:pPr>
        <w:spacing w:line="360" w:lineRule="auto"/>
        <w:jc w:val="both"/>
        <w:rPr>
          <w:rFonts w:ascii="Arial" w:hAnsi="Arial" w:cs="Arial"/>
          <w:sz w:val="22"/>
          <w:szCs w:val="22"/>
        </w:rPr>
      </w:pPr>
      <w:r>
        <w:rPr>
          <w:rFonts w:ascii="Arial" w:hAnsi="Arial" w:cs="Arial"/>
          <w:sz w:val="22"/>
          <w:szCs w:val="22"/>
        </w:rPr>
        <w:t xml:space="preserve">Es decir, el despacho de forma contradictoria niega las excepciones relativas a los limites asegurados en el contrato y en relación con la obligación que recae en cabeza de la parte demandante de efectuar la transferencia de la propiedad del vehículo objeto del aseguramiento, para después ordenar lo que en dichas excepciones se solicitó.   </w:t>
      </w:r>
    </w:p>
    <w:p w14:paraId="2F79BC5D" w14:textId="63BBC01F" w:rsidR="00A15CA8" w:rsidRDefault="00A15CA8" w:rsidP="00A15CA8">
      <w:pPr>
        <w:spacing w:line="360" w:lineRule="auto"/>
        <w:jc w:val="both"/>
        <w:rPr>
          <w:rFonts w:ascii="Arial" w:hAnsi="Arial" w:cs="Arial"/>
          <w:sz w:val="22"/>
          <w:szCs w:val="22"/>
        </w:rPr>
      </w:pPr>
    </w:p>
    <w:p w14:paraId="34C657E7" w14:textId="2DDD0CCD" w:rsidR="00A15CA8" w:rsidRPr="00A15CA8" w:rsidRDefault="00A15CA8" w:rsidP="00A15CA8">
      <w:pPr>
        <w:spacing w:line="360" w:lineRule="auto"/>
        <w:jc w:val="both"/>
        <w:rPr>
          <w:rFonts w:ascii="Arial" w:hAnsi="Arial" w:cs="Arial"/>
          <w:sz w:val="22"/>
          <w:szCs w:val="22"/>
        </w:rPr>
      </w:pPr>
      <w:r>
        <w:rPr>
          <w:rFonts w:ascii="Arial" w:hAnsi="Arial" w:cs="Arial"/>
          <w:sz w:val="22"/>
          <w:szCs w:val="22"/>
        </w:rPr>
        <w:t>En este orden de ideas, será menester que el Juzgado de Circuito resuelva lo pertinente y ordene revocar lo dispuesto en el numeral primero del fallo, para que, en su lugar, declare probadas las excepciones denominadas: “</w:t>
      </w:r>
      <w:r w:rsidRPr="00A15CA8">
        <w:rPr>
          <w:rFonts w:ascii="Arial" w:hAnsi="Arial" w:cs="Arial"/>
          <w:sz w:val="22"/>
          <w:szCs w:val="22"/>
        </w:rPr>
        <w:t xml:space="preserve">en cualquier caso, de ninguna forma se podrá exceder el límite del </w:t>
      </w:r>
      <w:r>
        <w:rPr>
          <w:rFonts w:ascii="Arial" w:hAnsi="Arial" w:cs="Arial"/>
          <w:sz w:val="22"/>
          <w:szCs w:val="22"/>
        </w:rPr>
        <w:t xml:space="preserve">valor asegurado” y; </w:t>
      </w:r>
      <w:r w:rsidRPr="00A15CA8">
        <w:rPr>
          <w:rFonts w:ascii="Arial" w:hAnsi="Arial" w:cs="Arial"/>
          <w:sz w:val="22"/>
          <w:szCs w:val="22"/>
        </w:rPr>
        <w:t xml:space="preserve">“aplicación del clausulado general del contrato de seguro – en caso de </w:t>
      </w:r>
      <w:r w:rsidRPr="00A15CA8">
        <w:rPr>
          <w:rFonts w:ascii="Arial" w:hAnsi="Arial" w:cs="Arial"/>
          <w:sz w:val="22"/>
          <w:szCs w:val="22"/>
        </w:rPr>
        <w:lastRenderedPageBreak/>
        <w:t>acreditarse el daño de mayor cuantía, transferir el</w:t>
      </w:r>
      <w:r>
        <w:rPr>
          <w:rFonts w:ascii="Arial" w:hAnsi="Arial" w:cs="Arial"/>
          <w:sz w:val="22"/>
          <w:szCs w:val="22"/>
        </w:rPr>
        <w:t xml:space="preserve"> dominio a Allianz Seguros S.A”, que oportunamente se formularon en el escrito de la contestación a la demanda. </w:t>
      </w:r>
      <w:bookmarkStart w:id="2" w:name="_GoBack"/>
      <w:bookmarkEnd w:id="2"/>
    </w:p>
    <w:p w14:paraId="2134C71A" w14:textId="77777777" w:rsidR="00A15CA8" w:rsidRPr="0066501B" w:rsidRDefault="00A15CA8" w:rsidP="00A15CA8">
      <w:pPr>
        <w:spacing w:line="360" w:lineRule="auto"/>
        <w:jc w:val="both"/>
        <w:rPr>
          <w:rFonts w:ascii="Arial" w:hAnsi="Arial" w:cs="Arial"/>
          <w:sz w:val="22"/>
          <w:szCs w:val="22"/>
        </w:rPr>
      </w:pPr>
    </w:p>
    <w:p w14:paraId="77AD8607" w14:textId="5ACDCFB8" w:rsidR="00C71799" w:rsidRPr="00162605" w:rsidRDefault="00C71799" w:rsidP="00162605">
      <w:pPr>
        <w:spacing w:line="360" w:lineRule="auto"/>
        <w:jc w:val="both"/>
        <w:rPr>
          <w:rFonts w:ascii="Arial" w:eastAsia="Arial" w:hAnsi="Arial" w:cs="Arial"/>
          <w:b/>
          <w:bCs/>
          <w:sz w:val="22"/>
          <w:szCs w:val="22"/>
        </w:rPr>
      </w:pPr>
    </w:p>
    <w:p w14:paraId="56FBAF6E" w14:textId="77777777" w:rsidR="00C71799" w:rsidRPr="0066501B" w:rsidRDefault="00C71799" w:rsidP="0066501B">
      <w:pPr>
        <w:pStyle w:val="Prrafodelista"/>
        <w:numPr>
          <w:ilvl w:val="0"/>
          <w:numId w:val="2"/>
        </w:numPr>
        <w:spacing w:line="360" w:lineRule="auto"/>
        <w:jc w:val="center"/>
        <w:rPr>
          <w:rFonts w:ascii="Arial" w:eastAsia="Arial" w:hAnsi="Arial" w:cs="Arial"/>
          <w:b/>
          <w:bCs/>
          <w:sz w:val="22"/>
          <w:szCs w:val="22"/>
        </w:rPr>
      </w:pPr>
      <w:r w:rsidRPr="0066501B">
        <w:rPr>
          <w:rFonts w:ascii="Arial" w:eastAsia="Arial" w:hAnsi="Arial" w:cs="Arial"/>
          <w:b/>
          <w:bCs/>
          <w:sz w:val="22"/>
          <w:szCs w:val="22"/>
        </w:rPr>
        <w:t>SOLICITUD</w:t>
      </w:r>
    </w:p>
    <w:p w14:paraId="1085F697" w14:textId="77777777" w:rsidR="00C71799" w:rsidRPr="0066501B" w:rsidRDefault="00C71799" w:rsidP="0066501B">
      <w:pPr>
        <w:spacing w:line="360" w:lineRule="auto"/>
        <w:jc w:val="both"/>
        <w:rPr>
          <w:rFonts w:ascii="Arial" w:eastAsia="Arial" w:hAnsi="Arial" w:cs="Arial"/>
          <w:sz w:val="22"/>
          <w:szCs w:val="22"/>
        </w:rPr>
      </w:pPr>
    </w:p>
    <w:p w14:paraId="7E51BA58" w14:textId="4028E399" w:rsidR="00C71799" w:rsidRPr="0066501B" w:rsidRDefault="00C71799" w:rsidP="0066501B">
      <w:pPr>
        <w:spacing w:line="360" w:lineRule="auto"/>
        <w:jc w:val="both"/>
        <w:rPr>
          <w:rFonts w:ascii="Arial" w:eastAsia="Arial" w:hAnsi="Arial" w:cs="Arial"/>
          <w:sz w:val="22"/>
          <w:szCs w:val="22"/>
        </w:rPr>
      </w:pPr>
      <w:r w:rsidRPr="0066501B">
        <w:rPr>
          <w:rFonts w:ascii="Arial" w:eastAsia="Arial" w:hAnsi="Arial" w:cs="Arial"/>
          <w:sz w:val="22"/>
          <w:szCs w:val="22"/>
        </w:rPr>
        <w:t xml:space="preserve">Con fundamento en los argumentos anteriores y en lo pertinente a cada reparo, solicito respetuosamente al </w:t>
      </w:r>
      <w:r w:rsidR="002357DF" w:rsidRPr="0066501B">
        <w:rPr>
          <w:rFonts w:ascii="Arial" w:eastAsia="Arial" w:hAnsi="Arial" w:cs="Arial"/>
          <w:sz w:val="22"/>
          <w:szCs w:val="22"/>
        </w:rPr>
        <w:t xml:space="preserve">Juzgado Doce Civil Municipal de Bogotá </w:t>
      </w:r>
      <w:r w:rsidRPr="0066501B">
        <w:rPr>
          <w:rFonts w:ascii="Arial" w:eastAsia="Arial" w:hAnsi="Arial" w:cs="Arial"/>
          <w:b/>
          <w:bCs/>
          <w:sz w:val="22"/>
          <w:szCs w:val="22"/>
        </w:rPr>
        <w:t>CONCEDER</w:t>
      </w:r>
      <w:r w:rsidRPr="0066501B">
        <w:rPr>
          <w:rFonts w:ascii="Arial" w:eastAsia="Arial" w:hAnsi="Arial" w:cs="Arial"/>
          <w:sz w:val="22"/>
          <w:szCs w:val="22"/>
        </w:rPr>
        <w:t xml:space="preserve"> el recurso de apelación contra la sentencia oral del </w:t>
      </w:r>
      <w:r w:rsidR="002357DF" w:rsidRPr="0066501B">
        <w:rPr>
          <w:rFonts w:ascii="Arial" w:eastAsia="Arial" w:hAnsi="Arial" w:cs="Arial"/>
          <w:sz w:val="22"/>
          <w:szCs w:val="22"/>
        </w:rPr>
        <w:t xml:space="preserve">30 de julio </w:t>
      </w:r>
      <w:r w:rsidRPr="0066501B">
        <w:rPr>
          <w:rFonts w:ascii="Arial" w:eastAsia="Arial" w:hAnsi="Arial" w:cs="Arial"/>
          <w:sz w:val="22"/>
          <w:szCs w:val="22"/>
        </w:rPr>
        <w:t>de 2024 notificada por estrados y proferida por este despacho, para efectos de que el Honora</w:t>
      </w:r>
      <w:r w:rsidR="002357DF" w:rsidRPr="0066501B">
        <w:rPr>
          <w:rFonts w:ascii="Arial" w:eastAsia="Arial" w:hAnsi="Arial" w:cs="Arial"/>
          <w:sz w:val="22"/>
          <w:szCs w:val="22"/>
        </w:rPr>
        <w:t>ble Juez Civil del Circuito de Bogotá</w:t>
      </w:r>
      <w:r w:rsidRPr="0066501B">
        <w:rPr>
          <w:rFonts w:ascii="Arial" w:eastAsia="Arial" w:hAnsi="Arial" w:cs="Arial"/>
          <w:sz w:val="22"/>
          <w:szCs w:val="22"/>
        </w:rPr>
        <w:t xml:space="preserve"> en reparto </w:t>
      </w:r>
      <w:r w:rsidRPr="0066501B">
        <w:rPr>
          <w:rFonts w:ascii="Arial" w:eastAsia="Arial" w:hAnsi="Arial" w:cs="Arial"/>
          <w:b/>
          <w:bCs/>
          <w:sz w:val="22"/>
          <w:szCs w:val="22"/>
        </w:rPr>
        <w:t>REVOQUE</w:t>
      </w:r>
      <w:r w:rsidRPr="0066501B">
        <w:rPr>
          <w:rFonts w:ascii="Arial" w:eastAsia="Arial" w:hAnsi="Arial" w:cs="Arial"/>
          <w:sz w:val="22"/>
          <w:szCs w:val="22"/>
        </w:rPr>
        <w:t xml:space="preserve"> en su totalidad esta sentencia.</w:t>
      </w:r>
    </w:p>
    <w:p w14:paraId="2066CAB7" w14:textId="77777777" w:rsidR="00C71799" w:rsidRPr="0066501B" w:rsidRDefault="00C71799" w:rsidP="0066501B">
      <w:pPr>
        <w:spacing w:line="360" w:lineRule="auto"/>
        <w:jc w:val="both"/>
        <w:rPr>
          <w:rFonts w:ascii="Arial" w:eastAsia="Arial" w:hAnsi="Arial" w:cs="Arial"/>
          <w:sz w:val="22"/>
          <w:szCs w:val="22"/>
        </w:rPr>
      </w:pPr>
    </w:p>
    <w:p w14:paraId="227B94FD" w14:textId="77777777" w:rsidR="00C71799" w:rsidRPr="0066501B" w:rsidRDefault="00C71799" w:rsidP="0066501B">
      <w:pPr>
        <w:spacing w:line="360" w:lineRule="auto"/>
        <w:ind w:right="773"/>
        <w:jc w:val="both"/>
        <w:rPr>
          <w:rFonts w:ascii="Arial" w:eastAsia="Arial" w:hAnsi="Arial" w:cs="Arial"/>
          <w:sz w:val="22"/>
          <w:szCs w:val="22"/>
          <w:lang w:eastAsia="es-CO"/>
        </w:rPr>
      </w:pPr>
      <w:r w:rsidRPr="0066501B">
        <w:rPr>
          <w:rFonts w:ascii="Arial" w:eastAsia="Arial" w:hAnsi="Arial" w:cs="Arial"/>
          <w:sz w:val="22"/>
          <w:szCs w:val="22"/>
          <w:lang w:eastAsia="es-CO"/>
        </w:rPr>
        <w:t xml:space="preserve">Atentamente, </w:t>
      </w:r>
    </w:p>
    <w:p w14:paraId="7A0F84D3" w14:textId="77777777" w:rsidR="00C71799" w:rsidRPr="0066501B" w:rsidRDefault="00C71799" w:rsidP="0066501B">
      <w:pPr>
        <w:spacing w:line="360" w:lineRule="auto"/>
        <w:ind w:right="773"/>
        <w:jc w:val="both"/>
        <w:rPr>
          <w:rFonts w:ascii="Arial" w:eastAsia="Arial" w:hAnsi="Arial" w:cs="Arial"/>
          <w:sz w:val="22"/>
          <w:szCs w:val="22"/>
          <w:lang w:eastAsia="es-CO"/>
        </w:rPr>
      </w:pPr>
    </w:p>
    <w:p w14:paraId="40678777" w14:textId="77777777" w:rsidR="00C71799" w:rsidRPr="0066501B" w:rsidRDefault="00C71799" w:rsidP="0066501B">
      <w:pPr>
        <w:spacing w:line="360" w:lineRule="auto"/>
        <w:rPr>
          <w:rFonts w:ascii="Arial" w:eastAsia="Arial" w:hAnsi="Arial" w:cs="Arial"/>
          <w:sz w:val="22"/>
          <w:szCs w:val="22"/>
          <w:lang w:eastAsia="es-CO"/>
        </w:rPr>
      </w:pPr>
      <w:r w:rsidRPr="0066501B">
        <w:rPr>
          <w:rFonts w:ascii="Arial" w:eastAsia="Arial" w:hAnsi="Arial" w:cs="Arial"/>
          <w:noProof/>
          <w:sz w:val="22"/>
          <w:szCs w:val="22"/>
          <w:lang w:eastAsia="es-CO"/>
        </w:rPr>
        <w:drawing>
          <wp:anchor distT="0" distB="0" distL="114300" distR="114300" simplePos="0" relativeHeight="251659264" behindDoc="1" locked="0" layoutInCell="1" allowOverlap="0" wp14:anchorId="6033B166" wp14:editId="3A2978D0">
            <wp:simplePos x="0" y="0"/>
            <wp:positionH relativeFrom="margin">
              <wp:posOffset>38100</wp:posOffset>
            </wp:positionH>
            <wp:positionV relativeFrom="paragraph">
              <wp:posOffset>8255</wp:posOffset>
            </wp:positionV>
            <wp:extent cx="1409700" cy="942975"/>
            <wp:effectExtent l="0" t="0" r="0" b="9525"/>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11"/>
                    <a:stretch>
                      <a:fillRect/>
                    </a:stretch>
                  </pic:blipFill>
                  <pic:spPr>
                    <a:xfrm>
                      <a:off x="0" y="0"/>
                      <a:ext cx="1409700" cy="942975"/>
                    </a:xfrm>
                    <a:prstGeom prst="rect">
                      <a:avLst/>
                    </a:prstGeom>
                  </pic:spPr>
                </pic:pic>
              </a:graphicData>
            </a:graphic>
            <wp14:sizeRelH relativeFrom="margin">
              <wp14:pctWidth>0</wp14:pctWidth>
            </wp14:sizeRelH>
            <wp14:sizeRelV relativeFrom="margin">
              <wp14:pctHeight>0</wp14:pctHeight>
            </wp14:sizeRelV>
          </wp:anchor>
        </w:drawing>
      </w:r>
    </w:p>
    <w:p w14:paraId="5EC4C0F6" w14:textId="77777777" w:rsidR="00C71799" w:rsidRPr="0066501B" w:rsidRDefault="00C71799" w:rsidP="0066501B">
      <w:pPr>
        <w:spacing w:line="360" w:lineRule="auto"/>
        <w:rPr>
          <w:rFonts w:ascii="Arial" w:eastAsia="Arial" w:hAnsi="Arial" w:cs="Arial"/>
          <w:sz w:val="22"/>
          <w:szCs w:val="22"/>
          <w:lang w:eastAsia="es-CO"/>
        </w:rPr>
      </w:pPr>
    </w:p>
    <w:p w14:paraId="3D2B8A50" w14:textId="77777777" w:rsidR="00C71799" w:rsidRPr="0066501B" w:rsidRDefault="00C71799" w:rsidP="0066501B">
      <w:pPr>
        <w:spacing w:line="360" w:lineRule="auto"/>
        <w:rPr>
          <w:rFonts w:ascii="Arial" w:eastAsia="Arial" w:hAnsi="Arial" w:cs="Arial"/>
          <w:b/>
          <w:sz w:val="22"/>
          <w:szCs w:val="22"/>
          <w:lang w:eastAsia="es-CO"/>
        </w:rPr>
      </w:pPr>
    </w:p>
    <w:p w14:paraId="4A65FCF3" w14:textId="77777777" w:rsidR="00C71799" w:rsidRPr="0066501B" w:rsidRDefault="00C71799" w:rsidP="0066501B">
      <w:pPr>
        <w:spacing w:line="360" w:lineRule="auto"/>
        <w:rPr>
          <w:rFonts w:ascii="Arial" w:eastAsia="Arial" w:hAnsi="Arial" w:cs="Arial"/>
          <w:sz w:val="22"/>
          <w:szCs w:val="22"/>
          <w:lang w:eastAsia="es-CO"/>
        </w:rPr>
      </w:pPr>
      <w:r w:rsidRPr="0066501B">
        <w:rPr>
          <w:rFonts w:ascii="Arial" w:eastAsia="Arial" w:hAnsi="Arial" w:cs="Arial"/>
          <w:b/>
          <w:sz w:val="22"/>
          <w:szCs w:val="22"/>
          <w:lang w:eastAsia="es-CO"/>
        </w:rPr>
        <w:t>GUSTAVO ALBERTO HERRERA ÁVILA</w:t>
      </w:r>
      <w:r w:rsidRPr="0066501B">
        <w:rPr>
          <w:rFonts w:ascii="Arial" w:eastAsia="Arial" w:hAnsi="Arial" w:cs="Arial"/>
          <w:sz w:val="22"/>
          <w:szCs w:val="22"/>
          <w:lang w:eastAsia="es-CO"/>
        </w:rPr>
        <w:t xml:space="preserve"> </w:t>
      </w:r>
    </w:p>
    <w:p w14:paraId="45A5C09B" w14:textId="77777777" w:rsidR="00C71799" w:rsidRPr="0066501B" w:rsidRDefault="00C71799" w:rsidP="0066501B">
      <w:pPr>
        <w:spacing w:line="360" w:lineRule="auto"/>
        <w:ind w:right="773"/>
        <w:jc w:val="both"/>
        <w:rPr>
          <w:rFonts w:ascii="Arial" w:eastAsia="Arial" w:hAnsi="Arial" w:cs="Arial"/>
          <w:sz w:val="22"/>
          <w:szCs w:val="22"/>
          <w:lang w:eastAsia="es-CO"/>
        </w:rPr>
      </w:pPr>
      <w:r w:rsidRPr="0066501B">
        <w:rPr>
          <w:rFonts w:ascii="Arial" w:eastAsia="Arial" w:hAnsi="Arial" w:cs="Arial"/>
          <w:sz w:val="22"/>
          <w:szCs w:val="22"/>
          <w:lang w:eastAsia="es-CO"/>
        </w:rPr>
        <w:t>C.C. No. 19.395.114 expedida en Bogotá D.C.</w:t>
      </w:r>
    </w:p>
    <w:p w14:paraId="02DADB58" w14:textId="77777777" w:rsidR="00C71799" w:rsidRPr="0066501B" w:rsidRDefault="00C71799" w:rsidP="0066501B">
      <w:pPr>
        <w:spacing w:line="360" w:lineRule="auto"/>
        <w:ind w:right="773"/>
        <w:jc w:val="both"/>
        <w:rPr>
          <w:rFonts w:ascii="Arial" w:eastAsia="Arial" w:hAnsi="Arial" w:cs="Arial"/>
          <w:sz w:val="22"/>
          <w:szCs w:val="22"/>
          <w:lang w:eastAsia="es-CO"/>
        </w:rPr>
      </w:pPr>
      <w:r w:rsidRPr="0066501B">
        <w:rPr>
          <w:rFonts w:ascii="Arial" w:eastAsia="Arial" w:hAnsi="Arial" w:cs="Arial"/>
          <w:sz w:val="22"/>
          <w:szCs w:val="22"/>
          <w:lang w:eastAsia="es-CO"/>
        </w:rPr>
        <w:t>T. P. No. 39.116 del C. S. de la J.</w:t>
      </w:r>
    </w:p>
    <w:p w14:paraId="211D7B10" w14:textId="77777777" w:rsidR="00C71799" w:rsidRPr="0066501B" w:rsidRDefault="00C71799" w:rsidP="0066501B">
      <w:pPr>
        <w:spacing w:line="360" w:lineRule="auto"/>
        <w:jc w:val="center"/>
        <w:rPr>
          <w:rFonts w:ascii="Arial" w:eastAsia="Arial" w:hAnsi="Arial" w:cs="Arial"/>
          <w:sz w:val="22"/>
          <w:szCs w:val="22"/>
        </w:rPr>
      </w:pPr>
    </w:p>
    <w:p w14:paraId="0306E238" w14:textId="77777777" w:rsidR="00081086" w:rsidRPr="0066501B" w:rsidRDefault="00081086" w:rsidP="0066501B">
      <w:pPr>
        <w:spacing w:line="360" w:lineRule="auto"/>
        <w:rPr>
          <w:rFonts w:ascii="Arial" w:hAnsi="Arial" w:cs="Arial"/>
          <w:sz w:val="22"/>
          <w:szCs w:val="22"/>
        </w:rPr>
      </w:pPr>
    </w:p>
    <w:sectPr w:rsidR="00081086" w:rsidRPr="0066501B" w:rsidSect="00220238">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rling Muñoz" w:date="2024-07-30T11:29:00Z" w:initials="DM">
    <w:p w14:paraId="2477B22E" w14:textId="382DC3E8" w:rsidR="00941F3B" w:rsidRDefault="00941F3B">
      <w:pPr>
        <w:pStyle w:val="Textocomentario"/>
      </w:pPr>
      <w:r>
        <w:rPr>
          <w:rStyle w:val="Refdecomentario"/>
        </w:rPr>
        <w:annotationRef/>
      </w:r>
      <w:r>
        <w:t xml:space="preserve">Cami incluí esta manifestación, pero, en atención a que el demandante presentó esa denuncia en contra del Dr. Luis Carlos del INIF, considero que no deberíamos incluirla. </w:t>
      </w:r>
    </w:p>
  </w:comment>
  <w:comment w:id="1" w:author="Darling Muñoz" w:date="2024-07-30T11:38:00Z" w:initials="DM">
    <w:p w14:paraId="6A6104F8" w14:textId="180C6DFA" w:rsidR="00941F3B" w:rsidRDefault="00941F3B">
      <w:pPr>
        <w:pStyle w:val="Textocomentario"/>
      </w:pPr>
      <w:r>
        <w:rPr>
          <w:rStyle w:val="Refdecomentario"/>
        </w:rPr>
        <w:annotationRef/>
      </w:r>
      <w:r>
        <w:t>Lo mismo del comentario anterior mi Cami, considero que es un poco delicado manifestarlo, porque esas exclusiones que se alegaron estaban condicionadas según su contenido a que se probara el fraude, pero eso acá no ocurrió, por lo que considero que es mejor no manifestar esto. Pero quedo atenta a lo que consideres.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77B22E" w15:done="0"/>
  <w15:commentEx w15:paraId="6A6104F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20746" w14:textId="77777777" w:rsidR="00F73AA0" w:rsidRDefault="00F73AA0" w:rsidP="00C71799">
      <w:r>
        <w:separator/>
      </w:r>
    </w:p>
  </w:endnote>
  <w:endnote w:type="continuationSeparator" w:id="0">
    <w:p w14:paraId="1E7A78D7" w14:textId="77777777" w:rsidR="00F73AA0" w:rsidRDefault="00F73AA0" w:rsidP="00C7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B2F15" w14:textId="77777777" w:rsidR="00941F3B" w:rsidRDefault="00941F3B" w:rsidP="00220238">
    <w:pPr>
      <w:rPr>
        <w:color w:val="222A35" w:themeColor="text2" w:themeShade="80"/>
      </w:rPr>
    </w:pPr>
    <w:r>
      <w:rPr>
        <w:noProof/>
        <w:color w:val="222A35" w:themeColor="text2" w:themeShade="80"/>
        <w:lang w:eastAsia="es-CO"/>
      </w:rPr>
      <w:drawing>
        <wp:anchor distT="0" distB="0" distL="114300" distR="114300" simplePos="0" relativeHeight="251661312" behindDoc="1" locked="0" layoutInCell="1" allowOverlap="1" wp14:anchorId="42434559" wp14:editId="29C842E5">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02BB23B0" wp14:editId="6054B7E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DE260" w14:textId="77777777" w:rsidR="00941F3B" w:rsidRPr="004A356B" w:rsidRDefault="00941F3B" w:rsidP="00220238">
                          <w:pPr>
                            <w:spacing w:before="10"/>
                            <w:jc w:val="right"/>
                            <w:rPr>
                              <w:rFonts w:ascii="Raleway" w:hAnsi="Raleway"/>
                              <w:color w:val="11213B"/>
                              <w:w w:val="105"/>
                              <w:sz w:val="14"/>
                              <w:szCs w:val="14"/>
                            </w:rPr>
                          </w:pPr>
                          <w:r w:rsidRPr="00F923E9">
                            <w:rPr>
                              <w:rFonts w:ascii="Raleway" w:hAnsi="Raleway"/>
                              <w:color w:val="11213B"/>
                              <w:w w:val="105"/>
                              <w:sz w:val="14"/>
                            </w:rPr>
                            <w:t>Cali – Av. 6A Bis #35N-100, Oficina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B423871" w14:textId="77777777" w:rsidR="00941F3B" w:rsidRPr="004A356B" w:rsidRDefault="00941F3B" w:rsidP="0022023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B23B0"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00DDE260" w14:textId="77777777" w:rsidR="00941F3B" w:rsidRPr="004A356B" w:rsidRDefault="00941F3B" w:rsidP="00220238">
                    <w:pPr>
                      <w:spacing w:before="10"/>
                      <w:jc w:val="right"/>
                      <w:rPr>
                        <w:rFonts w:ascii="Raleway" w:hAnsi="Raleway"/>
                        <w:color w:val="11213B"/>
                        <w:w w:val="105"/>
                        <w:sz w:val="14"/>
                        <w:szCs w:val="14"/>
                      </w:rPr>
                    </w:pPr>
                    <w:r w:rsidRPr="00F923E9">
                      <w:rPr>
                        <w:rFonts w:ascii="Raleway" w:hAnsi="Raleway"/>
                        <w:color w:val="11213B"/>
                        <w:w w:val="105"/>
                        <w:sz w:val="14"/>
                      </w:rPr>
                      <w:t>Cali – Av. 6A Bis #35N-100, Oficina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B423871" w14:textId="77777777" w:rsidR="00941F3B" w:rsidRPr="004A356B" w:rsidRDefault="00941F3B" w:rsidP="0022023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59264" behindDoc="1" locked="0" layoutInCell="1" allowOverlap="1" wp14:anchorId="2D201621" wp14:editId="42FDA81C">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A0341" w14:textId="77777777" w:rsidR="00941F3B" w:rsidRDefault="00941F3B" w:rsidP="00220238">
    <w:pPr>
      <w:ind w:left="7080" w:firstLine="708"/>
      <w:rPr>
        <w:color w:val="222A35" w:themeColor="text2" w:themeShade="80"/>
      </w:rPr>
    </w:pPr>
  </w:p>
  <w:p w14:paraId="721BD184" w14:textId="77777777" w:rsidR="00941F3B" w:rsidRDefault="00941F3B" w:rsidP="00220238">
    <w:pPr>
      <w:ind w:left="7080" w:firstLine="708"/>
      <w:rPr>
        <w:color w:val="222A35" w:themeColor="text2" w:themeShade="80"/>
      </w:rPr>
    </w:pPr>
    <w:r>
      <w:rPr>
        <w:noProof/>
        <w:lang w:eastAsia="es-CO"/>
      </w:rPr>
      <mc:AlternateContent>
        <mc:Choice Requires="wps">
          <w:drawing>
            <wp:anchor distT="0" distB="0" distL="114300" distR="114300" simplePos="0" relativeHeight="251663360" behindDoc="1" locked="0" layoutInCell="1" allowOverlap="1" wp14:anchorId="182715E3" wp14:editId="2E7F658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59AD32" w14:textId="56B885EB" w:rsidR="00941F3B" w:rsidRPr="00D323BE" w:rsidRDefault="00941F3B" w:rsidP="00220238">
                          <w:pPr>
                            <w:spacing w:before="10"/>
                            <w:jc w:val="center"/>
                            <w:rPr>
                              <w:rFonts w:ascii="Raleway" w:hAnsi="Raleway"/>
                              <w:b/>
                              <w:bCs/>
                              <w:color w:val="FFFFFF" w:themeColor="background1"/>
                              <w:w w:val="105"/>
                              <w:sz w:val="16"/>
                              <w:szCs w:val="20"/>
                              <w:lang w:val="es-ES"/>
                            </w:rPr>
                          </w:pPr>
                          <w:r w:rsidRPr="00D323BE">
                            <w:rPr>
                              <w:rFonts w:ascii="Raleway" w:hAnsi="Raleway"/>
                              <w:b/>
                              <w:color w:val="FFFFFF" w:themeColor="background1"/>
                              <w:w w:val="105"/>
                              <w:sz w:val="20"/>
                              <w:lang w:val="es-ES"/>
                            </w:rPr>
                            <w:t>S/DMMN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715E3"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3559AD32" w14:textId="56B885EB" w:rsidR="00941F3B" w:rsidRPr="00D323BE" w:rsidRDefault="00941F3B" w:rsidP="00220238">
                    <w:pPr>
                      <w:spacing w:before="10"/>
                      <w:jc w:val="center"/>
                      <w:rPr>
                        <w:rFonts w:ascii="Raleway" w:hAnsi="Raleway"/>
                        <w:b/>
                        <w:bCs/>
                        <w:color w:val="FFFFFF" w:themeColor="background1"/>
                        <w:w w:val="105"/>
                        <w:sz w:val="16"/>
                        <w:szCs w:val="20"/>
                        <w:lang w:val="es-ES"/>
                      </w:rPr>
                    </w:pPr>
                    <w:r w:rsidRPr="00D323BE">
                      <w:rPr>
                        <w:rFonts w:ascii="Raleway" w:hAnsi="Raleway"/>
                        <w:b/>
                        <w:color w:val="FFFFFF" w:themeColor="background1"/>
                        <w:w w:val="105"/>
                        <w:sz w:val="20"/>
                        <w:lang w:val="es-ES"/>
                      </w:rPr>
                      <w:t>S/DMMN</w:t>
                    </w:r>
                  </w:p>
                </w:txbxContent>
              </v:textbox>
              <w10:wrap anchorx="page" anchory="margin"/>
            </v:rect>
          </w:pict>
        </mc:Fallback>
      </mc:AlternateContent>
    </w:r>
  </w:p>
  <w:p w14:paraId="3041AD4A" w14:textId="77777777" w:rsidR="00941F3B" w:rsidRDefault="00941F3B" w:rsidP="00220238">
    <w:pPr>
      <w:rPr>
        <w:color w:val="222A35" w:themeColor="text2" w:themeShade="80"/>
      </w:rPr>
    </w:pPr>
  </w:p>
  <w:p w14:paraId="62A1BEEE" w14:textId="7D8CEAA3" w:rsidR="00941F3B" w:rsidRPr="00194DAC" w:rsidRDefault="00941F3B" w:rsidP="00220238">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A15CA8">
      <w:rPr>
        <w:rFonts w:ascii="Raleway" w:hAnsi="Raleway"/>
        <w:b/>
        <w:bCs/>
        <w:noProof/>
        <w:color w:val="222A35" w:themeColor="text2" w:themeShade="80"/>
        <w:sz w:val="16"/>
        <w:szCs w:val="16"/>
      </w:rPr>
      <w:t>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A15CA8">
      <w:rPr>
        <w:rFonts w:ascii="Raleway" w:hAnsi="Raleway"/>
        <w:b/>
        <w:bCs/>
        <w:noProof/>
        <w:color w:val="222A35" w:themeColor="text2" w:themeShade="80"/>
        <w:sz w:val="16"/>
        <w:szCs w:val="16"/>
      </w:rPr>
      <w:t>6</w:t>
    </w:r>
    <w:r w:rsidRPr="00194DAC">
      <w:rPr>
        <w:rFonts w:ascii="Raleway" w:hAnsi="Raleway"/>
        <w:b/>
        <w:bCs/>
        <w:color w:val="222A35" w:themeColor="text2" w:themeShade="80"/>
        <w:sz w:val="16"/>
        <w:szCs w:val="16"/>
      </w:rPr>
      <w:fldChar w:fldCharType="end"/>
    </w:r>
  </w:p>
  <w:p w14:paraId="7226A280" w14:textId="77777777" w:rsidR="00941F3B" w:rsidRDefault="00941F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94E0" w14:textId="77777777" w:rsidR="00F73AA0" w:rsidRDefault="00F73AA0" w:rsidP="00C71799">
      <w:r>
        <w:separator/>
      </w:r>
    </w:p>
  </w:footnote>
  <w:footnote w:type="continuationSeparator" w:id="0">
    <w:p w14:paraId="23C2E9C0" w14:textId="77777777" w:rsidR="00F73AA0" w:rsidRDefault="00F73AA0" w:rsidP="00C71799">
      <w:r>
        <w:continuationSeparator/>
      </w:r>
    </w:p>
  </w:footnote>
  <w:footnote w:id="1">
    <w:p w14:paraId="75701634" w14:textId="77777777" w:rsidR="00941F3B" w:rsidRDefault="00941F3B" w:rsidP="0066501B">
      <w:pPr>
        <w:pStyle w:val="Textonotapie"/>
      </w:pPr>
      <w:r>
        <w:rPr>
          <w:rStyle w:val="Refdenotaalpie"/>
        </w:rPr>
        <w:footnoteRef/>
      </w:r>
      <w:r>
        <w:t xml:space="preserve"> Pizarro, Ramón Daniel, daño moral, editorial Hammurabi, Buenos Aires, 1996, página 35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00E2" w14:textId="77777777" w:rsidR="00941F3B" w:rsidRDefault="00941F3B">
    <w:pPr>
      <w:pStyle w:val="Encabezado"/>
    </w:pPr>
    <w:r>
      <w:rPr>
        <w:noProof/>
        <w:color w:val="222A35" w:themeColor="text2" w:themeShade="80"/>
        <w:lang w:eastAsia="es-CO"/>
      </w:rPr>
      <w:drawing>
        <wp:anchor distT="0" distB="0" distL="114300" distR="114300" simplePos="0" relativeHeight="251660288" behindDoc="1" locked="0" layoutInCell="1" allowOverlap="1" wp14:anchorId="6FBD2877" wp14:editId="46C658A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D1A46"/>
    <w:multiLevelType w:val="hybridMultilevel"/>
    <w:tmpl w:val="BF967E22"/>
    <w:lvl w:ilvl="0" w:tplc="42AE80A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D981692"/>
    <w:multiLevelType w:val="hybridMultilevel"/>
    <w:tmpl w:val="ACEEC53C"/>
    <w:lvl w:ilvl="0" w:tplc="2806D40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28171A5"/>
    <w:multiLevelType w:val="hybridMultilevel"/>
    <w:tmpl w:val="326E316A"/>
    <w:lvl w:ilvl="0" w:tplc="F8E055B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ling Muñoz">
    <w15:presenceInfo w15:providerId="Windows Live" w15:userId="c17591dfbb1e0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99"/>
    <w:rsid w:val="00081086"/>
    <w:rsid w:val="000A4AB9"/>
    <w:rsid w:val="00162605"/>
    <w:rsid w:val="001959D9"/>
    <w:rsid w:val="001A3883"/>
    <w:rsid w:val="00220238"/>
    <w:rsid w:val="00221210"/>
    <w:rsid w:val="002357DF"/>
    <w:rsid w:val="00324189"/>
    <w:rsid w:val="003703DB"/>
    <w:rsid w:val="003A481B"/>
    <w:rsid w:val="003F345F"/>
    <w:rsid w:val="003F39D0"/>
    <w:rsid w:val="00402CE9"/>
    <w:rsid w:val="00433D3F"/>
    <w:rsid w:val="004D4288"/>
    <w:rsid w:val="0066501B"/>
    <w:rsid w:val="006A3EBA"/>
    <w:rsid w:val="0071405C"/>
    <w:rsid w:val="00715543"/>
    <w:rsid w:val="007234A6"/>
    <w:rsid w:val="00871188"/>
    <w:rsid w:val="00941F3B"/>
    <w:rsid w:val="00944587"/>
    <w:rsid w:val="00995C4D"/>
    <w:rsid w:val="00A15CA8"/>
    <w:rsid w:val="00A33B6A"/>
    <w:rsid w:val="00A504B3"/>
    <w:rsid w:val="00AC1C94"/>
    <w:rsid w:val="00AE59F9"/>
    <w:rsid w:val="00B016C9"/>
    <w:rsid w:val="00B401B9"/>
    <w:rsid w:val="00B928EF"/>
    <w:rsid w:val="00C15FF0"/>
    <w:rsid w:val="00C421AF"/>
    <w:rsid w:val="00C6277C"/>
    <w:rsid w:val="00C71799"/>
    <w:rsid w:val="00C74BD1"/>
    <w:rsid w:val="00CA245D"/>
    <w:rsid w:val="00CD3A1E"/>
    <w:rsid w:val="00D323BE"/>
    <w:rsid w:val="00D5122B"/>
    <w:rsid w:val="00D742CB"/>
    <w:rsid w:val="00DC09CC"/>
    <w:rsid w:val="00DF403C"/>
    <w:rsid w:val="00E96ED7"/>
    <w:rsid w:val="00EE3A0B"/>
    <w:rsid w:val="00F73A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0F2A2"/>
  <w15:chartTrackingRefBased/>
  <w15:docId w15:val="{C77C884D-CD43-4BFE-A5C6-52A2F270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79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799"/>
    <w:pPr>
      <w:tabs>
        <w:tab w:val="center" w:pos="4419"/>
        <w:tab w:val="right" w:pos="8838"/>
      </w:tabs>
    </w:pPr>
  </w:style>
  <w:style w:type="character" w:customStyle="1" w:styleId="EncabezadoCar">
    <w:name w:val="Encabezado Car"/>
    <w:basedOn w:val="Fuentedeprrafopredeter"/>
    <w:link w:val="Encabezado"/>
    <w:uiPriority w:val="99"/>
    <w:rsid w:val="00C7179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71799"/>
    <w:pPr>
      <w:tabs>
        <w:tab w:val="center" w:pos="4419"/>
        <w:tab w:val="right" w:pos="8838"/>
      </w:tabs>
    </w:pPr>
  </w:style>
  <w:style w:type="character" w:customStyle="1" w:styleId="PiedepginaCar">
    <w:name w:val="Pie de página Car"/>
    <w:basedOn w:val="Fuentedeprrafopredeter"/>
    <w:link w:val="Piedepgina"/>
    <w:uiPriority w:val="99"/>
    <w:rsid w:val="00C71799"/>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71799"/>
    <w:rPr>
      <w:color w:val="0563C1" w:themeColor="hyperlink"/>
      <w:u w:val="single"/>
    </w:rPr>
  </w:style>
  <w:style w:type="paragraph" w:styleId="Prrafodelista">
    <w:name w:val="List Paragraph"/>
    <w:aliases w:val="Bullets,titulo 3,Ha,Nivel 1,Párrafo de lista1"/>
    <w:basedOn w:val="Normal"/>
    <w:link w:val="PrrafodelistaCar"/>
    <w:uiPriority w:val="34"/>
    <w:qFormat/>
    <w:rsid w:val="00C71799"/>
    <w:pPr>
      <w:ind w:left="720"/>
      <w:contextualSpacing/>
    </w:pPr>
    <w:rPr>
      <w:lang w:val="es-ES"/>
    </w:rPr>
  </w:style>
  <w:style w:type="character" w:customStyle="1" w:styleId="PrrafodelistaCar">
    <w:name w:val="Párrafo de lista Car"/>
    <w:aliases w:val="Bullets Car,titulo 3 Car,Ha Car,Nivel 1 Car,Párrafo de lista1 Car"/>
    <w:link w:val="Prrafodelista"/>
    <w:uiPriority w:val="1"/>
    <w:locked/>
    <w:rsid w:val="00C71799"/>
    <w:rPr>
      <w:rFonts w:ascii="Times New Roman" w:eastAsia="Times New Roman" w:hAnsi="Times New Roman" w:cs="Times New Roman"/>
      <w:sz w:val="24"/>
      <w:szCs w:val="24"/>
      <w:lang w:val="es-ES" w:eastAsia="es-ES"/>
    </w:rPr>
  </w:style>
  <w:style w:type="character" w:customStyle="1" w:styleId="markzm61ctyg3">
    <w:name w:val="markzm61ctyg3"/>
    <w:basedOn w:val="Fuentedeprrafopredeter"/>
    <w:rsid w:val="00C71799"/>
  </w:style>
  <w:style w:type="character" w:styleId="Refdecomentario">
    <w:name w:val="annotation reference"/>
    <w:basedOn w:val="Fuentedeprrafopredeter"/>
    <w:uiPriority w:val="99"/>
    <w:semiHidden/>
    <w:unhideWhenUsed/>
    <w:rsid w:val="00C71799"/>
    <w:rPr>
      <w:sz w:val="16"/>
      <w:szCs w:val="16"/>
    </w:rPr>
  </w:style>
  <w:style w:type="paragraph" w:styleId="Textocomentario">
    <w:name w:val="annotation text"/>
    <w:basedOn w:val="Normal"/>
    <w:link w:val="TextocomentarioCar"/>
    <w:uiPriority w:val="99"/>
    <w:unhideWhenUsed/>
    <w:rsid w:val="00C71799"/>
    <w:rPr>
      <w:sz w:val="20"/>
      <w:szCs w:val="20"/>
    </w:rPr>
  </w:style>
  <w:style w:type="character" w:customStyle="1" w:styleId="TextocomentarioCar">
    <w:name w:val="Texto comentario Car"/>
    <w:basedOn w:val="Fuentedeprrafopredeter"/>
    <w:link w:val="Textocomentario"/>
    <w:uiPriority w:val="99"/>
    <w:rsid w:val="00C71799"/>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C71799"/>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C71799"/>
    <w:rPr>
      <w:rFonts w:ascii="Times New Roman" w:eastAsia="Times New Roman" w:hAnsi="Times New Roman" w:cs="Times New Roman"/>
      <w:sz w:val="20"/>
      <w:szCs w:val="20"/>
      <w:lang w:eastAsia="es-ES"/>
    </w:rPr>
  </w:style>
  <w:style w:type="character" w:styleId="Refdenotaalpie">
    <w:name w:val="footnote reference"/>
    <w:aliases w:val="Texto de nota al pie,FC,Footnotes refss,Appel note de bas de page,referencia nota al pie,Footnote number,BVI fnr,f,Ref. de nota al pie 2,Pie de Página,Fago Fußnotenzeichen,4_G,16 Point,Superscript 6 Point,Texto nota al pie,Ref,F,R,4"/>
    <w:basedOn w:val="Fuentedeprrafopredeter"/>
    <w:link w:val="4GChar"/>
    <w:unhideWhenUsed/>
    <w:qFormat/>
    <w:rsid w:val="00C71799"/>
    <w:rPr>
      <w:vertAlign w:val="superscript"/>
    </w:rPr>
  </w:style>
  <w:style w:type="paragraph" w:styleId="Asuntodelcomentario">
    <w:name w:val="annotation subject"/>
    <w:basedOn w:val="Textocomentario"/>
    <w:next w:val="Textocomentario"/>
    <w:link w:val="AsuntodelcomentarioCar"/>
    <w:uiPriority w:val="99"/>
    <w:semiHidden/>
    <w:unhideWhenUsed/>
    <w:rsid w:val="00B928EF"/>
    <w:rPr>
      <w:b/>
      <w:bCs/>
    </w:rPr>
  </w:style>
  <w:style w:type="character" w:customStyle="1" w:styleId="AsuntodelcomentarioCar">
    <w:name w:val="Asunto del comentario Car"/>
    <w:basedOn w:val="TextocomentarioCar"/>
    <w:link w:val="Asuntodelcomentario"/>
    <w:uiPriority w:val="99"/>
    <w:semiHidden/>
    <w:rsid w:val="00B928EF"/>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928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28EF"/>
    <w:rPr>
      <w:rFonts w:ascii="Segoe UI" w:eastAsia="Times New Roman" w:hAnsi="Segoe UI" w:cs="Segoe UI"/>
      <w:sz w:val="18"/>
      <w:szCs w:val="18"/>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6501B"/>
    <w:pPr>
      <w:jc w:val="both"/>
    </w:pPr>
    <w:rPr>
      <w:rFonts w:asciiTheme="minorHAnsi" w:eastAsiaTheme="minorHAnsi" w:hAnsiTheme="minorHAnsi" w:cstheme="minorBidi"/>
      <w:sz w:val="22"/>
      <w:szCs w:val="22"/>
      <w:vertAlign w:val="superscript"/>
      <w:lang w:eastAsia="en-US"/>
    </w:rPr>
  </w:style>
  <w:style w:type="paragraph" w:styleId="Cita">
    <w:name w:val="Quote"/>
    <w:basedOn w:val="Normal"/>
    <w:next w:val="Normal"/>
    <w:link w:val="CitaCar"/>
    <w:uiPriority w:val="29"/>
    <w:qFormat/>
    <w:rsid w:val="0066501B"/>
    <w:pPr>
      <w:spacing w:before="200" w:after="160" w:line="360" w:lineRule="auto"/>
      <w:ind w:left="851" w:right="851"/>
      <w:jc w:val="both"/>
    </w:pPr>
    <w:rPr>
      <w:rFonts w:ascii="Arial" w:eastAsiaTheme="minorHAnsi" w:hAnsi="Arial" w:cstheme="minorBidi"/>
      <w:i/>
      <w:iCs/>
      <w:color w:val="404040" w:themeColor="text1" w:themeTint="BF"/>
      <w:sz w:val="22"/>
      <w:szCs w:val="22"/>
      <w:lang w:eastAsia="en-US"/>
    </w:rPr>
  </w:style>
  <w:style w:type="character" w:customStyle="1" w:styleId="CitaCar">
    <w:name w:val="Cita Car"/>
    <w:basedOn w:val="Fuentedeprrafopredeter"/>
    <w:link w:val="Cita"/>
    <w:uiPriority w:val="29"/>
    <w:rsid w:val="0066501B"/>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l12bt@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65685-EE94-4F50-B965-B59A303C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2248</Words>
  <Characters>12368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40</cp:revision>
  <dcterms:created xsi:type="dcterms:W3CDTF">2024-07-30T16:00:00Z</dcterms:created>
  <dcterms:modified xsi:type="dcterms:W3CDTF">2024-07-30T18:35:00Z</dcterms:modified>
</cp:coreProperties>
</file>