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2624" w14:textId="6FF40812" w:rsidR="000A7E53" w:rsidRPr="00F969EE" w:rsidRDefault="0044349E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</w:t>
      </w:r>
      <w:r w:rsidR="000A7E53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 contingencia del proceso descrito anteriormente se califica como </w:t>
      </w:r>
      <w:r w:rsidR="003E69C4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REMOTA</w:t>
      </w:r>
      <w:r w:rsidR="000A7E53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debido a que la póliza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N°930-87-994000000074 no presta cobertura temporal y operó la prescripción de las acciones derivadas del contrato de seguro.</w:t>
      </w:r>
      <w:r w:rsidR="000A7E53" w:rsidRPr="00F969EE">
        <w:rPr>
          <w:rFonts w:ascii="Arial" w:eastAsia="Times New Roman" w:hAnsi="Arial" w:cs="Arial"/>
          <w:color w:val="201F1E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   </w:t>
      </w:r>
    </w:p>
    <w:p w14:paraId="43411E60" w14:textId="77777777" w:rsidR="000A7E53" w:rsidRPr="00F969EE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201F1E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7902611F" w14:textId="66C25347" w:rsidR="0061241E" w:rsidRPr="003E69C4" w:rsidRDefault="000A7E53" w:rsidP="001F21AB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Arial" w:hAnsi="Arial" w:cs="Arial"/>
          <w:lang w:val="es-MX"/>
        </w:rPr>
      </w:pP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La Póliza de </w:t>
      </w:r>
      <w:r w:rsidR="009850C9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Seguro de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Responsabilidad Civil Servidores Públicos</w:t>
      </w:r>
      <w:r w:rsidR="009850C9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N°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930-87-994000000074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,cuyo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tomador y 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asegurado es el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Instituto Nacional Penitenciario y Carcelario-INPEC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 w:rsidR="0061241E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</w:t>
      </w:r>
      <w:r w:rsidR="0061241E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presta 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temporal, </w:t>
      </w:r>
      <w:r w:rsidR="0061241E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toda vez 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que la póliza fue pactada bajo la modalidad ocurrencia, cuya vigencia correspondió desde el </w:t>
      </w:r>
      <w:r w:rsidR="003E69C4" w:rsidRPr="003E69C4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05 de noviembre de 2016 al 21 de noviembre de 2021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y los hechos que produjeron el presunto detrimento patrimonial, acaecieron </w:t>
      </w:r>
      <w:r w:rsidR="009850C9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el </w:t>
      </w:r>
      <w:r w:rsidR="003E69C4" w:rsidRPr="003E69C4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01 de junio de 2016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(</w:t>
      </w:r>
      <w:r w:rsidR="009850C9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fecha de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expedición del último cheque)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por lo que dicho hecho,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</w:t>
      </w:r>
      <w:r w:rsidR="00C341D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ocurrió en vigencia de 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la póliza en comento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además es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cierto e inasegurable a la luz de lo establecido en el artículo 1054 del Código de Comercio</w:t>
      </w:r>
      <w:r w:rsidR="00C341D5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porque ya había acontecido antes de iniciar la vigencia de la póliza</w:t>
      </w:r>
      <w:r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. Por otro lado, </w:t>
      </w:r>
      <w:r w:rsidR="003E69C4" w:rsidRP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presta cobertura material, en atención a que, si bien la póliza tiene el amparo de actos incorrectos de los servidores públicos, se fijó la exclusión </w:t>
      </w:r>
      <w:r w:rsidR="003E69C4" w:rsidRPr="003E69C4">
        <w:rPr>
          <w:rFonts w:ascii="Arial" w:hAnsi="Arial" w:cs="Arial"/>
        </w:rPr>
        <w:t>2.4. “</w:t>
      </w:r>
      <w:r w:rsidR="003E69C4" w:rsidRPr="003E69C4">
        <w:rPr>
          <w:rFonts w:ascii="Arial" w:hAnsi="Arial" w:cs="Arial"/>
          <w:i/>
          <w:iCs/>
        </w:rPr>
        <w:t>CUALQUIER RECLAMACIÓN QUE SURJA O PROVENGA DE UN HECHO, CIRCUNSTANCIA O EVENTO CONOCIDO POR EL FUNCIONARIO ASEGURADO PREVIAMENTE A LA FECHA DE INICIACIÓN DE ESTA PÓLIZA, CUYO CONOCIMIENTO HUBIESE INDUCIDO A UNA PERSONA RAZONABLE A CONCLUIR QUE EL MISMO PODRÍA DAR LUGAR A UNA RECLAMACIÓN, ASÍ COMO A LA REAPERTURA DE INVESTIGACIONES O RECLAMACIONES QUE HUBIEREN SIDO ANTES DEL INICIO DE VIGENCIA DE LA PÓLIZA”.</w:t>
      </w:r>
      <w:r w:rsidR="003E69C4">
        <w:rPr>
          <w:rFonts w:ascii="Arial" w:hAnsi="Arial" w:cs="Arial"/>
          <w:i/>
          <w:iCs/>
        </w:rPr>
        <w:t xml:space="preserve"> </w:t>
      </w:r>
      <w:r w:rsidR="003E69C4">
        <w:rPr>
          <w:rFonts w:ascii="Arial" w:hAnsi="Arial" w:cs="Arial"/>
        </w:rPr>
        <w:t>En la página 2 del condicionado, por ende, es evidente la ausencia de cobertura material.</w:t>
      </w:r>
    </w:p>
    <w:p w14:paraId="3DDE63C4" w14:textId="6B54E2FC" w:rsidR="000A7E53" w:rsidRPr="0061241E" w:rsidRDefault="000A7E53" w:rsidP="000A7E53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es-MX" w:eastAsia="es-CO"/>
          <w14:ligatures w14:val="none"/>
        </w:rPr>
      </w:pPr>
    </w:p>
    <w:p w14:paraId="631E879C" w14:textId="623D4400" w:rsidR="000A7E53" w:rsidRDefault="000A7E53" w:rsidP="001F21AB">
      <w:pPr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Finalmente, respecto a la responsabilidad del afianzado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dependerá del análisis que realice la Contraloría de los elementos probatorios que obran en el expediente, confirmar o no la presunta materialización de un detrimento patrimonial al Estado, en especial de </w:t>
      </w:r>
      <w:r w:rsidR="00CE229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los</w:t>
      </w:r>
      <w:r w:rsidR="003E69C4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cheques aportados al plenario, y que presuntamente acreditan que no se realizaron los pagos por concepto de servicios públicos domiciliarios, sino que fueron cobrados por terceros.</w:t>
      </w:r>
    </w:p>
    <w:p w14:paraId="72D638F3" w14:textId="77777777" w:rsidR="001F21AB" w:rsidRPr="00F969EE" w:rsidRDefault="001F21AB" w:rsidP="001F21AB">
      <w:pPr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</w:p>
    <w:p w14:paraId="25454AD5" w14:textId="77777777" w:rsidR="000A7E53" w:rsidRPr="00F969EE" w:rsidRDefault="000A7E53" w:rsidP="000A7E53">
      <w:pPr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Lo anterior, sin perjuicio del carácter contingente dentro del proceso de responsabilidad fiscal. </w:t>
      </w:r>
    </w:p>
    <w:p w14:paraId="6E549B14" w14:textId="77777777" w:rsidR="000A7E53" w:rsidRPr="00F969EE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3ECE35F7" w14:textId="562A410D" w:rsidR="000A7E53" w:rsidRPr="00F969EE" w:rsidRDefault="000A7E53" w:rsidP="000A7E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bookmarkStart w:id="0" w:name="_Hlk137834647"/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Como liquidación del detrimento patrimonial se llegó a la suma </w:t>
      </w:r>
      <w:r w:rsidR="00D902E7" w:rsidRPr="00D902E7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$</w:t>
      </w:r>
      <w:r w:rsidR="00CE229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464.696.613</w:t>
      </w:r>
      <w:r w:rsidRPr="000D174D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Este valor se calculó de la siguiente manera: </w:t>
      </w:r>
    </w:p>
    <w:p w14:paraId="07F92D8F" w14:textId="77777777" w:rsidR="000A7E53" w:rsidRPr="00F969EE" w:rsidRDefault="000A7E53" w:rsidP="000A7E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7D557ED8" w14:textId="381AED66" w:rsidR="000A7E53" w:rsidRPr="00D902E7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Del monto total del detrimento patrimonial, que para el caso es de $</w:t>
      </w:r>
      <w:r w:rsidR="00CE229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464.696.613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no se aplica deducible dado que no se pactó</w:t>
      </w:r>
      <w:r w:rsidR="00CE229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. </w:t>
      </w:r>
    </w:p>
    <w:p w14:paraId="53F011A3" w14:textId="34992E36" w:rsidR="000A7E53" w:rsidRDefault="00D902E7" w:rsidP="000A7E53">
      <w:pP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bookmarkEnd w:id="0"/>
    </w:p>
    <w:sectPr w:rsidR="000A7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3"/>
    <w:rsid w:val="000A11E0"/>
    <w:rsid w:val="000A7E53"/>
    <w:rsid w:val="001F21AB"/>
    <w:rsid w:val="003E69C4"/>
    <w:rsid w:val="0044349E"/>
    <w:rsid w:val="00482CD7"/>
    <w:rsid w:val="0061241E"/>
    <w:rsid w:val="0064386F"/>
    <w:rsid w:val="009850C9"/>
    <w:rsid w:val="00B100AE"/>
    <w:rsid w:val="00C341D5"/>
    <w:rsid w:val="00CE229B"/>
    <w:rsid w:val="00D902E7"/>
    <w:rsid w:val="00D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B2EA"/>
  <w15:chartTrackingRefBased/>
  <w15:docId w15:val="{DB8E2F6D-4658-44DE-B2B5-66A72C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53"/>
  </w:style>
  <w:style w:type="paragraph" w:styleId="Ttulo1">
    <w:name w:val="heading 1"/>
    <w:basedOn w:val="Normal"/>
    <w:next w:val="Normal"/>
    <w:link w:val="Ttulo1Car"/>
    <w:uiPriority w:val="9"/>
    <w:qFormat/>
    <w:rsid w:val="000A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E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E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E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E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E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E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7E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7E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7E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E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2024-05-06T21:56:00Z</dcterms:created>
  <dcterms:modified xsi:type="dcterms:W3CDTF">2024-05-06T21:56:00Z</dcterms:modified>
</cp:coreProperties>
</file>