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F71277" w14:textId="77777777" w:rsidR="00D26983" w:rsidRDefault="009C385F">
      <w:pPr>
        <w:spacing w:line="254" w:lineRule="auto"/>
        <w:ind w:hanging="2"/>
        <w:jc w:val="center"/>
        <w:rPr>
          <w:rFonts w:ascii="Century Gothic" w:eastAsia="Century Gothic" w:hAnsi="Century Gothic" w:cs="Century Gothic"/>
        </w:rPr>
      </w:pPr>
      <w:r>
        <w:rPr>
          <w:noProof/>
        </w:rPr>
        <w:drawing>
          <wp:inline distT="0" distB="0" distL="0" distR="0" wp14:anchorId="3C8034AB" wp14:editId="1D716215">
            <wp:extent cx="2200275" cy="10668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2200275" cy="1066800"/>
                    </a:xfrm>
                    <a:prstGeom prst="rect">
                      <a:avLst/>
                    </a:prstGeom>
                    <a:ln/>
                  </pic:spPr>
                </pic:pic>
              </a:graphicData>
            </a:graphic>
          </wp:inline>
        </w:drawing>
      </w:r>
    </w:p>
    <w:p w14:paraId="428C11A8" w14:textId="77777777" w:rsidR="00D26983" w:rsidRDefault="009C385F">
      <w:pPr>
        <w:spacing w:line="254" w:lineRule="auto"/>
        <w:ind w:hanging="2"/>
        <w:jc w:val="center"/>
        <w:rPr>
          <w:rFonts w:ascii="Century Gothic" w:eastAsia="Century Gothic" w:hAnsi="Century Gothic" w:cs="Century Gothic"/>
          <w:sz w:val="24"/>
          <w:szCs w:val="24"/>
        </w:rPr>
      </w:pPr>
      <w:r>
        <w:t xml:space="preserve"> </w:t>
      </w:r>
      <w:r>
        <w:rPr>
          <w:rFonts w:ascii="Century Gothic" w:eastAsia="Century Gothic" w:hAnsi="Century Gothic" w:cs="Century Gothic"/>
        </w:rPr>
        <w:t xml:space="preserve">                                                                                                                                          </w:t>
      </w:r>
      <w:r>
        <w:rPr>
          <w:rFonts w:ascii="Century Gothic" w:eastAsia="Century Gothic" w:hAnsi="Century Gothic" w:cs="Century Gothic"/>
          <w:b/>
          <w:sz w:val="24"/>
          <w:szCs w:val="24"/>
        </w:rPr>
        <w:t>Índice 76</w:t>
      </w:r>
    </w:p>
    <w:p w14:paraId="128E3D3D" w14:textId="77777777" w:rsidR="00D26983" w:rsidRDefault="009C385F">
      <w:pPr>
        <w:spacing w:line="254" w:lineRule="auto"/>
        <w:ind w:hanging="2"/>
        <w:jc w:val="center"/>
        <w:rPr>
          <w:rFonts w:ascii="Century Gothic" w:eastAsia="Century Gothic" w:hAnsi="Century Gothic" w:cs="Century Gothic"/>
          <w:sz w:val="24"/>
          <w:szCs w:val="24"/>
        </w:rPr>
      </w:pPr>
      <w:r>
        <w:rPr>
          <w:rFonts w:ascii="Century Gothic" w:eastAsia="Century Gothic" w:hAnsi="Century Gothic" w:cs="Century Gothic"/>
          <w:b/>
          <w:sz w:val="24"/>
          <w:szCs w:val="24"/>
        </w:rPr>
        <w:t>CONSEJO DE ESTADO</w:t>
      </w:r>
    </w:p>
    <w:p w14:paraId="75D01384" w14:textId="77777777" w:rsidR="00D26983" w:rsidRDefault="009C385F">
      <w:pPr>
        <w:spacing w:line="254" w:lineRule="auto"/>
        <w:ind w:hanging="2"/>
        <w:jc w:val="center"/>
        <w:rPr>
          <w:rFonts w:ascii="Century Gothic" w:eastAsia="Century Gothic" w:hAnsi="Century Gothic" w:cs="Century Gothic"/>
          <w:sz w:val="24"/>
          <w:szCs w:val="24"/>
        </w:rPr>
      </w:pPr>
      <w:r>
        <w:rPr>
          <w:rFonts w:ascii="Century Gothic" w:eastAsia="Century Gothic" w:hAnsi="Century Gothic" w:cs="Century Gothic"/>
          <w:b/>
          <w:sz w:val="24"/>
          <w:szCs w:val="24"/>
        </w:rPr>
        <w:t>SALA DE LO CONTENCIOSO ADMINISTRATIVO</w:t>
      </w:r>
    </w:p>
    <w:p w14:paraId="4A899E4C" w14:textId="77777777" w:rsidR="00D26983" w:rsidRDefault="009C385F">
      <w:pPr>
        <w:spacing w:line="254" w:lineRule="auto"/>
        <w:ind w:hanging="2"/>
        <w:jc w:val="center"/>
        <w:rPr>
          <w:rFonts w:ascii="Century Gothic" w:eastAsia="Century Gothic" w:hAnsi="Century Gothic" w:cs="Century Gothic"/>
          <w:sz w:val="24"/>
          <w:szCs w:val="24"/>
        </w:rPr>
      </w:pPr>
      <w:r>
        <w:rPr>
          <w:rFonts w:ascii="Century Gothic" w:eastAsia="Century Gothic" w:hAnsi="Century Gothic" w:cs="Century Gothic"/>
          <w:b/>
          <w:sz w:val="24"/>
          <w:szCs w:val="24"/>
        </w:rPr>
        <w:t>SECCIÓN TERCERA</w:t>
      </w:r>
    </w:p>
    <w:p w14:paraId="1C8AA074" w14:textId="77777777" w:rsidR="00D26983" w:rsidRDefault="009C385F">
      <w:pPr>
        <w:spacing w:line="254" w:lineRule="auto"/>
        <w:ind w:hanging="2"/>
        <w:jc w:val="center"/>
        <w:rPr>
          <w:rFonts w:ascii="Century Gothic" w:eastAsia="Century Gothic" w:hAnsi="Century Gothic" w:cs="Century Gothic"/>
          <w:sz w:val="24"/>
          <w:szCs w:val="24"/>
        </w:rPr>
      </w:pPr>
      <w:r>
        <w:rPr>
          <w:rFonts w:ascii="Century Gothic" w:eastAsia="Century Gothic" w:hAnsi="Century Gothic" w:cs="Century Gothic"/>
          <w:b/>
          <w:sz w:val="24"/>
          <w:szCs w:val="24"/>
        </w:rPr>
        <w:t>SECRETARÍA</w:t>
      </w:r>
    </w:p>
    <w:p w14:paraId="0D3A49A0" w14:textId="77777777" w:rsidR="00D26983" w:rsidRDefault="00D26983">
      <w:pPr>
        <w:spacing w:line="254" w:lineRule="auto"/>
        <w:ind w:hanging="2"/>
        <w:rPr>
          <w:rFonts w:ascii="Century Gothic" w:eastAsia="Century Gothic" w:hAnsi="Century Gothic" w:cs="Century Gothic"/>
          <w:sz w:val="24"/>
          <w:szCs w:val="24"/>
        </w:rPr>
      </w:pPr>
    </w:p>
    <w:tbl>
      <w:tblPr>
        <w:tblStyle w:val="a3"/>
        <w:tblW w:w="8925" w:type="dxa"/>
        <w:tblInd w:w="0" w:type="dxa"/>
        <w:tblBorders>
          <w:top w:val="single" w:sz="6" w:space="0" w:color="000000"/>
          <w:left w:val="single" w:sz="6" w:space="0" w:color="000000"/>
          <w:bottom w:val="single" w:sz="6" w:space="0" w:color="000000"/>
          <w:right w:val="single" w:sz="6" w:space="0" w:color="000000"/>
          <w:insideH w:val="nil"/>
          <w:insideV w:val="nil"/>
        </w:tblBorders>
        <w:tblLayout w:type="fixed"/>
        <w:tblLook w:val="0400" w:firstRow="0" w:lastRow="0" w:firstColumn="0" w:lastColumn="0" w:noHBand="0" w:noVBand="1"/>
      </w:tblPr>
      <w:tblGrid>
        <w:gridCol w:w="8925"/>
      </w:tblGrid>
      <w:tr w:rsidR="00D26983" w14:paraId="4C70BCBC" w14:textId="77777777">
        <w:tc>
          <w:tcPr>
            <w:tcW w:w="8925" w:type="dxa"/>
            <w:tcBorders>
              <w:top w:val="single" w:sz="6" w:space="0" w:color="000000"/>
              <w:left w:val="single" w:sz="6" w:space="0" w:color="000000"/>
              <w:bottom w:val="single" w:sz="6" w:space="0" w:color="000000"/>
              <w:right w:val="single" w:sz="6" w:space="0" w:color="000000"/>
            </w:tcBorders>
            <w:shd w:val="clear" w:color="auto" w:fill="CCCCCC"/>
          </w:tcPr>
          <w:p w14:paraId="10273D8B" w14:textId="77777777" w:rsidR="00D26983" w:rsidRDefault="009C385F">
            <w:pPr>
              <w:spacing w:line="276" w:lineRule="auto"/>
              <w:ind w:hanging="2"/>
              <w:rPr>
                <w:rFonts w:ascii="Arial" w:eastAsia="Arial" w:hAnsi="Arial" w:cs="Arial"/>
                <w:sz w:val="24"/>
                <w:szCs w:val="24"/>
              </w:rPr>
            </w:pPr>
            <w:bookmarkStart w:id="0" w:name="_heading=h.3znysh7" w:colFirst="0" w:colLast="0"/>
            <w:bookmarkEnd w:id="0"/>
            <w:r>
              <w:rPr>
                <w:rFonts w:ascii="Century Gothic" w:eastAsia="Century Gothic" w:hAnsi="Century Gothic" w:cs="Century Gothic"/>
                <w:b/>
                <w:sz w:val="24"/>
                <w:szCs w:val="24"/>
              </w:rPr>
              <w:t>REF:</w:t>
            </w:r>
            <w:r>
              <w:rPr>
                <w:rFonts w:ascii="Century Gothic" w:eastAsia="Century Gothic" w:hAnsi="Century Gothic" w:cs="Century Gothic"/>
                <w:b/>
                <w:sz w:val="24"/>
                <w:szCs w:val="24"/>
              </w:rPr>
              <w:tab/>
              <w:t>EXPEDIENTE No.</w:t>
            </w:r>
            <w:r>
              <w:rPr>
                <w:rFonts w:ascii="Century Gothic" w:eastAsia="Century Gothic" w:hAnsi="Century Gothic" w:cs="Century Gothic"/>
                <w:sz w:val="24"/>
                <w:szCs w:val="24"/>
              </w:rPr>
              <w:t xml:space="preserve"> </w:t>
            </w:r>
            <w:r>
              <w:rPr>
                <w:rFonts w:ascii="Arial" w:eastAsia="Arial" w:hAnsi="Arial" w:cs="Arial"/>
                <w:b/>
                <w:sz w:val="24"/>
                <w:szCs w:val="24"/>
              </w:rPr>
              <w:t xml:space="preserve">11001032600020200005500 (66052) </w:t>
            </w:r>
            <w:proofErr w:type="spellStart"/>
            <w:r>
              <w:rPr>
                <w:rFonts w:ascii="Arial" w:eastAsia="Arial" w:hAnsi="Arial" w:cs="Arial"/>
                <w:b/>
                <w:sz w:val="24"/>
                <w:szCs w:val="24"/>
              </w:rPr>
              <w:t>Exp</w:t>
            </w:r>
            <w:proofErr w:type="spellEnd"/>
            <w:r>
              <w:rPr>
                <w:rFonts w:ascii="Arial" w:eastAsia="Arial" w:hAnsi="Arial" w:cs="Arial"/>
                <w:b/>
                <w:sz w:val="24"/>
                <w:szCs w:val="24"/>
              </w:rPr>
              <w:t xml:space="preserve">. electrónico. </w:t>
            </w:r>
          </w:p>
        </w:tc>
      </w:tr>
    </w:tbl>
    <w:p w14:paraId="1C055DD4" w14:textId="77777777" w:rsidR="00D26983" w:rsidRDefault="00D26983">
      <w:pPr>
        <w:ind w:left="2" w:hanging="2"/>
        <w:jc w:val="both"/>
        <w:rPr>
          <w:rFonts w:ascii="Century Gothic" w:eastAsia="Century Gothic" w:hAnsi="Century Gothic" w:cs="Century Gothic"/>
          <w:color w:val="000000"/>
          <w:sz w:val="24"/>
          <w:szCs w:val="24"/>
        </w:rPr>
      </w:pPr>
      <w:bookmarkStart w:id="1" w:name="_heading=h.gjdgxs" w:colFirst="0" w:colLast="0"/>
      <w:bookmarkEnd w:id="1"/>
    </w:p>
    <w:p w14:paraId="14ED4637" w14:textId="77777777" w:rsidR="00D26983" w:rsidRDefault="009C385F">
      <w:pPr>
        <w:ind w:left="2" w:hanging="2"/>
        <w:jc w:val="both"/>
        <w:rPr>
          <w:rFonts w:ascii="Century Gothic" w:eastAsia="Century Gothic" w:hAnsi="Century Gothic" w:cs="Century Gothic"/>
          <w:color w:val="000000"/>
          <w:sz w:val="24"/>
          <w:szCs w:val="24"/>
          <w:highlight w:val="white"/>
        </w:rPr>
      </w:pPr>
      <w:bookmarkStart w:id="2" w:name="_heading=h.1fob9te" w:colFirst="0" w:colLast="0"/>
      <w:bookmarkEnd w:id="2"/>
      <w:r>
        <w:rPr>
          <w:rFonts w:ascii="Century Gothic" w:eastAsia="Century Gothic" w:hAnsi="Century Gothic" w:cs="Century Gothic"/>
          <w:color w:val="000000"/>
          <w:sz w:val="24"/>
          <w:szCs w:val="24"/>
          <w:highlight w:val="white"/>
        </w:rPr>
        <w:t>Al despacho del Magistrado</w:t>
      </w:r>
      <w:r>
        <w:rPr>
          <w:rFonts w:ascii="Century Gothic" w:eastAsia="Century Gothic" w:hAnsi="Century Gothic" w:cs="Century Gothic"/>
          <w:b/>
          <w:color w:val="000000"/>
          <w:sz w:val="24"/>
          <w:szCs w:val="24"/>
          <w:highlight w:val="white"/>
        </w:rPr>
        <w:t xml:space="preserve"> MARTÍN BERMÚDEZ MUÑOZ</w:t>
      </w:r>
      <w:r>
        <w:rPr>
          <w:rFonts w:ascii="Century Gothic" w:eastAsia="Century Gothic" w:hAnsi="Century Gothic" w:cs="Century Gothic"/>
          <w:b/>
          <w:color w:val="000000"/>
          <w:highlight w:val="white"/>
        </w:rPr>
        <w:t>,</w:t>
      </w:r>
      <w:r>
        <w:rPr>
          <w:rFonts w:ascii="Century Gothic" w:eastAsia="Century Gothic" w:hAnsi="Century Gothic" w:cs="Century Gothic"/>
          <w:color w:val="000000"/>
          <w:highlight w:val="white"/>
        </w:rPr>
        <w:t xml:space="preserve"> </w:t>
      </w:r>
      <w:r>
        <w:rPr>
          <w:rFonts w:ascii="Century Gothic" w:eastAsia="Century Gothic" w:hAnsi="Century Gothic" w:cs="Century Gothic"/>
          <w:sz w:val="24"/>
          <w:szCs w:val="24"/>
          <w:highlight w:val="white"/>
        </w:rPr>
        <w:t xml:space="preserve">hoy 12 de junio de 2024, </w:t>
      </w:r>
      <w:r>
        <w:rPr>
          <w:rFonts w:ascii="Century Gothic" w:eastAsia="Century Gothic" w:hAnsi="Century Gothic" w:cs="Century Gothic"/>
          <w:color w:val="000000"/>
          <w:sz w:val="24"/>
          <w:szCs w:val="24"/>
          <w:highlight w:val="white"/>
        </w:rPr>
        <w:t>informando que, el auto visible a índice 42 de SAMAI, se incluyó en estado electrónico del 5 de diciembre de 2023 (índice 44 SAMAI</w:t>
      </w:r>
      <w:r>
        <w:rPr>
          <w:rFonts w:ascii="Century Gothic" w:eastAsia="Century Gothic" w:hAnsi="Century Gothic" w:cs="Century Gothic"/>
          <w:color w:val="000000"/>
          <w:sz w:val="22"/>
          <w:szCs w:val="22"/>
          <w:highlight w:val="white"/>
        </w:rPr>
        <w:t xml:space="preserve">) </w:t>
      </w:r>
      <w:r>
        <w:rPr>
          <w:rFonts w:ascii="Century Gothic" w:eastAsia="Century Gothic" w:hAnsi="Century Gothic" w:cs="Century Gothic"/>
          <w:color w:val="000000"/>
          <w:sz w:val="24"/>
          <w:szCs w:val="24"/>
          <w:highlight w:val="white"/>
        </w:rPr>
        <w:t>de conformidad con el artículo 201 del CPACA y su término de ejecutoria corrió desde el 6 hasta el 11 de diciembre de 2023.</w:t>
      </w:r>
    </w:p>
    <w:p w14:paraId="6DAB684C" w14:textId="77777777" w:rsidR="00D26983" w:rsidRDefault="00D26983">
      <w:pPr>
        <w:ind w:left="2" w:hanging="2"/>
        <w:jc w:val="both"/>
        <w:rPr>
          <w:rFonts w:ascii="Century Gothic" w:eastAsia="Century Gothic" w:hAnsi="Century Gothic" w:cs="Century Gothic"/>
          <w:sz w:val="24"/>
          <w:szCs w:val="24"/>
          <w:highlight w:val="yellow"/>
        </w:rPr>
      </w:pPr>
    </w:p>
    <w:p w14:paraId="63CD0DEA" w14:textId="77777777" w:rsidR="00D26983" w:rsidRDefault="009C385F">
      <w:pPr>
        <w:ind w:left="2" w:hanging="2"/>
        <w:jc w:val="both"/>
        <w:rPr>
          <w:rFonts w:ascii="Century Gothic" w:eastAsia="Century Gothic" w:hAnsi="Century Gothic" w:cs="Century Gothic"/>
          <w:color w:val="000000"/>
          <w:sz w:val="24"/>
          <w:szCs w:val="24"/>
          <w:highlight w:val="white"/>
        </w:rPr>
      </w:pPr>
      <w:r>
        <w:rPr>
          <w:rFonts w:ascii="Century Gothic" w:eastAsia="Century Gothic" w:hAnsi="Century Gothic" w:cs="Century Gothic"/>
          <w:color w:val="000000"/>
          <w:sz w:val="24"/>
          <w:szCs w:val="24"/>
          <w:highlight w:val="white"/>
        </w:rPr>
        <w:t>Del mismo modo se informa que se remitieron mensajes de datos visibles en índices 45 y 46 de SAMAI.</w:t>
      </w:r>
    </w:p>
    <w:p w14:paraId="4C9BAFD6" w14:textId="77777777" w:rsidR="00D26983" w:rsidRDefault="00D26983">
      <w:pPr>
        <w:ind w:left="2" w:hanging="2"/>
        <w:jc w:val="both"/>
        <w:rPr>
          <w:rFonts w:ascii="Century Gothic" w:eastAsia="Century Gothic" w:hAnsi="Century Gothic" w:cs="Century Gothic"/>
          <w:color w:val="000000"/>
          <w:sz w:val="24"/>
          <w:szCs w:val="24"/>
          <w:highlight w:val="yellow"/>
        </w:rPr>
      </w:pPr>
    </w:p>
    <w:p w14:paraId="0BB578D1" w14:textId="77777777" w:rsidR="00D26983" w:rsidRDefault="009C385F">
      <w:pPr>
        <w:ind w:left="2" w:hanging="2"/>
        <w:jc w:val="both"/>
        <w:rPr>
          <w:rFonts w:ascii="Century Gothic" w:eastAsia="Century Gothic" w:hAnsi="Century Gothic" w:cs="Century Gothic"/>
          <w:color w:val="000000"/>
          <w:sz w:val="24"/>
          <w:szCs w:val="24"/>
          <w:highlight w:val="white"/>
        </w:rPr>
      </w:pPr>
      <w:r>
        <w:rPr>
          <w:rFonts w:ascii="Century Gothic" w:eastAsia="Century Gothic" w:hAnsi="Century Gothic" w:cs="Century Gothic"/>
          <w:color w:val="000000"/>
          <w:sz w:val="24"/>
          <w:szCs w:val="24"/>
          <w:highlight w:val="white"/>
        </w:rPr>
        <w:t>El 5 de diciembre de 2023, esta Secretaría requirió al abogado Jairo Enrique Rosero Ortiz, en la cual se solicitó información sobre el señor Azarías Alomia Riascos, como representante del grupo demandante dentro de la acción de grupo identificada con el radicado 76109-33-31-002-2008-00071-01 (índices 48 y 49 SAMAI).</w:t>
      </w:r>
    </w:p>
    <w:p w14:paraId="4BE895C2" w14:textId="77777777" w:rsidR="00D26983" w:rsidRDefault="00D26983">
      <w:pPr>
        <w:ind w:left="2" w:hanging="2"/>
        <w:jc w:val="both"/>
        <w:rPr>
          <w:rFonts w:ascii="Century Gothic" w:eastAsia="Century Gothic" w:hAnsi="Century Gothic" w:cs="Century Gothic"/>
          <w:sz w:val="24"/>
          <w:szCs w:val="24"/>
          <w:highlight w:val="yellow"/>
        </w:rPr>
      </w:pPr>
    </w:p>
    <w:p w14:paraId="34C61748" w14:textId="2B103E54" w:rsidR="00D26983" w:rsidRDefault="009C385F">
      <w:pPr>
        <w:ind w:left="2" w:hanging="2"/>
        <w:jc w:val="both"/>
        <w:rPr>
          <w:rFonts w:ascii="Century Gothic" w:eastAsia="Century Gothic" w:hAnsi="Century Gothic" w:cs="Century Gothic"/>
          <w:color w:val="000000"/>
          <w:sz w:val="22"/>
          <w:szCs w:val="22"/>
          <w:highlight w:val="white"/>
        </w:rPr>
      </w:pPr>
      <w:r>
        <w:rPr>
          <w:rFonts w:ascii="Century Gothic" w:eastAsia="Century Gothic" w:hAnsi="Century Gothic" w:cs="Century Gothic"/>
          <w:sz w:val="24"/>
          <w:szCs w:val="24"/>
          <w:highlight w:val="white"/>
        </w:rPr>
        <w:t xml:space="preserve">En razón de lo anterior, </w:t>
      </w:r>
      <w:r>
        <w:rPr>
          <w:rFonts w:ascii="Century Gothic" w:eastAsia="Century Gothic" w:hAnsi="Century Gothic" w:cs="Century Gothic"/>
          <w:color w:val="000000"/>
          <w:sz w:val="24"/>
          <w:szCs w:val="24"/>
          <w:highlight w:val="white"/>
        </w:rPr>
        <w:t>el</w:t>
      </w:r>
      <w:r>
        <w:rPr>
          <w:rFonts w:ascii="Century Gothic" w:eastAsia="Century Gothic" w:hAnsi="Century Gothic" w:cs="Century Gothic"/>
          <w:color w:val="000000"/>
          <w:sz w:val="24"/>
          <w:szCs w:val="24"/>
          <w:highlight w:val="white"/>
        </w:rPr>
        <w:t xml:space="preserve"> 19 de diciembre de 2023, el apoderado de la parte demandante informó que no ha sido posible dar cumplimiento a lo anteriormente solicitado, sin embargo, indica que </w:t>
      </w:r>
      <w:r>
        <w:rPr>
          <w:rFonts w:ascii="Century Gothic" w:eastAsia="Century Gothic" w:hAnsi="Century Gothic" w:cs="Century Gothic"/>
          <w:sz w:val="24"/>
          <w:szCs w:val="24"/>
          <w:highlight w:val="white"/>
        </w:rPr>
        <w:t xml:space="preserve">“(...) </w:t>
      </w:r>
      <w:r>
        <w:rPr>
          <w:rFonts w:ascii="Century Gothic" w:eastAsia="Century Gothic" w:hAnsi="Century Gothic" w:cs="Century Gothic"/>
          <w:i/>
          <w:color w:val="000000"/>
          <w:sz w:val="24"/>
          <w:szCs w:val="24"/>
          <w:highlight w:val="white"/>
        </w:rPr>
        <w:t>Únicamente disponemos del correo electrónico del abogado Eusebio Camacho Hurtado (...)</w:t>
      </w:r>
      <w:r>
        <w:rPr>
          <w:rFonts w:ascii="Century Gothic" w:eastAsia="Century Gothic" w:hAnsi="Century Gothic" w:cs="Century Gothic"/>
          <w:sz w:val="24"/>
          <w:szCs w:val="24"/>
          <w:highlight w:val="white"/>
        </w:rPr>
        <w:t xml:space="preserve">” (índices 56 y 57 SAMAI). </w:t>
      </w:r>
    </w:p>
    <w:p w14:paraId="2E77FCE6" w14:textId="77777777" w:rsidR="00D26983" w:rsidRDefault="00D26983">
      <w:pPr>
        <w:ind w:left="2" w:hanging="2"/>
        <w:jc w:val="both"/>
        <w:rPr>
          <w:rFonts w:ascii="Century Gothic" w:eastAsia="Century Gothic" w:hAnsi="Century Gothic" w:cs="Century Gothic"/>
          <w:sz w:val="22"/>
          <w:szCs w:val="22"/>
          <w:highlight w:val="yellow"/>
        </w:rPr>
      </w:pPr>
    </w:p>
    <w:p w14:paraId="4C2DD1EE" w14:textId="48B87BA7" w:rsidR="00D26983" w:rsidRDefault="009C385F">
      <w:pPr>
        <w:pBdr>
          <w:top w:val="nil"/>
          <w:left w:val="nil"/>
          <w:bottom w:val="nil"/>
          <w:right w:val="nil"/>
          <w:between w:val="nil"/>
        </w:pBdr>
        <w:ind w:firstLine="0"/>
        <w:jc w:val="both"/>
        <w:rPr>
          <w:rFonts w:ascii="Century Gothic" w:eastAsia="Century Gothic" w:hAnsi="Century Gothic" w:cs="Century Gothic"/>
          <w:color w:val="000000"/>
          <w:sz w:val="24"/>
          <w:szCs w:val="24"/>
          <w:highlight w:val="white"/>
        </w:rPr>
      </w:pPr>
      <w:r>
        <w:rPr>
          <w:rFonts w:ascii="Century Gothic" w:eastAsia="Century Gothic" w:hAnsi="Century Gothic" w:cs="Century Gothic"/>
          <w:sz w:val="24"/>
          <w:szCs w:val="24"/>
          <w:highlight w:val="white"/>
        </w:rPr>
        <w:t>Precisado lo anterior, se</w:t>
      </w:r>
      <w:r>
        <w:rPr>
          <w:rFonts w:ascii="Century Gothic" w:eastAsia="Century Gothic" w:hAnsi="Century Gothic" w:cs="Century Gothic"/>
          <w:sz w:val="24"/>
          <w:szCs w:val="24"/>
          <w:highlight w:val="white"/>
        </w:rPr>
        <w:t xml:space="preserve"> informa al despacho que e</w:t>
      </w:r>
      <w:r>
        <w:rPr>
          <w:rFonts w:ascii="Century Gothic" w:eastAsia="Century Gothic" w:hAnsi="Century Gothic" w:cs="Century Gothic"/>
          <w:color w:val="000000"/>
          <w:sz w:val="24"/>
          <w:szCs w:val="24"/>
          <w:highlight w:val="white"/>
        </w:rPr>
        <w:t>n cumplimiento a lo ordenado en auto del 27 de noviembre de 2023, se realizaron las siguientes actuaciones:</w:t>
      </w:r>
    </w:p>
    <w:p w14:paraId="14DB7127" w14:textId="77777777" w:rsidR="00D26983" w:rsidRDefault="00D26983">
      <w:pPr>
        <w:ind w:firstLine="0"/>
        <w:rPr>
          <w:sz w:val="24"/>
          <w:szCs w:val="24"/>
          <w:highlight w:val="yellow"/>
        </w:rPr>
      </w:pPr>
    </w:p>
    <w:tbl>
      <w:tblPr>
        <w:tblStyle w:val="a4"/>
        <w:tblW w:w="8775" w:type="dxa"/>
        <w:tblInd w:w="45" w:type="dxa"/>
        <w:tblLayout w:type="fixed"/>
        <w:tblLook w:val="0400" w:firstRow="0" w:lastRow="0" w:firstColumn="0" w:lastColumn="0" w:noHBand="0" w:noVBand="1"/>
      </w:tblPr>
      <w:tblGrid>
        <w:gridCol w:w="2220"/>
        <w:gridCol w:w="1275"/>
        <w:gridCol w:w="1620"/>
        <w:gridCol w:w="1695"/>
        <w:gridCol w:w="1965"/>
      </w:tblGrid>
      <w:tr w:rsidR="00D26983" w14:paraId="44272875" w14:textId="77777777">
        <w:trPr>
          <w:trHeight w:val="1273"/>
        </w:trPr>
        <w:tc>
          <w:tcPr>
            <w:tcW w:w="2220" w:type="dxa"/>
            <w:tcBorders>
              <w:top w:val="single" w:sz="4" w:space="0" w:color="000000"/>
              <w:left w:val="single" w:sz="4" w:space="0" w:color="000000"/>
              <w:bottom w:val="single" w:sz="4" w:space="0" w:color="000000"/>
              <w:right w:val="single" w:sz="4" w:space="0" w:color="000000"/>
            </w:tcBorders>
            <w:shd w:val="clear" w:color="auto" w:fill="D9D9D9"/>
            <w:tcMar>
              <w:top w:w="0" w:type="dxa"/>
              <w:left w:w="115" w:type="dxa"/>
              <w:bottom w:w="0" w:type="dxa"/>
              <w:right w:w="115" w:type="dxa"/>
            </w:tcMar>
            <w:vAlign w:val="center"/>
          </w:tcPr>
          <w:p w14:paraId="4190A8E7" w14:textId="77777777" w:rsidR="00D26983" w:rsidRDefault="009C385F">
            <w:pPr>
              <w:ind w:hanging="2"/>
              <w:jc w:val="center"/>
              <w:rPr>
                <w:sz w:val="24"/>
                <w:szCs w:val="24"/>
                <w:shd w:val="clear" w:color="auto" w:fill="D9D9D9"/>
              </w:rPr>
            </w:pPr>
            <w:r>
              <w:rPr>
                <w:rFonts w:ascii="Arial" w:eastAsia="Arial" w:hAnsi="Arial" w:cs="Arial"/>
                <w:b/>
                <w:color w:val="000000"/>
                <w:sz w:val="16"/>
                <w:szCs w:val="16"/>
                <w:shd w:val="clear" w:color="auto" w:fill="D9D9D9"/>
              </w:rPr>
              <w:t>Actuación</w:t>
            </w:r>
          </w:p>
        </w:tc>
        <w:tc>
          <w:tcPr>
            <w:tcW w:w="1275" w:type="dxa"/>
            <w:tcBorders>
              <w:top w:val="single" w:sz="4" w:space="0" w:color="000000"/>
              <w:left w:val="single" w:sz="4" w:space="0" w:color="000000"/>
              <w:bottom w:val="single" w:sz="4" w:space="0" w:color="000000"/>
              <w:right w:val="single" w:sz="4" w:space="0" w:color="000000"/>
            </w:tcBorders>
            <w:shd w:val="clear" w:color="auto" w:fill="D9D9D9"/>
            <w:tcMar>
              <w:top w:w="0" w:type="dxa"/>
              <w:left w:w="115" w:type="dxa"/>
              <w:bottom w:w="0" w:type="dxa"/>
              <w:right w:w="115" w:type="dxa"/>
            </w:tcMar>
            <w:vAlign w:val="center"/>
          </w:tcPr>
          <w:p w14:paraId="65AC878C" w14:textId="77777777" w:rsidR="00D26983" w:rsidRDefault="009C385F">
            <w:pPr>
              <w:ind w:hanging="2"/>
              <w:jc w:val="center"/>
              <w:rPr>
                <w:sz w:val="24"/>
                <w:szCs w:val="24"/>
                <w:shd w:val="clear" w:color="auto" w:fill="D9D9D9"/>
              </w:rPr>
            </w:pPr>
            <w:r>
              <w:rPr>
                <w:rFonts w:ascii="Arial" w:eastAsia="Arial" w:hAnsi="Arial" w:cs="Arial"/>
                <w:b/>
                <w:color w:val="000000"/>
                <w:sz w:val="16"/>
                <w:szCs w:val="16"/>
                <w:shd w:val="clear" w:color="auto" w:fill="D9D9D9"/>
              </w:rPr>
              <w:t>Fecha</w:t>
            </w:r>
          </w:p>
        </w:tc>
        <w:tc>
          <w:tcPr>
            <w:tcW w:w="1620" w:type="dxa"/>
            <w:tcBorders>
              <w:top w:val="single" w:sz="4" w:space="0" w:color="000000"/>
              <w:left w:val="single" w:sz="4" w:space="0" w:color="000000"/>
              <w:bottom w:val="single" w:sz="4" w:space="0" w:color="000000"/>
              <w:right w:val="single" w:sz="4" w:space="0" w:color="000000"/>
            </w:tcBorders>
            <w:shd w:val="clear" w:color="auto" w:fill="D9D9D9"/>
            <w:tcMar>
              <w:top w:w="0" w:type="dxa"/>
              <w:left w:w="115" w:type="dxa"/>
              <w:bottom w:w="0" w:type="dxa"/>
              <w:right w:w="115" w:type="dxa"/>
            </w:tcMar>
            <w:vAlign w:val="center"/>
          </w:tcPr>
          <w:p w14:paraId="26D8F9B3" w14:textId="77777777" w:rsidR="00D26983" w:rsidRDefault="009C385F">
            <w:pPr>
              <w:ind w:hanging="2"/>
              <w:jc w:val="center"/>
              <w:rPr>
                <w:sz w:val="24"/>
                <w:szCs w:val="24"/>
                <w:shd w:val="clear" w:color="auto" w:fill="D9D9D9"/>
              </w:rPr>
            </w:pPr>
            <w:r>
              <w:rPr>
                <w:rFonts w:ascii="Arial" w:eastAsia="Arial" w:hAnsi="Arial" w:cs="Arial"/>
                <w:b/>
                <w:color w:val="000000"/>
                <w:sz w:val="16"/>
                <w:szCs w:val="16"/>
                <w:shd w:val="clear" w:color="auto" w:fill="D9D9D9"/>
              </w:rPr>
              <w:t xml:space="preserve">Término de 2 días «Art. 48 Ley 2080 de 2021 </w:t>
            </w:r>
            <w:proofErr w:type="spellStart"/>
            <w:r>
              <w:rPr>
                <w:rFonts w:ascii="Arial" w:eastAsia="Arial" w:hAnsi="Arial" w:cs="Arial"/>
                <w:b/>
                <w:color w:val="000000"/>
                <w:sz w:val="16"/>
                <w:szCs w:val="16"/>
                <w:shd w:val="clear" w:color="auto" w:fill="D9D9D9"/>
              </w:rPr>
              <w:t>conc</w:t>
            </w:r>
            <w:proofErr w:type="spellEnd"/>
            <w:r>
              <w:rPr>
                <w:rFonts w:ascii="Arial" w:eastAsia="Arial" w:hAnsi="Arial" w:cs="Arial"/>
                <w:b/>
                <w:color w:val="000000"/>
                <w:sz w:val="16"/>
                <w:szCs w:val="16"/>
                <w:shd w:val="clear" w:color="auto" w:fill="D9D9D9"/>
              </w:rPr>
              <w:t xml:space="preserve">. 199 del CPACA </w:t>
            </w:r>
            <w:proofErr w:type="spellStart"/>
            <w:r>
              <w:rPr>
                <w:rFonts w:ascii="Arial" w:eastAsia="Arial" w:hAnsi="Arial" w:cs="Arial"/>
                <w:b/>
                <w:color w:val="000000"/>
                <w:sz w:val="16"/>
                <w:szCs w:val="16"/>
                <w:shd w:val="clear" w:color="auto" w:fill="D9D9D9"/>
              </w:rPr>
              <w:t>ibídem</w:t>
            </w:r>
            <w:proofErr w:type="spellEnd"/>
            <w:r>
              <w:rPr>
                <w:rFonts w:ascii="Arial" w:eastAsia="Arial" w:hAnsi="Arial" w:cs="Arial"/>
                <w:b/>
                <w:color w:val="000000"/>
                <w:sz w:val="16"/>
                <w:szCs w:val="16"/>
                <w:shd w:val="clear" w:color="auto" w:fill="D9D9D9"/>
              </w:rPr>
              <w:t>»</w:t>
            </w:r>
          </w:p>
        </w:tc>
        <w:tc>
          <w:tcPr>
            <w:tcW w:w="1695" w:type="dxa"/>
            <w:tcBorders>
              <w:top w:val="single" w:sz="4" w:space="0" w:color="000000"/>
              <w:left w:val="single" w:sz="4" w:space="0" w:color="000000"/>
              <w:bottom w:val="single" w:sz="4" w:space="0" w:color="000000"/>
              <w:right w:val="single" w:sz="4" w:space="0" w:color="000000"/>
            </w:tcBorders>
            <w:shd w:val="clear" w:color="auto" w:fill="D9D9D9"/>
            <w:tcMar>
              <w:top w:w="0" w:type="dxa"/>
              <w:left w:w="115" w:type="dxa"/>
              <w:bottom w:w="0" w:type="dxa"/>
              <w:right w:w="115" w:type="dxa"/>
            </w:tcMar>
            <w:vAlign w:val="center"/>
          </w:tcPr>
          <w:p w14:paraId="6CF01AD2" w14:textId="77777777" w:rsidR="00D26983" w:rsidRDefault="009C385F">
            <w:pPr>
              <w:ind w:hanging="2"/>
              <w:jc w:val="center"/>
              <w:rPr>
                <w:sz w:val="24"/>
                <w:szCs w:val="24"/>
                <w:shd w:val="clear" w:color="auto" w:fill="D9D9D9"/>
              </w:rPr>
            </w:pPr>
            <w:r>
              <w:rPr>
                <w:rFonts w:ascii="Arial" w:eastAsia="Arial" w:hAnsi="Arial" w:cs="Arial"/>
                <w:b/>
                <w:color w:val="000000"/>
                <w:sz w:val="16"/>
                <w:szCs w:val="16"/>
                <w:shd w:val="clear" w:color="auto" w:fill="D9D9D9"/>
              </w:rPr>
              <w:t>Término de 10 días para contestar la demanda articulo 253 ley 1437 de 2011</w:t>
            </w:r>
            <w:r>
              <w:rPr>
                <w:rFonts w:ascii="Arial" w:eastAsia="Arial" w:hAnsi="Arial" w:cs="Arial"/>
                <w:b/>
                <w:color w:val="000000"/>
                <w:sz w:val="24"/>
                <w:szCs w:val="24"/>
                <w:shd w:val="clear" w:color="auto" w:fill="D9D9D9"/>
              </w:rPr>
              <w:t>.</w:t>
            </w:r>
          </w:p>
        </w:tc>
        <w:tc>
          <w:tcPr>
            <w:tcW w:w="1965" w:type="dxa"/>
            <w:tcBorders>
              <w:top w:val="single" w:sz="4" w:space="0" w:color="000000"/>
              <w:left w:val="single" w:sz="4" w:space="0" w:color="000000"/>
              <w:bottom w:val="single" w:sz="4" w:space="0" w:color="000000"/>
              <w:right w:val="single" w:sz="4" w:space="0" w:color="000000"/>
            </w:tcBorders>
            <w:shd w:val="clear" w:color="auto" w:fill="D9D9D9"/>
            <w:tcMar>
              <w:top w:w="0" w:type="dxa"/>
              <w:left w:w="115" w:type="dxa"/>
              <w:bottom w:w="0" w:type="dxa"/>
              <w:right w:w="115" w:type="dxa"/>
            </w:tcMar>
            <w:vAlign w:val="center"/>
          </w:tcPr>
          <w:p w14:paraId="5241DF7A" w14:textId="77777777" w:rsidR="00D26983" w:rsidRDefault="009C385F">
            <w:pPr>
              <w:ind w:hanging="2"/>
              <w:jc w:val="center"/>
              <w:rPr>
                <w:sz w:val="24"/>
                <w:szCs w:val="24"/>
                <w:shd w:val="clear" w:color="auto" w:fill="D9D9D9"/>
              </w:rPr>
            </w:pPr>
            <w:r>
              <w:rPr>
                <w:rFonts w:ascii="Arial" w:eastAsia="Arial" w:hAnsi="Arial" w:cs="Arial"/>
                <w:b/>
                <w:color w:val="000000"/>
                <w:sz w:val="16"/>
                <w:szCs w:val="16"/>
                <w:shd w:val="clear" w:color="auto" w:fill="D9D9D9"/>
              </w:rPr>
              <w:t>Contestación de la demanda / concepto emitido por el Ministerio Público</w:t>
            </w:r>
          </w:p>
        </w:tc>
      </w:tr>
      <w:tr w:rsidR="00D26983" w14:paraId="43B5000C" w14:textId="77777777">
        <w:trPr>
          <w:trHeight w:val="1273"/>
        </w:trPr>
        <w:tc>
          <w:tcPr>
            <w:tcW w:w="2220" w:type="dxa"/>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vAlign w:val="center"/>
          </w:tcPr>
          <w:p w14:paraId="2D47E1E1"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color w:val="000000"/>
                <w:sz w:val="16"/>
                <w:szCs w:val="16"/>
                <w:highlight w:val="white"/>
              </w:rPr>
              <w:lastRenderedPageBreak/>
              <w:t xml:space="preserve">Notificación Azarías Alomia Riascos como representante del grupo actor </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vAlign w:val="center"/>
          </w:tcPr>
          <w:p w14:paraId="39B13241"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color w:val="000000"/>
                <w:sz w:val="16"/>
                <w:szCs w:val="16"/>
                <w:highlight w:val="white"/>
              </w:rPr>
              <w:t xml:space="preserve">20 de mayo de 2024 (índices 71 y 72 SAMAI) </w:t>
            </w:r>
          </w:p>
        </w:tc>
        <w:tc>
          <w:tcPr>
            <w:tcW w:w="1620" w:type="dxa"/>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vAlign w:val="center"/>
          </w:tcPr>
          <w:p w14:paraId="5DE1C652" w14:textId="77777777" w:rsidR="00D26983" w:rsidRDefault="009C385F">
            <w:pPr>
              <w:ind w:hanging="2"/>
              <w:jc w:val="center"/>
              <w:rPr>
                <w:rFonts w:ascii="Arial" w:eastAsia="Arial" w:hAnsi="Arial" w:cs="Arial"/>
                <w:color w:val="000000"/>
                <w:sz w:val="16"/>
                <w:szCs w:val="16"/>
                <w:highlight w:val="white"/>
              </w:rPr>
            </w:pPr>
            <w:r>
              <w:rPr>
                <w:rFonts w:ascii="Arial" w:eastAsia="Arial" w:hAnsi="Arial" w:cs="Arial"/>
                <w:color w:val="000000"/>
                <w:sz w:val="16"/>
                <w:szCs w:val="16"/>
                <w:highlight w:val="white"/>
              </w:rPr>
              <w:t xml:space="preserve">21 y 22 de mayo de 2024 </w:t>
            </w:r>
          </w:p>
        </w:tc>
        <w:tc>
          <w:tcPr>
            <w:tcW w:w="1695" w:type="dxa"/>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vAlign w:val="center"/>
          </w:tcPr>
          <w:p w14:paraId="39822868"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23 de mayo a 6 de junio de 2024</w:t>
            </w:r>
          </w:p>
        </w:tc>
        <w:tc>
          <w:tcPr>
            <w:tcW w:w="1965" w:type="dxa"/>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vAlign w:val="center"/>
          </w:tcPr>
          <w:p w14:paraId="5154F7D8"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b/>
                <w:color w:val="000000"/>
                <w:sz w:val="16"/>
                <w:szCs w:val="16"/>
                <w:highlight w:val="white"/>
              </w:rPr>
              <w:t xml:space="preserve">No </w:t>
            </w:r>
          </w:p>
        </w:tc>
      </w:tr>
      <w:tr w:rsidR="00D26983" w14:paraId="66047516" w14:textId="77777777">
        <w:trPr>
          <w:trHeight w:val="1137"/>
        </w:trPr>
        <w:tc>
          <w:tcPr>
            <w:tcW w:w="22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1CF9964" w14:textId="77777777" w:rsidR="00D26983" w:rsidRDefault="009C385F">
            <w:pPr>
              <w:ind w:hanging="2"/>
              <w:rPr>
                <w:sz w:val="24"/>
                <w:szCs w:val="24"/>
                <w:highlight w:val="white"/>
              </w:rPr>
            </w:pPr>
            <w:r>
              <w:rPr>
                <w:rFonts w:ascii="Arial" w:eastAsia="Arial" w:hAnsi="Arial" w:cs="Arial"/>
                <w:color w:val="000000"/>
                <w:sz w:val="16"/>
                <w:szCs w:val="16"/>
                <w:highlight w:val="white"/>
              </w:rPr>
              <w:t>Notificación Ministerio de Transporte</w:t>
            </w:r>
          </w:p>
        </w:tc>
        <w:tc>
          <w:tcPr>
            <w:tcW w:w="12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43C3A50" w14:textId="77777777" w:rsidR="00D26983" w:rsidRDefault="009C385F">
            <w:pPr>
              <w:ind w:hanging="2"/>
              <w:jc w:val="center"/>
              <w:rPr>
                <w:sz w:val="24"/>
                <w:szCs w:val="24"/>
                <w:highlight w:val="white"/>
              </w:rPr>
            </w:pPr>
            <w:r>
              <w:rPr>
                <w:rFonts w:ascii="Arial" w:eastAsia="Arial" w:hAnsi="Arial" w:cs="Arial"/>
                <w:color w:val="000000"/>
                <w:sz w:val="16"/>
                <w:szCs w:val="16"/>
                <w:highlight w:val="white"/>
              </w:rPr>
              <w:t xml:space="preserve">5 de diciembre de 2023 (índices 50 </w:t>
            </w:r>
            <w:r>
              <w:rPr>
                <w:rFonts w:ascii="Arial" w:eastAsia="Arial" w:hAnsi="Arial" w:cs="Arial"/>
                <w:sz w:val="16"/>
                <w:szCs w:val="16"/>
                <w:highlight w:val="white"/>
              </w:rPr>
              <w:t>a</w:t>
            </w:r>
            <w:r>
              <w:rPr>
                <w:rFonts w:ascii="Arial" w:eastAsia="Arial" w:hAnsi="Arial" w:cs="Arial"/>
                <w:color w:val="000000"/>
                <w:sz w:val="16"/>
                <w:szCs w:val="16"/>
                <w:highlight w:val="white"/>
              </w:rPr>
              <w:t xml:space="preserve"> 5</w:t>
            </w:r>
            <w:r>
              <w:rPr>
                <w:rFonts w:ascii="Arial" w:eastAsia="Arial" w:hAnsi="Arial" w:cs="Arial"/>
                <w:sz w:val="16"/>
                <w:szCs w:val="16"/>
                <w:highlight w:val="white"/>
              </w:rPr>
              <w:t>3</w:t>
            </w:r>
            <w:r>
              <w:rPr>
                <w:rFonts w:ascii="Arial" w:eastAsia="Arial" w:hAnsi="Arial" w:cs="Arial"/>
                <w:color w:val="000000"/>
                <w:sz w:val="16"/>
                <w:szCs w:val="16"/>
                <w:highlight w:val="white"/>
              </w:rPr>
              <w:t xml:space="preserve"> SAMAI)</w:t>
            </w:r>
          </w:p>
        </w:tc>
        <w:tc>
          <w:tcPr>
            <w:tcW w:w="16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595F69C" w14:textId="77777777" w:rsidR="00D26983" w:rsidRDefault="009C385F">
            <w:pPr>
              <w:ind w:hanging="2"/>
              <w:rPr>
                <w:sz w:val="24"/>
                <w:szCs w:val="24"/>
                <w:highlight w:val="white"/>
              </w:rPr>
            </w:pPr>
            <w:r>
              <w:rPr>
                <w:rFonts w:ascii="Arial" w:eastAsia="Arial" w:hAnsi="Arial" w:cs="Arial"/>
                <w:color w:val="000000"/>
                <w:sz w:val="16"/>
                <w:szCs w:val="16"/>
                <w:highlight w:val="white"/>
              </w:rPr>
              <w:t>6 y 7 de diciembre de 2023</w:t>
            </w:r>
          </w:p>
        </w:tc>
        <w:tc>
          <w:tcPr>
            <w:tcW w:w="1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522BFED" w14:textId="77777777" w:rsidR="00D26983" w:rsidRDefault="009C385F">
            <w:pPr>
              <w:ind w:hanging="2"/>
              <w:rPr>
                <w:sz w:val="24"/>
                <w:szCs w:val="24"/>
                <w:highlight w:val="white"/>
              </w:rPr>
            </w:pPr>
            <w:r>
              <w:rPr>
                <w:rFonts w:ascii="Arial" w:eastAsia="Arial" w:hAnsi="Arial" w:cs="Arial"/>
                <w:sz w:val="16"/>
                <w:szCs w:val="16"/>
                <w:highlight w:val="white"/>
              </w:rPr>
              <w:t>11 diciembre de 2023 al 15 de enero de 2024</w:t>
            </w:r>
          </w:p>
        </w:tc>
        <w:tc>
          <w:tcPr>
            <w:tcW w:w="19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129A74F" w14:textId="77777777" w:rsidR="00D26983" w:rsidRDefault="009C385F">
            <w:pPr>
              <w:ind w:hanging="2"/>
              <w:jc w:val="center"/>
              <w:rPr>
                <w:sz w:val="24"/>
                <w:szCs w:val="24"/>
                <w:highlight w:val="white"/>
              </w:rPr>
            </w:pPr>
            <w:r>
              <w:rPr>
                <w:rFonts w:ascii="Arial" w:eastAsia="Arial" w:hAnsi="Arial" w:cs="Arial"/>
                <w:b/>
                <w:color w:val="000000"/>
                <w:sz w:val="16"/>
                <w:szCs w:val="16"/>
                <w:highlight w:val="white"/>
              </w:rPr>
              <w:t>No</w:t>
            </w:r>
          </w:p>
        </w:tc>
      </w:tr>
      <w:tr w:rsidR="00D26983" w14:paraId="25F60D65" w14:textId="77777777">
        <w:trPr>
          <w:trHeight w:val="1137"/>
        </w:trPr>
        <w:tc>
          <w:tcPr>
            <w:tcW w:w="22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40CC2B4"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 xml:space="preserve">Notificación </w:t>
            </w:r>
            <w:r>
              <w:rPr>
                <w:rFonts w:ascii="Arial" w:eastAsia="Arial" w:hAnsi="Arial" w:cs="Arial"/>
                <w:sz w:val="16"/>
                <w:szCs w:val="16"/>
                <w:highlight w:val="white"/>
              </w:rPr>
              <w:t>Ministerio de Ambiente y Desarrollo Sostenible</w:t>
            </w:r>
          </w:p>
        </w:tc>
        <w:tc>
          <w:tcPr>
            <w:tcW w:w="12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8965AF2" w14:textId="77777777" w:rsidR="00D26983" w:rsidRDefault="009C385F">
            <w:pPr>
              <w:ind w:hanging="2"/>
              <w:jc w:val="center"/>
              <w:rPr>
                <w:rFonts w:ascii="Arial" w:eastAsia="Arial" w:hAnsi="Arial" w:cs="Arial"/>
                <w:color w:val="000000"/>
                <w:sz w:val="16"/>
                <w:szCs w:val="16"/>
                <w:highlight w:val="white"/>
              </w:rPr>
            </w:pPr>
            <w:r>
              <w:rPr>
                <w:rFonts w:ascii="Arial" w:eastAsia="Arial" w:hAnsi="Arial" w:cs="Arial"/>
                <w:color w:val="000000"/>
                <w:sz w:val="16"/>
                <w:szCs w:val="16"/>
                <w:highlight w:val="white"/>
              </w:rPr>
              <w:t>5 de diciembre de 2023 (</w:t>
            </w:r>
            <w:r>
              <w:rPr>
                <w:rFonts w:ascii="Arial" w:eastAsia="Arial" w:hAnsi="Arial" w:cs="Arial"/>
                <w:sz w:val="16"/>
                <w:szCs w:val="16"/>
                <w:highlight w:val="white"/>
              </w:rPr>
              <w:t>índices 50 a 53</w:t>
            </w:r>
            <w:r>
              <w:rPr>
                <w:rFonts w:ascii="Arial" w:eastAsia="Arial" w:hAnsi="Arial" w:cs="Arial"/>
                <w:color w:val="000000"/>
                <w:sz w:val="16"/>
                <w:szCs w:val="16"/>
                <w:highlight w:val="white"/>
              </w:rPr>
              <w:t xml:space="preserve"> SAMAI)</w:t>
            </w:r>
          </w:p>
        </w:tc>
        <w:tc>
          <w:tcPr>
            <w:tcW w:w="16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B2BAA71"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6 y 7 de diciembre de 2023</w:t>
            </w:r>
          </w:p>
        </w:tc>
        <w:tc>
          <w:tcPr>
            <w:tcW w:w="1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5367131" w14:textId="77777777" w:rsidR="00D26983" w:rsidRDefault="009C385F">
            <w:pPr>
              <w:ind w:hanging="2"/>
              <w:rPr>
                <w:rFonts w:ascii="Arial" w:eastAsia="Arial" w:hAnsi="Arial" w:cs="Arial"/>
                <w:color w:val="000000"/>
                <w:sz w:val="16"/>
                <w:szCs w:val="16"/>
                <w:highlight w:val="white"/>
              </w:rPr>
            </w:pPr>
            <w:r>
              <w:rPr>
                <w:rFonts w:ascii="Arial" w:eastAsia="Arial" w:hAnsi="Arial" w:cs="Arial"/>
                <w:sz w:val="16"/>
                <w:szCs w:val="16"/>
                <w:highlight w:val="white"/>
              </w:rPr>
              <w:t>11 diciembre de 2023 al 15 de enero de 2024</w:t>
            </w:r>
          </w:p>
        </w:tc>
        <w:tc>
          <w:tcPr>
            <w:tcW w:w="19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4A12ADC"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b/>
                <w:color w:val="000000"/>
                <w:sz w:val="16"/>
                <w:szCs w:val="16"/>
                <w:highlight w:val="white"/>
              </w:rPr>
              <w:t>Si, presentada el 15 de enero de 2024 (índices 63 y 66 SAMAI)</w:t>
            </w:r>
          </w:p>
        </w:tc>
      </w:tr>
      <w:tr w:rsidR="00D26983" w14:paraId="1B54992A" w14:textId="77777777">
        <w:trPr>
          <w:trHeight w:val="1137"/>
        </w:trPr>
        <w:tc>
          <w:tcPr>
            <w:tcW w:w="22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B6C9C81"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Notificación Ministerio del Interior</w:t>
            </w:r>
          </w:p>
        </w:tc>
        <w:tc>
          <w:tcPr>
            <w:tcW w:w="12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0BCDF46" w14:textId="77777777" w:rsidR="00D26983" w:rsidRDefault="009C385F">
            <w:pPr>
              <w:ind w:hanging="2"/>
              <w:jc w:val="center"/>
              <w:rPr>
                <w:rFonts w:ascii="Arial" w:eastAsia="Arial" w:hAnsi="Arial" w:cs="Arial"/>
                <w:color w:val="000000"/>
                <w:sz w:val="16"/>
                <w:szCs w:val="16"/>
                <w:highlight w:val="white"/>
              </w:rPr>
            </w:pPr>
            <w:r>
              <w:rPr>
                <w:rFonts w:ascii="Arial" w:eastAsia="Arial" w:hAnsi="Arial" w:cs="Arial"/>
                <w:color w:val="000000"/>
                <w:sz w:val="16"/>
                <w:szCs w:val="16"/>
                <w:highlight w:val="white"/>
              </w:rPr>
              <w:t>5 de diciembre de 2023 (</w:t>
            </w:r>
            <w:r>
              <w:rPr>
                <w:rFonts w:ascii="Arial" w:eastAsia="Arial" w:hAnsi="Arial" w:cs="Arial"/>
                <w:sz w:val="16"/>
                <w:szCs w:val="16"/>
                <w:highlight w:val="white"/>
              </w:rPr>
              <w:t xml:space="preserve">índices 50 a 53 </w:t>
            </w:r>
            <w:r>
              <w:rPr>
                <w:rFonts w:ascii="Arial" w:eastAsia="Arial" w:hAnsi="Arial" w:cs="Arial"/>
                <w:color w:val="000000"/>
                <w:sz w:val="16"/>
                <w:szCs w:val="16"/>
                <w:highlight w:val="white"/>
              </w:rPr>
              <w:t>SAMAI)</w:t>
            </w:r>
          </w:p>
        </w:tc>
        <w:tc>
          <w:tcPr>
            <w:tcW w:w="16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8CE552D"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6 y 7 de diciembre de 2023</w:t>
            </w:r>
          </w:p>
        </w:tc>
        <w:tc>
          <w:tcPr>
            <w:tcW w:w="1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EA66389" w14:textId="77777777" w:rsidR="00D26983" w:rsidRDefault="009C385F">
            <w:pPr>
              <w:ind w:hanging="2"/>
              <w:rPr>
                <w:rFonts w:ascii="Arial" w:eastAsia="Arial" w:hAnsi="Arial" w:cs="Arial"/>
                <w:color w:val="000000"/>
                <w:sz w:val="16"/>
                <w:szCs w:val="16"/>
                <w:highlight w:val="white"/>
              </w:rPr>
            </w:pPr>
            <w:r>
              <w:rPr>
                <w:rFonts w:ascii="Arial" w:eastAsia="Arial" w:hAnsi="Arial" w:cs="Arial"/>
                <w:sz w:val="16"/>
                <w:szCs w:val="16"/>
                <w:highlight w:val="white"/>
              </w:rPr>
              <w:t>11 diciembre de 2023 al 15 de enero de 2024</w:t>
            </w:r>
          </w:p>
        </w:tc>
        <w:tc>
          <w:tcPr>
            <w:tcW w:w="19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0453D7D"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b/>
                <w:color w:val="000000"/>
                <w:sz w:val="16"/>
                <w:szCs w:val="16"/>
                <w:highlight w:val="white"/>
              </w:rPr>
              <w:t>No</w:t>
            </w:r>
          </w:p>
        </w:tc>
      </w:tr>
      <w:tr w:rsidR="00D26983" w14:paraId="0BCE1B8B" w14:textId="77777777">
        <w:trPr>
          <w:trHeight w:val="1155"/>
        </w:trPr>
        <w:tc>
          <w:tcPr>
            <w:tcW w:w="22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7848EF1"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Notificación Departamento del Valle del Cauca</w:t>
            </w:r>
          </w:p>
        </w:tc>
        <w:tc>
          <w:tcPr>
            <w:tcW w:w="12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36C6D3F" w14:textId="77777777" w:rsidR="00D26983" w:rsidRDefault="009C385F">
            <w:pPr>
              <w:ind w:hanging="2"/>
              <w:jc w:val="center"/>
              <w:rPr>
                <w:rFonts w:ascii="Arial" w:eastAsia="Arial" w:hAnsi="Arial" w:cs="Arial"/>
                <w:color w:val="000000"/>
                <w:sz w:val="16"/>
                <w:szCs w:val="16"/>
                <w:highlight w:val="white"/>
              </w:rPr>
            </w:pPr>
            <w:r>
              <w:rPr>
                <w:rFonts w:ascii="Arial" w:eastAsia="Arial" w:hAnsi="Arial" w:cs="Arial"/>
                <w:color w:val="000000"/>
                <w:sz w:val="16"/>
                <w:szCs w:val="16"/>
                <w:highlight w:val="white"/>
              </w:rPr>
              <w:t>5 de diciembre de 2023 (</w:t>
            </w:r>
            <w:r>
              <w:rPr>
                <w:rFonts w:ascii="Arial" w:eastAsia="Arial" w:hAnsi="Arial" w:cs="Arial"/>
                <w:sz w:val="16"/>
                <w:szCs w:val="16"/>
                <w:highlight w:val="white"/>
              </w:rPr>
              <w:t>índices 50 a 53 SAMAI</w:t>
            </w:r>
            <w:r>
              <w:rPr>
                <w:rFonts w:ascii="Arial" w:eastAsia="Arial" w:hAnsi="Arial" w:cs="Arial"/>
                <w:color w:val="000000"/>
                <w:sz w:val="16"/>
                <w:szCs w:val="16"/>
                <w:highlight w:val="white"/>
              </w:rPr>
              <w:t>)</w:t>
            </w:r>
          </w:p>
        </w:tc>
        <w:tc>
          <w:tcPr>
            <w:tcW w:w="16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1A7DE7C"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6 y 7 de diciembre de 2023</w:t>
            </w:r>
          </w:p>
        </w:tc>
        <w:tc>
          <w:tcPr>
            <w:tcW w:w="1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00EF14C" w14:textId="77777777" w:rsidR="00D26983" w:rsidRDefault="009C385F">
            <w:pPr>
              <w:ind w:hanging="2"/>
              <w:rPr>
                <w:rFonts w:ascii="Arial" w:eastAsia="Arial" w:hAnsi="Arial" w:cs="Arial"/>
                <w:color w:val="000000"/>
                <w:sz w:val="16"/>
                <w:szCs w:val="16"/>
                <w:highlight w:val="white"/>
              </w:rPr>
            </w:pPr>
            <w:r>
              <w:rPr>
                <w:rFonts w:ascii="Arial" w:eastAsia="Arial" w:hAnsi="Arial" w:cs="Arial"/>
                <w:sz w:val="16"/>
                <w:szCs w:val="16"/>
                <w:highlight w:val="white"/>
              </w:rPr>
              <w:t>11 diciembre de 2023 al 15 de enero de 2024</w:t>
            </w:r>
          </w:p>
        </w:tc>
        <w:tc>
          <w:tcPr>
            <w:tcW w:w="19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84BB791"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b/>
                <w:color w:val="000000"/>
                <w:sz w:val="16"/>
                <w:szCs w:val="16"/>
                <w:highlight w:val="white"/>
              </w:rPr>
              <w:t>No</w:t>
            </w:r>
          </w:p>
        </w:tc>
      </w:tr>
      <w:tr w:rsidR="00D26983" w14:paraId="4DD76661" w14:textId="77777777">
        <w:trPr>
          <w:trHeight w:val="1137"/>
        </w:trPr>
        <w:tc>
          <w:tcPr>
            <w:tcW w:w="22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D0367E7"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Notificación INVÍAS</w:t>
            </w:r>
          </w:p>
        </w:tc>
        <w:tc>
          <w:tcPr>
            <w:tcW w:w="12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6B602E8" w14:textId="77777777" w:rsidR="00D26983" w:rsidRDefault="009C385F">
            <w:pPr>
              <w:ind w:hanging="2"/>
              <w:jc w:val="center"/>
              <w:rPr>
                <w:rFonts w:ascii="Arial" w:eastAsia="Arial" w:hAnsi="Arial" w:cs="Arial"/>
                <w:color w:val="000000"/>
                <w:sz w:val="16"/>
                <w:szCs w:val="16"/>
                <w:highlight w:val="white"/>
              </w:rPr>
            </w:pPr>
            <w:r>
              <w:rPr>
                <w:rFonts w:ascii="Arial" w:eastAsia="Arial" w:hAnsi="Arial" w:cs="Arial"/>
                <w:color w:val="000000"/>
                <w:sz w:val="16"/>
                <w:szCs w:val="16"/>
                <w:highlight w:val="white"/>
              </w:rPr>
              <w:t>5 de diciembre de 2023 (</w:t>
            </w:r>
            <w:r>
              <w:rPr>
                <w:rFonts w:ascii="Arial" w:eastAsia="Arial" w:hAnsi="Arial" w:cs="Arial"/>
                <w:sz w:val="16"/>
                <w:szCs w:val="16"/>
                <w:highlight w:val="white"/>
              </w:rPr>
              <w:t>índices 50 a 53</w:t>
            </w:r>
            <w:r>
              <w:rPr>
                <w:rFonts w:ascii="Arial" w:eastAsia="Arial" w:hAnsi="Arial" w:cs="Arial"/>
                <w:color w:val="000000"/>
                <w:sz w:val="16"/>
                <w:szCs w:val="16"/>
                <w:highlight w:val="white"/>
              </w:rPr>
              <w:t xml:space="preserve"> SAMAI)</w:t>
            </w:r>
          </w:p>
        </w:tc>
        <w:tc>
          <w:tcPr>
            <w:tcW w:w="16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F9A26AC"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6 y 7 de diciembre de 2023</w:t>
            </w:r>
          </w:p>
        </w:tc>
        <w:tc>
          <w:tcPr>
            <w:tcW w:w="1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7CA444A" w14:textId="77777777" w:rsidR="00D26983" w:rsidRDefault="009C385F">
            <w:pPr>
              <w:ind w:hanging="2"/>
              <w:rPr>
                <w:rFonts w:ascii="Arial" w:eastAsia="Arial" w:hAnsi="Arial" w:cs="Arial"/>
                <w:color w:val="000000"/>
                <w:sz w:val="16"/>
                <w:szCs w:val="16"/>
                <w:highlight w:val="white"/>
              </w:rPr>
            </w:pPr>
            <w:r>
              <w:rPr>
                <w:rFonts w:ascii="Arial" w:eastAsia="Arial" w:hAnsi="Arial" w:cs="Arial"/>
                <w:sz w:val="16"/>
                <w:szCs w:val="16"/>
                <w:highlight w:val="white"/>
              </w:rPr>
              <w:t>11 diciembre de 2023 al 15 de enero de 2024</w:t>
            </w:r>
          </w:p>
        </w:tc>
        <w:tc>
          <w:tcPr>
            <w:tcW w:w="19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5AAA061"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b/>
                <w:color w:val="000000"/>
                <w:sz w:val="16"/>
                <w:szCs w:val="16"/>
                <w:highlight w:val="white"/>
              </w:rPr>
              <w:t>Si, presentad</w:t>
            </w:r>
            <w:r>
              <w:rPr>
                <w:rFonts w:ascii="Arial" w:eastAsia="Arial" w:hAnsi="Arial" w:cs="Arial"/>
                <w:b/>
                <w:sz w:val="16"/>
                <w:szCs w:val="16"/>
                <w:highlight w:val="white"/>
              </w:rPr>
              <w:t>a</w:t>
            </w:r>
            <w:r>
              <w:rPr>
                <w:rFonts w:ascii="Arial" w:eastAsia="Arial" w:hAnsi="Arial" w:cs="Arial"/>
                <w:b/>
                <w:color w:val="000000"/>
                <w:sz w:val="16"/>
                <w:szCs w:val="16"/>
                <w:highlight w:val="white"/>
              </w:rPr>
              <w:t xml:space="preserve"> el 11 de enero de 2024 (índices 58 y 61 SAMAI)</w:t>
            </w:r>
          </w:p>
        </w:tc>
      </w:tr>
      <w:tr w:rsidR="00D26983" w14:paraId="45B79A0B" w14:textId="77777777">
        <w:trPr>
          <w:trHeight w:val="1137"/>
        </w:trPr>
        <w:tc>
          <w:tcPr>
            <w:tcW w:w="22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B7F7978"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Notificación Corporación Autónoma Regional del Valle del Cauca</w:t>
            </w:r>
          </w:p>
        </w:tc>
        <w:tc>
          <w:tcPr>
            <w:tcW w:w="12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463CF74" w14:textId="77777777" w:rsidR="00D26983" w:rsidRDefault="009C385F">
            <w:pPr>
              <w:ind w:hanging="2"/>
              <w:jc w:val="center"/>
              <w:rPr>
                <w:rFonts w:ascii="Arial" w:eastAsia="Arial" w:hAnsi="Arial" w:cs="Arial"/>
                <w:color w:val="000000"/>
                <w:sz w:val="16"/>
                <w:szCs w:val="16"/>
                <w:highlight w:val="white"/>
              </w:rPr>
            </w:pPr>
            <w:r>
              <w:rPr>
                <w:rFonts w:ascii="Arial" w:eastAsia="Arial" w:hAnsi="Arial" w:cs="Arial"/>
                <w:color w:val="000000"/>
                <w:sz w:val="16"/>
                <w:szCs w:val="16"/>
                <w:highlight w:val="white"/>
              </w:rPr>
              <w:t>5 de diciembre de 2023 (</w:t>
            </w:r>
            <w:r>
              <w:rPr>
                <w:rFonts w:ascii="Arial" w:eastAsia="Arial" w:hAnsi="Arial" w:cs="Arial"/>
                <w:sz w:val="16"/>
                <w:szCs w:val="16"/>
                <w:highlight w:val="white"/>
              </w:rPr>
              <w:t>índices 50 a 53 y 70</w:t>
            </w:r>
            <w:r>
              <w:rPr>
                <w:rFonts w:ascii="Arial" w:eastAsia="Arial" w:hAnsi="Arial" w:cs="Arial"/>
                <w:color w:val="000000"/>
                <w:sz w:val="16"/>
                <w:szCs w:val="16"/>
                <w:highlight w:val="white"/>
              </w:rPr>
              <w:t xml:space="preserve"> SAMAI)</w:t>
            </w:r>
          </w:p>
        </w:tc>
        <w:tc>
          <w:tcPr>
            <w:tcW w:w="16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41A6D55"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6 y 7 de diciembre de 2023</w:t>
            </w:r>
          </w:p>
        </w:tc>
        <w:tc>
          <w:tcPr>
            <w:tcW w:w="1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4E127B3" w14:textId="77777777" w:rsidR="00D26983" w:rsidRDefault="009C385F">
            <w:pPr>
              <w:ind w:hanging="2"/>
              <w:rPr>
                <w:rFonts w:ascii="Arial" w:eastAsia="Arial" w:hAnsi="Arial" w:cs="Arial"/>
                <w:color w:val="000000"/>
                <w:sz w:val="16"/>
                <w:szCs w:val="16"/>
                <w:highlight w:val="white"/>
              </w:rPr>
            </w:pPr>
            <w:r>
              <w:rPr>
                <w:rFonts w:ascii="Arial" w:eastAsia="Arial" w:hAnsi="Arial" w:cs="Arial"/>
                <w:sz w:val="16"/>
                <w:szCs w:val="16"/>
                <w:highlight w:val="white"/>
              </w:rPr>
              <w:t>11 diciembre de 2023 al 15 de enero de 2024</w:t>
            </w:r>
          </w:p>
        </w:tc>
        <w:tc>
          <w:tcPr>
            <w:tcW w:w="19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CBCE55B"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b/>
                <w:color w:val="000000"/>
                <w:sz w:val="16"/>
                <w:szCs w:val="16"/>
                <w:highlight w:val="white"/>
              </w:rPr>
              <w:t>Si, presentad</w:t>
            </w:r>
            <w:r>
              <w:rPr>
                <w:rFonts w:ascii="Arial" w:eastAsia="Arial" w:hAnsi="Arial" w:cs="Arial"/>
                <w:b/>
                <w:sz w:val="16"/>
                <w:szCs w:val="16"/>
                <w:highlight w:val="white"/>
              </w:rPr>
              <w:t>a</w:t>
            </w:r>
            <w:r>
              <w:rPr>
                <w:rFonts w:ascii="Arial" w:eastAsia="Arial" w:hAnsi="Arial" w:cs="Arial"/>
                <w:b/>
                <w:color w:val="000000"/>
                <w:sz w:val="16"/>
                <w:szCs w:val="16"/>
                <w:highlight w:val="white"/>
              </w:rPr>
              <w:t xml:space="preserve"> el 20 de diciembre de 2023. día hábil siguiente, 11 de enero de 2024 (índice 60 SAMAI) </w:t>
            </w:r>
          </w:p>
        </w:tc>
      </w:tr>
      <w:tr w:rsidR="00D26983" w14:paraId="7010FAC6" w14:textId="77777777">
        <w:trPr>
          <w:trHeight w:val="1137"/>
        </w:trPr>
        <w:tc>
          <w:tcPr>
            <w:tcW w:w="22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F9D6480"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Notificación Distrito de Buenaventura</w:t>
            </w:r>
          </w:p>
        </w:tc>
        <w:tc>
          <w:tcPr>
            <w:tcW w:w="12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425476F" w14:textId="77777777" w:rsidR="00D26983" w:rsidRDefault="009C385F">
            <w:pPr>
              <w:ind w:hanging="2"/>
              <w:jc w:val="center"/>
              <w:rPr>
                <w:rFonts w:ascii="Arial" w:eastAsia="Arial" w:hAnsi="Arial" w:cs="Arial"/>
                <w:color w:val="000000"/>
                <w:sz w:val="16"/>
                <w:szCs w:val="16"/>
                <w:highlight w:val="white"/>
              </w:rPr>
            </w:pPr>
            <w:r>
              <w:rPr>
                <w:rFonts w:ascii="Arial" w:eastAsia="Arial" w:hAnsi="Arial" w:cs="Arial"/>
                <w:color w:val="000000"/>
                <w:sz w:val="16"/>
                <w:szCs w:val="16"/>
                <w:highlight w:val="white"/>
              </w:rPr>
              <w:t>5 de diciembre de 2023 (</w:t>
            </w:r>
            <w:r>
              <w:rPr>
                <w:rFonts w:ascii="Arial" w:eastAsia="Arial" w:hAnsi="Arial" w:cs="Arial"/>
                <w:sz w:val="16"/>
                <w:szCs w:val="16"/>
                <w:highlight w:val="white"/>
              </w:rPr>
              <w:t xml:space="preserve">índices 50 a 53 </w:t>
            </w:r>
            <w:r>
              <w:rPr>
                <w:rFonts w:ascii="Arial" w:eastAsia="Arial" w:hAnsi="Arial" w:cs="Arial"/>
                <w:color w:val="000000"/>
                <w:sz w:val="16"/>
                <w:szCs w:val="16"/>
                <w:highlight w:val="white"/>
              </w:rPr>
              <w:t>SAMAI)</w:t>
            </w:r>
          </w:p>
        </w:tc>
        <w:tc>
          <w:tcPr>
            <w:tcW w:w="16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5324B5B"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6 y 7 de diciembre de 2023</w:t>
            </w:r>
          </w:p>
        </w:tc>
        <w:tc>
          <w:tcPr>
            <w:tcW w:w="1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581E0B0" w14:textId="77777777" w:rsidR="00D26983" w:rsidRDefault="009C385F">
            <w:pPr>
              <w:ind w:hanging="2"/>
              <w:rPr>
                <w:rFonts w:ascii="Arial" w:eastAsia="Arial" w:hAnsi="Arial" w:cs="Arial"/>
                <w:color w:val="000000"/>
                <w:sz w:val="16"/>
                <w:szCs w:val="16"/>
                <w:highlight w:val="white"/>
              </w:rPr>
            </w:pPr>
            <w:r>
              <w:rPr>
                <w:rFonts w:ascii="Arial" w:eastAsia="Arial" w:hAnsi="Arial" w:cs="Arial"/>
                <w:sz w:val="16"/>
                <w:szCs w:val="16"/>
                <w:highlight w:val="white"/>
              </w:rPr>
              <w:t>11 diciembre de 2023 al 15 de enero de 2024</w:t>
            </w:r>
          </w:p>
        </w:tc>
        <w:tc>
          <w:tcPr>
            <w:tcW w:w="19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29598BA"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b/>
                <w:color w:val="000000"/>
                <w:sz w:val="16"/>
                <w:szCs w:val="16"/>
                <w:highlight w:val="white"/>
              </w:rPr>
              <w:t>No</w:t>
            </w:r>
          </w:p>
        </w:tc>
      </w:tr>
      <w:tr w:rsidR="00D26983" w14:paraId="18EF962E" w14:textId="77777777">
        <w:trPr>
          <w:trHeight w:val="1137"/>
        </w:trPr>
        <w:tc>
          <w:tcPr>
            <w:tcW w:w="22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6716AA6"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Notificación QBE Seguros S.A.</w:t>
            </w:r>
          </w:p>
        </w:tc>
        <w:tc>
          <w:tcPr>
            <w:tcW w:w="12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81551B9" w14:textId="77777777" w:rsidR="00D26983" w:rsidRDefault="009C385F">
            <w:pPr>
              <w:ind w:hanging="2"/>
              <w:jc w:val="center"/>
              <w:rPr>
                <w:rFonts w:ascii="Arial" w:eastAsia="Arial" w:hAnsi="Arial" w:cs="Arial"/>
                <w:color w:val="000000"/>
                <w:sz w:val="16"/>
                <w:szCs w:val="16"/>
                <w:highlight w:val="white"/>
              </w:rPr>
            </w:pPr>
            <w:r>
              <w:rPr>
                <w:rFonts w:ascii="Arial" w:eastAsia="Arial" w:hAnsi="Arial" w:cs="Arial"/>
                <w:color w:val="000000"/>
                <w:sz w:val="16"/>
                <w:szCs w:val="16"/>
                <w:highlight w:val="white"/>
              </w:rPr>
              <w:t>5 de diciembre de 2023 (</w:t>
            </w:r>
            <w:r>
              <w:rPr>
                <w:rFonts w:ascii="Arial" w:eastAsia="Arial" w:hAnsi="Arial" w:cs="Arial"/>
                <w:sz w:val="16"/>
                <w:szCs w:val="16"/>
                <w:highlight w:val="white"/>
              </w:rPr>
              <w:t>índices 50 a 53</w:t>
            </w:r>
            <w:r>
              <w:rPr>
                <w:rFonts w:ascii="Arial" w:eastAsia="Arial" w:hAnsi="Arial" w:cs="Arial"/>
                <w:color w:val="000000"/>
                <w:sz w:val="16"/>
                <w:szCs w:val="16"/>
                <w:highlight w:val="white"/>
              </w:rPr>
              <w:t xml:space="preserve"> SAMAI)</w:t>
            </w:r>
          </w:p>
        </w:tc>
        <w:tc>
          <w:tcPr>
            <w:tcW w:w="16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4ED03DE"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6 y 7 de diciembre de 2023</w:t>
            </w:r>
          </w:p>
        </w:tc>
        <w:tc>
          <w:tcPr>
            <w:tcW w:w="1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3BA376F" w14:textId="77777777" w:rsidR="00D26983" w:rsidRDefault="009C385F">
            <w:pPr>
              <w:ind w:hanging="2"/>
              <w:rPr>
                <w:rFonts w:ascii="Arial" w:eastAsia="Arial" w:hAnsi="Arial" w:cs="Arial"/>
                <w:color w:val="000000"/>
                <w:sz w:val="16"/>
                <w:szCs w:val="16"/>
                <w:highlight w:val="white"/>
              </w:rPr>
            </w:pPr>
            <w:r>
              <w:rPr>
                <w:rFonts w:ascii="Arial" w:eastAsia="Arial" w:hAnsi="Arial" w:cs="Arial"/>
                <w:sz w:val="16"/>
                <w:szCs w:val="16"/>
                <w:highlight w:val="white"/>
              </w:rPr>
              <w:t>11 diciembre de 2023 al 15 de enero de 2024</w:t>
            </w:r>
          </w:p>
        </w:tc>
        <w:tc>
          <w:tcPr>
            <w:tcW w:w="19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9ED8AB9"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b/>
                <w:color w:val="000000"/>
                <w:sz w:val="16"/>
                <w:szCs w:val="16"/>
                <w:highlight w:val="white"/>
              </w:rPr>
              <w:t>No</w:t>
            </w:r>
          </w:p>
        </w:tc>
      </w:tr>
      <w:tr w:rsidR="00D26983" w14:paraId="682C36C7" w14:textId="77777777">
        <w:trPr>
          <w:trHeight w:val="1137"/>
        </w:trPr>
        <w:tc>
          <w:tcPr>
            <w:tcW w:w="22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A611450"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Notificación La Previsora S.A., Compañía de Seguros</w:t>
            </w:r>
          </w:p>
        </w:tc>
        <w:tc>
          <w:tcPr>
            <w:tcW w:w="12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9552458" w14:textId="77777777" w:rsidR="00D26983" w:rsidRDefault="009C385F">
            <w:pPr>
              <w:ind w:hanging="2"/>
              <w:jc w:val="center"/>
              <w:rPr>
                <w:rFonts w:ascii="Arial" w:eastAsia="Arial" w:hAnsi="Arial" w:cs="Arial"/>
                <w:color w:val="000000"/>
                <w:sz w:val="16"/>
                <w:szCs w:val="16"/>
                <w:highlight w:val="yellow"/>
              </w:rPr>
            </w:pPr>
            <w:r>
              <w:rPr>
                <w:rFonts w:ascii="Arial" w:eastAsia="Arial" w:hAnsi="Arial" w:cs="Arial"/>
                <w:sz w:val="16"/>
                <w:szCs w:val="16"/>
                <w:highlight w:val="white"/>
              </w:rPr>
              <w:t>5 de diciembre de 2023 (índices 50 a 53 SAMAI)</w:t>
            </w:r>
          </w:p>
        </w:tc>
        <w:tc>
          <w:tcPr>
            <w:tcW w:w="16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260114C"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6 y 7 de diciembre de 2023</w:t>
            </w:r>
          </w:p>
        </w:tc>
        <w:tc>
          <w:tcPr>
            <w:tcW w:w="1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A845579" w14:textId="77777777" w:rsidR="00D26983" w:rsidRDefault="009C385F">
            <w:pPr>
              <w:ind w:hanging="2"/>
              <w:rPr>
                <w:rFonts w:ascii="Arial" w:eastAsia="Arial" w:hAnsi="Arial" w:cs="Arial"/>
                <w:color w:val="000000"/>
                <w:sz w:val="16"/>
                <w:szCs w:val="16"/>
                <w:highlight w:val="white"/>
              </w:rPr>
            </w:pPr>
            <w:r>
              <w:rPr>
                <w:rFonts w:ascii="Arial" w:eastAsia="Arial" w:hAnsi="Arial" w:cs="Arial"/>
                <w:sz w:val="16"/>
                <w:szCs w:val="16"/>
                <w:highlight w:val="white"/>
              </w:rPr>
              <w:t>11 diciembre de 2023 al 15 de enero de 2024</w:t>
            </w:r>
          </w:p>
        </w:tc>
        <w:tc>
          <w:tcPr>
            <w:tcW w:w="19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1CFB3AA"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b/>
                <w:color w:val="000000"/>
                <w:sz w:val="16"/>
                <w:szCs w:val="16"/>
                <w:highlight w:val="white"/>
              </w:rPr>
              <w:t>Si, presentado el 11 de enero de 2024 (índices 59 y 62 SAMAI)</w:t>
            </w:r>
          </w:p>
        </w:tc>
      </w:tr>
      <w:tr w:rsidR="00D26983" w14:paraId="3F29829A" w14:textId="77777777">
        <w:trPr>
          <w:trHeight w:val="1137"/>
        </w:trPr>
        <w:tc>
          <w:tcPr>
            <w:tcW w:w="22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33E6F13"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Notificación Unidad Nacional para la Gestión del Riesgo de Desastres UNGRD</w:t>
            </w:r>
          </w:p>
        </w:tc>
        <w:tc>
          <w:tcPr>
            <w:tcW w:w="12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D37EC45" w14:textId="77777777" w:rsidR="00D26983" w:rsidRDefault="009C385F">
            <w:pPr>
              <w:ind w:hanging="2"/>
              <w:jc w:val="center"/>
              <w:rPr>
                <w:rFonts w:ascii="Arial" w:eastAsia="Arial" w:hAnsi="Arial" w:cs="Arial"/>
                <w:color w:val="000000"/>
                <w:sz w:val="16"/>
                <w:szCs w:val="16"/>
                <w:highlight w:val="yellow"/>
              </w:rPr>
            </w:pPr>
            <w:r>
              <w:rPr>
                <w:rFonts w:ascii="Arial" w:eastAsia="Arial" w:hAnsi="Arial" w:cs="Arial"/>
                <w:sz w:val="16"/>
                <w:szCs w:val="16"/>
                <w:highlight w:val="white"/>
              </w:rPr>
              <w:t>5 de diciembre de 2023 (índices 50 a 53 SAMAI)</w:t>
            </w:r>
          </w:p>
        </w:tc>
        <w:tc>
          <w:tcPr>
            <w:tcW w:w="16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56FC7AB"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6 y 7 de diciembre de 2023</w:t>
            </w:r>
          </w:p>
        </w:tc>
        <w:tc>
          <w:tcPr>
            <w:tcW w:w="1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C4BC939" w14:textId="77777777" w:rsidR="00D26983" w:rsidRDefault="009C385F">
            <w:pPr>
              <w:ind w:hanging="2"/>
              <w:rPr>
                <w:rFonts w:ascii="Arial" w:eastAsia="Arial" w:hAnsi="Arial" w:cs="Arial"/>
                <w:color w:val="000000"/>
                <w:sz w:val="16"/>
                <w:szCs w:val="16"/>
                <w:highlight w:val="white"/>
              </w:rPr>
            </w:pPr>
            <w:r>
              <w:rPr>
                <w:rFonts w:ascii="Arial" w:eastAsia="Arial" w:hAnsi="Arial" w:cs="Arial"/>
                <w:sz w:val="16"/>
                <w:szCs w:val="16"/>
                <w:highlight w:val="white"/>
              </w:rPr>
              <w:t>11 diciembre de 2023 al 15 de enero de 2024</w:t>
            </w:r>
          </w:p>
        </w:tc>
        <w:tc>
          <w:tcPr>
            <w:tcW w:w="19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2735FA8"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b/>
                <w:color w:val="000000"/>
                <w:sz w:val="16"/>
                <w:szCs w:val="16"/>
                <w:highlight w:val="white"/>
              </w:rPr>
              <w:t>Si, presentad</w:t>
            </w:r>
            <w:r>
              <w:rPr>
                <w:rFonts w:ascii="Arial" w:eastAsia="Arial" w:hAnsi="Arial" w:cs="Arial"/>
                <w:b/>
                <w:sz w:val="16"/>
                <w:szCs w:val="16"/>
                <w:highlight w:val="white"/>
              </w:rPr>
              <w:t>a</w:t>
            </w:r>
            <w:r>
              <w:rPr>
                <w:rFonts w:ascii="Arial" w:eastAsia="Arial" w:hAnsi="Arial" w:cs="Arial"/>
                <w:b/>
                <w:color w:val="000000"/>
                <w:sz w:val="16"/>
                <w:szCs w:val="16"/>
                <w:highlight w:val="white"/>
              </w:rPr>
              <w:t xml:space="preserve"> el 1</w:t>
            </w:r>
            <w:r>
              <w:rPr>
                <w:rFonts w:ascii="Arial" w:eastAsia="Arial" w:hAnsi="Arial" w:cs="Arial"/>
                <w:b/>
                <w:sz w:val="16"/>
                <w:szCs w:val="16"/>
                <w:highlight w:val="white"/>
              </w:rPr>
              <w:t>5 y 16</w:t>
            </w:r>
            <w:r>
              <w:rPr>
                <w:rFonts w:ascii="Arial" w:eastAsia="Arial" w:hAnsi="Arial" w:cs="Arial"/>
                <w:b/>
                <w:color w:val="000000"/>
                <w:sz w:val="16"/>
                <w:szCs w:val="16"/>
                <w:highlight w:val="white"/>
              </w:rPr>
              <w:t xml:space="preserve"> de enero de 2024 (índices 64 y 67 SAMAI)</w:t>
            </w:r>
          </w:p>
        </w:tc>
      </w:tr>
      <w:tr w:rsidR="00D26983" w14:paraId="48E4E01E" w14:textId="77777777">
        <w:trPr>
          <w:trHeight w:val="1137"/>
        </w:trPr>
        <w:tc>
          <w:tcPr>
            <w:tcW w:w="22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6842E3B"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lastRenderedPageBreak/>
              <w:t>Notificación al Ministerio Público</w:t>
            </w:r>
          </w:p>
        </w:tc>
        <w:tc>
          <w:tcPr>
            <w:tcW w:w="12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7EE5093" w14:textId="77777777" w:rsidR="00D26983" w:rsidRDefault="009C385F">
            <w:pPr>
              <w:ind w:hanging="2"/>
              <w:jc w:val="center"/>
              <w:rPr>
                <w:rFonts w:ascii="Arial" w:eastAsia="Arial" w:hAnsi="Arial" w:cs="Arial"/>
                <w:color w:val="000000"/>
                <w:sz w:val="16"/>
                <w:szCs w:val="16"/>
                <w:highlight w:val="yellow"/>
              </w:rPr>
            </w:pPr>
            <w:r>
              <w:rPr>
                <w:rFonts w:ascii="Arial" w:eastAsia="Arial" w:hAnsi="Arial" w:cs="Arial"/>
                <w:sz w:val="16"/>
                <w:szCs w:val="16"/>
                <w:highlight w:val="white"/>
              </w:rPr>
              <w:t>5 de diciembre de 2023 (índices 50 a 53 SAMAI)</w:t>
            </w:r>
          </w:p>
        </w:tc>
        <w:tc>
          <w:tcPr>
            <w:tcW w:w="16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C95C149"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6 y 7 de diciembre de 2023</w:t>
            </w:r>
          </w:p>
        </w:tc>
        <w:tc>
          <w:tcPr>
            <w:tcW w:w="1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824FBF6" w14:textId="77777777" w:rsidR="00D26983" w:rsidRDefault="009C385F">
            <w:pPr>
              <w:ind w:hanging="2"/>
              <w:rPr>
                <w:rFonts w:ascii="Arial" w:eastAsia="Arial" w:hAnsi="Arial" w:cs="Arial"/>
                <w:color w:val="000000"/>
                <w:sz w:val="16"/>
                <w:szCs w:val="16"/>
                <w:highlight w:val="white"/>
              </w:rPr>
            </w:pPr>
            <w:r>
              <w:rPr>
                <w:rFonts w:ascii="Arial" w:eastAsia="Arial" w:hAnsi="Arial" w:cs="Arial"/>
                <w:sz w:val="16"/>
                <w:szCs w:val="16"/>
                <w:highlight w:val="white"/>
              </w:rPr>
              <w:t>11 diciembre de 2023 al 15 de enero de 2024</w:t>
            </w:r>
          </w:p>
        </w:tc>
        <w:tc>
          <w:tcPr>
            <w:tcW w:w="19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DE30288"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b/>
                <w:color w:val="000000"/>
                <w:sz w:val="16"/>
                <w:szCs w:val="16"/>
                <w:highlight w:val="white"/>
              </w:rPr>
              <w:t xml:space="preserve">Si, concepto </w:t>
            </w:r>
            <w:proofErr w:type="spellStart"/>
            <w:r>
              <w:rPr>
                <w:rFonts w:ascii="Arial" w:eastAsia="Arial" w:hAnsi="Arial" w:cs="Arial"/>
                <w:b/>
                <w:color w:val="000000"/>
                <w:sz w:val="16"/>
                <w:szCs w:val="16"/>
                <w:highlight w:val="white"/>
              </w:rPr>
              <w:t>N°</w:t>
            </w:r>
            <w:proofErr w:type="spellEnd"/>
            <w:r>
              <w:rPr>
                <w:rFonts w:ascii="Arial" w:eastAsia="Arial" w:hAnsi="Arial" w:cs="Arial"/>
                <w:b/>
                <w:color w:val="000000"/>
                <w:sz w:val="16"/>
                <w:szCs w:val="16"/>
                <w:highlight w:val="white"/>
              </w:rPr>
              <w:t xml:space="preserve"> 145/2023, presentado el 13 de diciembre de 2023 (índice 54 SAMAI)</w:t>
            </w:r>
          </w:p>
        </w:tc>
      </w:tr>
      <w:tr w:rsidR="00D26983" w14:paraId="5A517FD7" w14:textId="77777777">
        <w:trPr>
          <w:trHeight w:val="1137"/>
        </w:trPr>
        <w:tc>
          <w:tcPr>
            <w:tcW w:w="22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F76A808" w14:textId="77777777" w:rsidR="00D26983" w:rsidRDefault="009C385F">
            <w:pPr>
              <w:ind w:hanging="2"/>
              <w:rPr>
                <w:rFonts w:ascii="Arial" w:eastAsia="Arial" w:hAnsi="Arial" w:cs="Arial"/>
                <w:color w:val="000000"/>
                <w:sz w:val="16"/>
                <w:szCs w:val="16"/>
                <w:highlight w:val="white"/>
              </w:rPr>
            </w:pPr>
            <w:r>
              <w:rPr>
                <w:rFonts w:ascii="Arial" w:eastAsia="Arial" w:hAnsi="Arial" w:cs="Arial"/>
                <w:sz w:val="16"/>
                <w:szCs w:val="16"/>
                <w:highlight w:val="white"/>
              </w:rPr>
              <w:t xml:space="preserve">Notificación </w:t>
            </w:r>
            <w:r>
              <w:rPr>
                <w:rFonts w:ascii="Arial" w:eastAsia="Arial" w:hAnsi="Arial" w:cs="Arial"/>
                <w:color w:val="000000"/>
                <w:sz w:val="16"/>
                <w:szCs w:val="16"/>
                <w:highlight w:val="white"/>
              </w:rPr>
              <w:t>Agencia Nacional de Defensa Jurídica del Estado - ANDJE</w:t>
            </w:r>
          </w:p>
        </w:tc>
        <w:tc>
          <w:tcPr>
            <w:tcW w:w="12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618F92C" w14:textId="77777777" w:rsidR="00D26983" w:rsidRDefault="009C385F">
            <w:pPr>
              <w:ind w:hanging="2"/>
              <w:jc w:val="center"/>
              <w:rPr>
                <w:rFonts w:ascii="Arial" w:eastAsia="Arial" w:hAnsi="Arial" w:cs="Arial"/>
                <w:color w:val="000000"/>
                <w:sz w:val="16"/>
                <w:szCs w:val="16"/>
                <w:highlight w:val="yellow"/>
              </w:rPr>
            </w:pPr>
            <w:r>
              <w:rPr>
                <w:rFonts w:ascii="Arial" w:eastAsia="Arial" w:hAnsi="Arial" w:cs="Arial"/>
                <w:sz w:val="16"/>
                <w:szCs w:val="16"/>
                <w:highlight w:val="white"/>
              </w:rPr>
              <w:t>5 de diciembre de 2023 (índices 50 a 53 SAMAI)</w:t>
            </w:r>
          </w:p>
        </w:tc>
        <w:tc>
          <w:tcPr>
            <w:tcW w:w="162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71BE4A7" w14:textId="77777777" w:rsidR="00D26983" w:rsidRDefault="009C385F">
            <w:pPr>
              <w:ind w:hanging="2"/>
              <w:rPr>
                <w:rFonts w:ascii="Arial" w:eastAsia="Arial" w:hAnsi="Arial" w:cs="Arial"/>
                <w:color w:val="000000"/>
                <w:sz w:val="16"/>
                <w:szCs w:val="16"/>
                <w:highlight w:val="white"/>
              </w:rPr>
            </w:pPr>
            <w:r>
              <w:rPr>
                <w:rFonts w:ascii="Arial" w:eastAsia="Arial" w:hAnsi="Arial" w:cs="Arial"/>
                <w:color w:val="000000"/>
                <w:sz w:val="16"/>
                <w:szCs w:val="16"/>
                <w:highlight w:val="white"/>
              </w:rPr>
              <w:t>6 y 7 de diciembre de 2023</w:t>
            </w:r>
          </w:p>
        </w:tc>
        <w:tc>
          <w:tcPr>
            <w:tcW w:w="1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41FA214" w14:textId="77777777" w:rsidR="00D26983" w:rsidRDefault="00D26983">
            <w:pPr>
              <w:ind w:hanging="2"/>
              <w:rPr>
                <w:rFonts w:ascii="Arial" w:eastAsia="Arial" w:hAnsi="Arial" w:cs="Arial"/>
                <w:color w:val="000000"/>
                <w:sz w:val="16"/>
                <w:szCs w:val="16"/>
                <w:highlight w:val="yellow"/>
              </w:rPr>
            </w:pPr>
          </w:p>
        </w:tc>
        <w:tc>
          <w:tcPr>
            <w:tcW w:w="19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C9990B6" w14:textId="77777777" w:rsidR="00D26983" w:rsidRDefault="009C385F">
            <w:pPr>
              <w:ind w:hanging="2"/>
              <w:jc w:val="center"/>
              <w:rPr>
                <w:rFonts w:ascii="Arial" w:eastAsia="Arial" w:hAnsi="Arial" w:cs="Arial"/>
                <w:b/>
                <w:color w:val="000000"/>
                <w:sz w:val="16"/>
                <w:szCs w:val="16"/>
                <w:highlight w:val="white"/>
              </w:rPr>
            </w:pPr>
            <w:r>
              <w:rPr>
                <w:rFonts w:ascii="Arial" w:eastAsia="Arial" w:hAnsi="Arial" w:cs="Arial"/>
                <w:b/>
                <w:sz w:val="16"/>
                <w:szCs w:val="16"/>
                <w:highlight w:val="white"/>
              </w:rPr>
              <w:t>No se acredita intervención</w:t>
            </w:r>
          </w:p>
        </w:tc>
      </w:tr>
    </w:tbl>
    <w:p w14:paraId="03A24056" w14:textId="77777777" w:rsidR="00D26983" w:rsidRDefault="00D26983">
      <w:pPr>
        <w:pBdr>
          <w:top w:val="nil"/>
          <w:left w:val="nil"/>
          <w:bottom w:val="nil"/>
          <w:right w:val="nil"/>
          <w:between w:val="nil"/>
        </w:pBdr>
        <w:ind w:firstLine="0"/>
        <w:jc w:val="both"/>
        <w:rPr>
          <w:rFonts w:ascii="Century Gothic" w:eastAsia="Century Gothic" w:hAnsi="Century Gothic" w:cs="Century Gothic"/>
          <w:sz w:val="22"/>
          <w:szCs w:val="22"/>
          <w:highlight w:val="yellow"/>
        </w:rPr>
      </w:pPr>
    </w:p>
    <w:p w14:paraId="028AE5EF" w14:textId="77777777" w:rsidR="00D26983" w:rsidRDefault="009C385F">
      <w:pPr>
        <w:ind w:firstLine="0"/>
        <w:jc w:val="both"/>
        <w:rPr>
          <w:rFonts w:ascii="Century Gothic" w:eastAsia="Century Gothic" w:hAnsi="Century Gothic" w:cs="Century Gothic"/>
          <w:sz w:val="26"/>
          <w:szCs w:val="26"/>
          <w:highlight w:val="white"/>
        </w:rPr>
      </w:pPr>
      <w:r>
        <w:rPr>
          <w:rFonts w:ascii="Century Gothic" w:eastAsia="Century Gothic" w:hAnsi="Century Gothic" w:cs="Century Gothic"/>
          <w:sz w:val="26"/>
          <w:szCs w:val="26"/>
          <w:highlight w:val="white"/>
        </w:rPr>
        <w:t xml:space="preserve">El 11 de enero de 2024, se recibió poder con soportes conferido al abogado Gustavo Alberto Herrera Ávila, para representar a la PREVISORA S.A. COMPAÑÍA DE SEGUROS en el presente asunto (índices 59 y 62 de SAMAI).  </w:t>
      </w:r>
    </w:p>
    <w:p w14:paraId="25A3A844" w14:textId="77777777" w:rsidR="00D26983" w:rsidRDefault="00D26983">
      <w:pPr>
        <w:ind w:firstLine="0"/>
        <w:jc w:val="both"/>
        <w:rPr>
          <w:rFonts w:ascii="Century Gothic" w:eastAsia="Century Gothic" w:hAnsi="Century Gothic" w:cs="Century Gothic"/>
          <w:sz w:val="26"/>
          <w:szCs w:val="26"/>
          <w:highlight w:val="yellow"/>
        </w:rPr>
      </w:pPr>
    </w:p>
    <w:p w14:paraId="127AF327" w14:textId="77777777" w:rsidR="00D26983" w:rsidRDefault="009C385F">
      <w:pPr>
        <w:ind w:firstLine="0"/>
        <w:jc w:val="both"/>
        <w:rPr>
          <w:rFonts w:ascii="Century Gothic" w:eastAsia="Century Gothic" w:hAnsi="Century Gothic" w:cs="Century Gothic"/>
          <w:sz w:val="26"/>
          <w:szCs w:val="26"/>
          <w:highlight w:val="white"/>
        </w:rPr>
      </w:pPr>
      <w:r>
        <w:rPr>
          <w:rFonts w:ascii="Century Gothic" w:eastAsia="Century Gothic" w:hAnsi="Century Gothic" w:cs="Century Gothic"/>
          <w:sz w:val="26"/>
          <w:szCs w:val="26"/>
          <w:highlight w:val="white"/>
        </w:rPr>
        <w:t xml:space="preserve">El 15 de enero de 2024, se recibió poder con soportes conferido al abogado Iván Albeiro Escobar </w:t>
      </w:r>
      <w:proofErr w:type="spellStart"/>
      <w:r>
        <w:rPr>
          <w:rFonts w:ascii="Century Gothic" w:eastAsia="Century Gothic" w:hAnsi="Century Gothic" w:cs="Century Gothic"/>
          <w:sz w:val="26"/>
          <w:szCs w:val="26"/>
          <w:highlight w:val="white"/>
        </w:rPr>
        <w:t>Escobar</w:t>
      </w:r>
      <w:proofErr w:type="spellEnd"/>
      <w:r>
        <w:rPr>
          <w:rFonts w:ascii="Century Gothic" w:eastAsia="Century Gothic" w:hAnsi="Century Gothic" w:cs="Century Gothic"/>
          <w:sz w:val="26"/>
          <w:szCs w:val="26"/>
          <w:highlight w:val="white"/>
        </w:rPr>
        <w:t>,</w:t>
      </w:r>
      <w:r>
        <w:rPr>
          <w:rFonts w:ascii="Arial" w:eastAsia="Arial" w:hAnsi="Arial" w:cs="Arial"/>
          <w:b/>
          <w:sz w:val="16"/>
          <w:szCs w:val="16"/>
          <w:highlight w:val="white"/>
        </w:rPr>
        <w:t xml:space="preserve"> </w:t>
      </w:r>
      <w:r>
        <w:rPr>
          <w:rFonts w:ascii="Century Gothic" w:eastAsia="Century Gothic" w:hAnsi="Century Gothic" w:cs="Century Gothic"/>
          <w:sz w:val="26"/>
          <w:szCs w:val="26"/>
          <w:highlight w:val="white"/>
        </w:rPr>
        <w:t xml:space="preserve">para representar al Ministerio de Ambiente y Desarrollo Sostenible en el presente asunto (índice 66 de SAMAI).  </w:t>
      </w:r>
    </w:p>
    <w:p w14:paraId="11CEDD5D" w14:textId="77777777" w:rsidR="00D26983" w:rsidRDefault="00D26983">
      <w:pPr>
        <w:ind w:firstLine="0"/>
        <w:jc w:val="both"/>
        <w:rPr>
          <w:rFonts w:ascii="Century Gothic" w:eastAsia="Century Gothic" w:hAnsi="Century Gothic" w:cs="Century Gothic"/>
          <w:sz w:val="26"/>
          <w:szCs w:val="26"/>
          <w:highlight w:val="yellow"/>
        </w:rPr>
      </w:pPr>
    </w:p>
    <w:p w14:paraId="480EE31F" w14:textId="2A178563" w:rsidR="00D26983" w:rsidRDefault="009C385F">
      <w:pPr>
        <w:ind w:firstLine="0"/>
        <w:jc w:val="both"/>
        <w:rPr>
          <w:rFonts w:ascii="Century Gothic" w:eastAsia="Century Gothic" w:hAnsi="Century Gothic" w:cs="Century Gothic"/>
          <w:sz w:val="26"/>
          <w:szCs w:val="26"/>
          <w:highlight w:val="white"/>
        </w:rPr>
      </w:pPr>
      <w:r>
        <w:rPr>
          <w:rFonts w:ascii="Century Gothic" w:eastAsia="Century Gothic" w:hAnsi="Century Gothic" w:cs="Century Gothic"/>
          <w:sz w:val="26"/>
          <w:szCs w:val="26"/>
          <w:highlight w:val="white"/>
        </w:rPr>
        <w:t>El 15 y 16 de</w:t>
      </w:r>
      <w:r>
        <w:rPr>
          <w:rFonts w:ascii="Century Gothic" w:eastAsia="Century Gothic" w:hAnsi="Century Gothic" w:cs="Century Gothic"/>
          <w:sz w:val="26"/>
          <w:szCs w:val="26"/>
          <w:highlight w:val="white"/>
        </w:rPr>
        <w:t xml:space="preserve"> enero de 2024, la abogada Diana Paola Ariza Domínguez,</w:t>
      </w:r>
      <w:r>
        <w:rPr>
          <w:rFonts w:ascii="Arial" w:eastAsia="Arial" w:hAnsi="Arial" w:cs="Arial"/>
          <w:b/>
          <w:sz w:val="16"/>
          <w:szCs w:val="16"/>
          <w:highlight w:val="white"/>
        </w:rPr>
        <w:t xml:space="preserve"> </w:t>
      </w:r>
      <w:r>
        <w:rPr>
          <w:rFonts w:ascii="Century Gothic" w:eastAsia="Century Gothic" w:hAnsi="Century Gothic" w:cs="Century Gothic"/>
          <w:sz w:val="26"/>
          <w:szCs w:val="26"/>
          <w:highlight w:val="white"/>
        </w:rPr>
        <w:t xml:space="preserve">allegó documentos que acreditan la calidad en la que actúa en representación de la Unidad Nacional para la Gestión del Riesgo de Desastres -UNGRD- (índices 64 y 67 de SAMAI).  </w:t>
      </w:r>
    </w:p>
    <w:p w14:paraId="7E2BE7C9" w14:textId="77777777" w:rsidR="00D26983" w:rsidRDefault="00D26983">
      <w:pPr>
        <w:pBdr>
          <w:top w:val="nil"/>
          <w:left w:val="nil"/>
          <w:bottom w:val="nil"/>
          <w:right w:val="nil"/>
          <w:between w:val="nil"/>
        </w:pBdr>
        <w:ind w:firstLine="0"/>
        <w:jc w:val="both"/>
        <w:rPr>
          <w:rFonts w:ascii="Century Gothic" w:eastAsia="Century Gothic" w:hAnsi="Century Gothic" w:cs="Century Gothic"/>
          <w:sz w:val="22"/>
          <w:szCs w:val="22"/>
          <w:highlight w:val="yellow"/>
        </w:rPr>
      </w:pPr>
    </w:p>
    <w:p w14:paraId="75680DD1" w14:textId="77777777" w:rsidR="00D26983" w:rsidRDefault="009C385F">
      <w:pPr>
        <w:pBdr>
          <w:top w:val="nil"/>
          <w:left w:val="nil"/>
          <w:bottom w:val="nil"/>
          <w:right w:val="nil"/>
          <w:between w:val="nil"/>
        </w:pBdr>
        <w:ind w:firstLine="0"/>
        <w:jc w:val="both"/>
        <w:rPr>
          <w:rFonts w:ascii="Century Gothic" w:eastAsia="Century Gothic" w:hAnsi="Century Gothic" w:cs="Century Gothic"/>
          <w:sz w:val="26"/>
          <w:szCs w:val="26"/>
          <w:highlight w:val="white"/>
        </w:rPr>
      </w:pPr>
      <w:r>
        <w:rPr>
          <w:rFonts w:ascii="Century Gothic" w:eastAsia="Century Gothic" w:hAnsi="Century Gothic" w:cs="Century Gothic"/>
          <w:sz w:val="26"/>
          <w:szCs w:val="26"/>
          <w:highlight w:val="white"/>
        </w:rPr>
        <w:t xml:space="preserve">El 22 de mayo de 2024, se recibió poder con soportes conferido a la abogada Lucila Vanessa Palacios Medina, para representar a la Nación - Ministerio de Transporte en el presente asunto (índice 73 de SAMAI).  </w:t>
      </w:r>
    </w:p>
    <w:p w14:paraId="33E6F83F" w14:textId="77777777" w:rsidR="00D26983" w:rsidRDefault="00D26983">
      <w:pPr>
        <w:ind w:firstLine="0"/>
        <w:jc w:val="both"/>
        <w:rPr>
          <w:rFonts w:ascii="Century Gothic" w:eastAsia="Century Gothic" w:hAnsi="Century Gothic" w:cs="Century Gothic"/>
          <w:sz w:val="24"/>
          <w:szCs w:val="24"/>
          <w:highlight w:val="yellow"/>
        </w:rPr>
      </w:pPr>
    </w:p>
    <w:p w14:paraId="3ECE6353" w14:textId="77777777" w:rsidR="00D26983" w:rsidRDefault="009C385F">
      <w:pPr>
        <w:ind w:left="1" w:hanging="3"/>
        <w:jc w:val="both"/>
        <w:rPr>
          <w:rFonts w:ascii="Century Gothic" w:eastAsia="Century Gothic" w:hAnsi="Century Gothic" w:cs="Century Gothic"/>
          <w:sz w:val="26"/>
          <w:szCs w:val="26"/>
          <w:highlight w:val="white"/>
        </w:rPr>
      </w:pPr>
      <w:r>
        <w:rPr>
          <w:rFonts w:ascii="Century Gothic" w:eastAsia="Century Gothic" w:hAnsi="Century Gothic" w:cs="Century Gothic"/>
          <w:sz w:val="26"/>
          <w:szCs w:val="26"/>
          <w:highlight w:val="white"/>
        </w:rPr>
        <w:t>Sin otro particular, el proceso ingresa al despacho para considerar: i</w:t>
      </w:r>
      <w:r>
        <w:rPr>
          <w:rFonts w:ascii="Century Gothic" w:eastAsia="Century Gothic" w:hAnsi="Century Gothic" w:cs="Century Gothic"/>
          <w:sz w:val="26"/>
          <w:szCs w:val="26"/>
          <w:highlight w:val="white"/>
        </w:rPr>
        <w:t>)</w:t>
      </w:r>
      <w:r>
        <w:rPr>
          <w:rFonts w:ascii="Century Gothic" w:eastAsia="Century Gothic" w:hAnsi="Century Gothic" w:cs="Century Gothic"/>
          <w:sz w:val="26"/>
          <w:szCs w:val="26"/>
          <w:highlight w:val="white"/>
        </w:rPr>
        <w:t xml:space="preserve"> el reconocimiento de personería</w:t>
      </w:r>
      <w:r>
        <w:rPr>
          <w:rFonts w:ascii="Century Gothic" w:eastAsia="Century Gothic" w:hAnsi="Century Gothic" w:cs="Century Gothic"/>
          <w:sz w:val="26"/>
          <w:szCs w:val="26"/>
          <w:highlight w:val="white"/>
        </w:rPr>
        <w:t>s</w:t>
      </w:r>
      <w:r>
        <w:rPr>
          <w:rFonts w:ascii="Century Gothic" w:eastAsia="Century Gothic" w:hAnsi="Century Gothic" w:cs="Century Gothic"/>
          <w:sz w:val="26"/>
          <w:szCs w:val="26"/>
          <w:highlight w:val="white"/>
        </w:rPr>
        <w:t xml:space="preserve"> </w:t>
      </w:r>
      <w:proofErr w:type="spellStart"/>
      <w:r>
        <w:rPr>
          <w:rFonts w:ascii="Century Gothic" w:eastAsia="Century Gothic" w:hAnsi="Century Gothic" w:cs="Century Gothic"/>
          <w:sz w:val="26"/>
          <w:szCs w:val="26"/>
          <w:highlight w:val="white"/>
        </w:rPr>
        <w:t>ii</w:t>
      </w:r>
      <w:proofErr w:type="spellEnd"/>
      <w:r>
        <w:rPr>
          <w:rFonts w:ascii="Century Gothic" w:eastAsia="Century Gothic" w:hAnsi="Century Gothic" w:cs="Century Gothic"/>
          <w:sz w:val="26"/>
          <w:szCs w:val="26"/>
          <w:highlight w:val="white"/>
        </w:rPr>
        <w:t>)</w:t>
      </w:r>
      <w:r>
        <w:rPr>
          <w:rFonts w:ascii="Century Gothic" w:eastAsia="Century Gothic" w:hAnsi="Century Gothic" w:cs="Century Gothic"/>
          <w:sz w:val="26"/>
          <w:szCs w:val="26"/>
          <w:highlight w:val="white"/>
        </w:rPr>
        <w:t xml:space="preserve"> el decreto de pruebas, si a ello hubiere lugar</w:t>
      </w:r>
      <w:r>
        <w:rPr>
          <w:rFonts w:ascii="Century Gothic" w:eastAsia="Century Gothic" w:hAnsi="Century Gothic" w:cs="Century Gothic"/>
          <w:sz w:val="26"/>
          <w:szCs w:val="26"/>
          <w:highlight w:val="white"/>
        </w:rPr>
        <w:t xml:space="preserve"> y/o</w:t>
      </w:r>
      <w:r>
        <w:rPr>
          <w:rFonts w:ascii="Century Gothic" w:eastAsia="Century Gothic" w:hAnsi="Century Gothic" w:cs="Century Gothic"/>
          <w:sz w:val="26"/>
          <w:szCs w:val="26"/>
          <w:highlight w:val="white"/>
        </w:rPr>
        <w:t xml:space="preserve"> </w:t>
      </w:r>
      <w:proofErr w:type="spellStart"/>
      <w:r>
        <w:rPr>
          <w:rFonts w:ascii="Century Gothic" w:eastAsia="Century Gothic" w:hAnsi="Century Gothic" w:cs="Century Gothic"/>
          <w:sz w:val="26"/>
          <w:szCs w:val="26"/>
          <w:highlight w:val="white"/>
        </w:rPr>
        <w:t>iii</w:t>
      </w:r>
      <w:proofErr w:type="spellEnd"/>
      <w:r>
        <w:rPr>
          <w:rFonts w:ascii="Century Gothic" w:eastAsia="Century Gothic" w:hAnsi="Century Gothic" w:cs="Century Gothic"/>
          <w:sz w:val="26"/>
          <w:szCs w:val="26"/>
          <w:highlight w:val="white"/>
        </w:rPr>
        <w:t>)</w:t>
      </w:r>
      <w:r>
        <w:rPr>
          <w:rFonts w:ascii="Century Gothic" w:eastAsia="Century Gothic" w:hAnsi="Century Gothic" w:cs="Century Gothic"/>
          <w:sz w:val="26"/>
          <w:szCs w:val="26"/>
          <w:highlight w:val="white"/>
        </w:rPr>
        <w:t xml:space="preserve"> elaborar el proyecto de sentencia que desatará el recurso extraordinario de revisión interpuesto.</w:t>
      </w:r>
    </w:p>
    <w:p w14:paraId="0EC54A36" w14:textId="77777777" w:rsidR="00D26983" w:rsidRDefault="00D26983">
      <w:pPr>
        <w:ind w:firstLine="0"/>
        <w:jc w:val="both"/>
        <w:rPr>
          <w:rFonts w:ascii="Century Gothic" w:eastAsia="Century Gothic" w:hAnsi="Century Gothic" w:cs="Century Gothic"/>
          <w:sz w:val="24"/>
          <w:szCs w:val="24"/>
          <w:highlight w:val="white"/>
        </w:rPr>
      </w:pPr>
    </w:p>
    <w:p w14:paraId="41BCB20A" w14:textId="77777777" w:rsidR="00D26983" w:rsidRDefault="00D26983">
      <w:pPr>
        <w:ind w:firstLine="0"/>
        <w:jc w:val="both"/>
        <w:rPr>
          <w:rFonts w:ascii="Century Gothic" w:eastAsia="Century Gothic" w:hAnsi="Century Gothic" w:cs="Century Gothic"/>
          <w:sz w:val="24"/>
          <w:szCs w:val="24"/>
          <w:highlight w:val="white"/>
        </w:rPr>
      </w:pPr>
    </w:p>
    <w:p w14:paraId="7F06FADA" w14:textId="77777777" w:rsidR="00D26983" w:rsidRDefault="009C385F">
      <w:pPr>
        <w:spacing w:after="240"/>
        <w:ind w:hanging="2"/>
        <w:rPr>
          <w:rFonts w:ascii="Century Gothic" w:eastAsia="Century Gothic" w:hAnsi="Century Gothic" w:cs="Century Gothic"/>
          <w:color w:val="000000"/>
          <w:sz w:val="24"/>
          <w:szCs w:val="24"/>
          <w:highlight w:val="white"/>
        </w:rPr>
      </w:pPr>
      <w:r>
        <w:rPr>
          <w:rFonts w:ascii="Century Gothic" w:eastAsia="Century Gothic" w:hAnsi="Century Gothic" w:cs="Century Gothic"/>
          <w:color w:val="000000"/>
          <w:sz w:val="24"/>
          <w:szCs w:val="24"/>
          <w:highlight w:val="white"/>
        </w:rPr>
        <w:t>La Oficial Mayor,</w:t>
      </w:r>
    </w:p>
    <w:p w14:paraId="49D27980" w14:textId="77777777" w:rsidR="00D26983" w:rsidRDefault="00D26983">
      <w:pPr>
        <w:spacing w:after="240"/>
        <w:ind w:hanging="2"/>
        <w:rPr>
          <w:sz w:val="24"/>
          <w:szCs w:val="24"/>
          <w:highlight w:val="white"/>
        </w:rPr>
      </w:pPr>
    </w:p>
    <w:p w14:paraId="2A8C0A87" w14:textId="77777777" w:rsidR="00D26983" w:rsidRDefault="009C385F">
      <w:pPr>
        <w:ind w:left="1" w:hanging="3"/>
        <w:jc w:val="center"/>
        <w:rPr>
          <w:rFonts w:ascii="Century Gothic" w:eastAsia="Century Gothic" w:hAnsi="Century Gothic" w:cs="Century Gothic"/>
          <w:color w:val="000000"/>
          <w:sz w:val="26"/>
          <w:szCs w:val="26"/>
          <w:highlight w:val="white"/>
        </w:rPr>
      </w:pPr>
      <w:bookmarkStart w:id="3" w:name="_heading=h.30j0zll" w:colFirst="0" w:colLast="0"/>
      <w:bookmarkEnd w:id="3"/>
      <w:r>
        <w:rPr>
          <w:rFonts w:ascii="Century Gothic" w:eastAsia="Century Gothic" w:hAnsi="Century Gothic" w:cs="Century Gothic"/>
          <w:b/>
          <w:color w:val="000000"/>
          <w:sz w:val="26"/>
          <w:szCs w:val="26"/>
          <w:highlight w:val="white"/>
        </w:rPr>
        <w:t>Leidy Johanna Gil Muñoz</w:t>
      </w:r>
    </w:p>
    <w:p w14:paraId="597CAD84" w14:textId="77777777" w:rsidR="00D26983" w:rsidRDefault="00D26983">
      <w:pPr>
        <w:spacing w:line="276" w:lineRule="auto"/>
        <w:ind w:hanging="2"/>
        <w:jc w:val="center"/>
        <w:rPr>
          <w:rFonts w:ascii="Century Gothic" w:eastAsia="Century Gothic" w:hAnsi="Century Gothic" w:cs="Century Gothic"/>
          <w:sz w:val="18"/>
          <w:szCs w:val="18"/>
          <w:highlight w:val="white"/>
        </w:rPr>
      </w:pPr>
    </w:p>
    <w:p w14:paraId="1F197DF1" w14:textId="77777777" w:rsidR="00D26983" w:rsidRDefault="00D26983">
      <w:pPr>
        <w:spacing w:line="276" w:lineRule="auto"/>
        <w:ind w:hanging="2"/>
        <w:jc w:val="center"/>
        <w:rPr>
          <w:rFonts w:ascii="Century Gothic" w:eastAsia="Century Gothic" w:hAnsi="Century Gothic" w:cs="Century Gothic"/>
          <w:sz w:val="18"/>
          <w:szCs w:val="18"/>
          <w:highlight w:val="white"/>
        </w:rPr>
      </w:pPr>
    </w:p>
    <w:p w14:paraId="300149FD" w14:textId="77777777" w:rsidR="00D26983" w:rsidRDefault="009C385F">
      <w:pPr>
        <w:spacing w:line="276" w:lineRule="auto"/>
        <w:ind w:hanging="2"/>
        <w:rPr>
          <w:rFonts w:ascii="Calibri" w:eastAsia="Calibri" w:hAnsi="Calibri" w:cs="Calibri"/>
          <w:sz w:val="16"/>
          <w:szCs w:val="16"/>
          <w:highlight w:val="white"/>
        </w:rPr>
      </w:pPr>
      <w:r>
        <w:rPr>
          <w:rFonts w:ascii="Calibri" w:eastAsia="Calibri" w:hAnsi="Calibri" w:cs="Calibri"/>
          <w:sz w:val="16"/>
          <w:szCs w:val="16"/>
          <w:highlight w:val="white"/>
        </w:rPr>
        <w:t>LMMR</w:t>
      </w:r>
    </w:p>
    <w:sectPr w:rsidR="00D26983">
      <w:pgSz w:w="12240" w:h="15840"/>
      <w:pgMar w:top="1417" w:right="1701" w:bottom="1417" w:left="1701"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E5AACE1C-F812-4685-805F-7B857633DDAF}"/>
    <w:embedItalic r:id="rId2" w:fontKey="{F56EABBA-E99D-4237-96F5-B35BA2D23779}"/>
  </w:font>
  <w:font w:name="Century Gothic">
    <w:panose1 w:val="020B0502020202020204"/>
    <w:charset w:val="00"/>
    <w:family w:val="swiss"/>
    <w:pitch w:val="variable"/>
    <w:sig w:usb0="00000287" w:usb1="00000000" w:usb2="00000000" w:usb3="00000000" w:csb0="0000009F" w:csb1="00000000"/>
    <w:embedRegular r:id="rId3" w:fontKey="{1F180136-70B2-4499-B18E-F8007DC4EFA5}"/>
    <w:embedBold r:id="rId4" w:fontKey="{063E4F15-3A4D-43F7-B543-43A317E16CBD}"/>
    <w:embedItalic r:id="rId5" w:fontKey="{B868ACD6-B252-4068-9797-DE63DA4396CC}"/>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6" w:fontKey="{2C6CBC74-AA4C-4207-9D15-63003D69E2EE}"/>
  </w:font>
  <w:font w:name="Cambria">
    <w:panose1 w:val="02040503050406030204"/>
    <w:charset w:val="00"/>
    <w:family w:val="roman"/>
    <w:pitch w:val="variable"/>
    <w:sig w:usb0="E00006FF" w:usb1="420024FF" w:usb2="02000000" w:usb3="00000000" w:csb0="0000019F" w:csb1="00000000"/>
    <w:embedRegular r:id="rId7" w:fontKey="{EE9EDA6D-B055-4921-9FF3-5D9F81521EB3}"/>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6983"/>
    <w:rsid w:val="003752D7"/>
    <w:rsid w:val="00642058"/>
    <w:rsid w:val="009C385F"/>
    <w:rsid w:val="00D26983"/>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F37C8F"/>
  <w15:docId w15:val="{ADC6FFC1-EFC5-43A6-9D82-4A32088732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CO" w:eastAsia="es-CO" w:bidi="ar-SA"/>
      </w:rPr>
    </w:rPrDefault>
    <w:pPrDefault>
      <w:pPr>
        <w:ind w:hanging="1"/>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115" w:type="dxa"/>
        <w:right w:w="115" w:type="dxa"/>
      </w:tblCellMar>
    </w:tblPr>
  </w:style>
  <w:style w:type="table" w:customStyle="1" w:styleId="a0">
    <w:basedOn w:val="TableNormal1"/>
    <w:tblPr>
      <w:tblStyleRowBandSize w:val="1"/>
      <w:tblStyleColBandSize w:val="1"/>
      <w:tblCellMar>
        <w:left w:w="115" w:type="dxa"/>
        <w:right w:w="115" w:type="dxa"/>
      </w:tblCellMar>
    </w:tblPr>
  </w:style>
  <w:style w:type="table" w:customStyle="1" w:styleId="a1">
    <w:basedOn w:val="TableNormal1"/>
    <w:tblPr>
      <w:tblStyleRowBandSize w:val="1"/>
      <w:tblStyleColBandSize w:val="1"/>
      <w:tblCellMar>
        <w:left w:w="115" w:type="dxa"/>
        <w:right w:w="115" w:type="dxa"/>
      </w:tblCellMar>
    </w:tblPr>
  </w:style>
  <w:style w:type="table" w:customStyle="1" w:styleId="a2">
    <w:basedOn w:val="TableNormal1"/>
    <w:tblPr>
      <w:tblStyleRowBandSize w:val="1"/>
      <w:tblStyleColBandSize w:val="1"/>
      <w:tblCellMar>
        <w:left w:w="115" w:type="dxa"/>
        <w:right w:w="115" w:type="dxa"/>
      </w:tblCellMar>
    </w:tblPr>
  </w:style>
  <w:style w:type="paragraph" w:styleId="Textocomentario">
    <w:name w:val="annotation text"/>
    <w:basedOn w:val="Normal"/>
    <w:link w:val="TextocomentarioCar"/>
    <w:uiPriority w:val="99"/>
    <w:semiHidden/>
    <w:unhideWhenUsed/>
  </w:style>
  <w:style w:type="character" w:customStyle="1" w:styleId="TextocomentarioCar">
    <w:name w:val="Texto comentario Car"/>
    <w:basedOn w:val="Fuentedeprrafopredeter"/>
    <w:link w:val="Textocomentario"/>
    <w:uiPriority w:val="99"/>
    <w:semiHidden/>
  </w:style>
  <w:style w:type="character" w:styleId="Refdecomentario">
    <w:name w:val="annotation reference"/>
    <w:basedOn w:val="Fuentedeprrafopredeter"/>
    <w:uiPriority w:val="99"/>
    <w:semiHidden/>
    <w:unhideWhenUsed/>
    <w:rPr>
      <w:sz w:val="16"/>
      <w:szCs w:val="16"/>
    </w:rPr>
  </w:style>
  <w:style w:type="paragraph" w:styleId="Encabezado">
    <w:name w:val="header"/>
    <w:basedOn w:val="Normal"/>
    <w:link w:val="EncabezadoCar"/>
    <w:uiPriority w:val="99"/>
    <w:unhideWhenUsed/>
    <w:rsid w:val="005E21CF"/>
    <w:pPr>
      <w:tabs>
        <w:tab w:val="center" w:pos="4419"/>
        <w:tab w:val="right" w:pos="8838"/>
      </w:tabs>
    </w:pPr>
  </w:style>
  <w:style w:type="character" w:customStyle="1" w:styleId="EncabezadoCar">
    <w:name w:val="Encabezado Car"/>
    <w:basedOn w:val="Fuentedeprrafopredeter"/>
    <w:link w:val="Encabezado"/>
    <w:uiPriority w:val="99"/>
    <w:rsid w:val="005E21CF"/>
  </w:style>
  <w:style w:type="paragraph" w:styleId="Piedepgina">
    <w:name w:val="footer"/>
    <w:basedOn w:val="Normal"/>
    <w:link w:val="PiedepginaCar"/>
    <w:uiPriority w:val="99"/>
    <w:unhideWhenUsed/>
    <w:rsid w:val="005E21CF"/>
    <w:pPr>
      <w:tabs>
        <w:tab w:val="center" w:pos="4419"/>
        <w:tab w:val="right" w:pos="8838"/>
      </w:tabs>
    </w:pPr>
  </w:style>
  <w:style w:type="character" w:customStyle="1" w:styleId="PiedepginaCar">
    <w:name w:val="Pie de página Car"/>
    <w:basedOn w:val="Fuentedeprrafopredeter"/>
    <w:link w:val="Piedepgina"/>
    <w:uiPriority w:val="99"/>
    <w:rsid w:val="005E21CF"/>
  </w:style>
  <w:style w:type="table" w:customStyle="1" w:styleId="a3">
    <w:basedOn w:val="TableNormal0"/>
    <w:tblPr>
      <w:tblStyleRowBandSize w:val="1"/>
      <w:tblStyleColBandSize w:val="1"/>
      <w:tblCellMar>
        <w:left w:w="115" w:type="dxa"/>
        <w:right w:w="115" w:type="dxa"/>
      </w:tblCellMar>
    </w:tblPr>
  </w:style>
  <w:style w:type="table" w:customStyle="1" w:styleId="a4">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6tESHf0We1+DRx8zvftMCkSsT2A==">CgMxLjAyCWguM3pueXNoNzIIaC5namRneHMyCWguMWZvYjl0ZTIJaC4zMGowemxsOAByITFQS0JKNms5VVlBdi1Xa29QVkItRUNvamlvc0lOeFJ5VA==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860</Words>
  <Characters>4732</Characters>
  <Application>Microsoft Office Word</Application>
  <DocSecurity>0</DocSecurity>
  <Lines>39</Lines>
  <Paragraphs>11</Paragraphs>
  <ScaleCrop>false</ScaleCrop>
  <Company/>
  <LinksUpToDate>false</LinksUpToDate>
  <CharactersWithSpaces>5581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familia Roa Triana</dc:creator>
  <cp:lastModifiedBy>Luz Mery Martinez Rodriguez</cp:lastModifiedBy>
  <cp:revision>3</cp:revision>
  <dcterms:created xsi:type="dcterms:W3CDTF">2024-06-12T14:13:00Z</dcterms:created>
  <dcterms:modified xsi:type="dcterms:W3CDTF">2024-06-12T14:14:00Z</dcterms:modified>
</cp:coreProperties>
</file>