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0306C" w:rsidRDefault="0095266F">
      <w:pPr>
        <w:ind w:left="2" w:hanging="4"/>
        <w:jc w:val="center"/>
        <w:rPr>
          <w:rFonts w:ascii="Century Gothic" w:eastAsia="Century Gothic" w:hAnsi="Century Gothic" w:cs="Century Gothic"/>
          <w:b/>
          <w:sz w:val="26"/>
          <w:szCs w:val="26"/>
        </w:rPr>
      </w:pPr>
      <w:bookmarkStart w:id="0" w:name="_heading=h.gjdgxs" w:colFirst="0" w:colLast="0"/>
      <w:bookmarkEnd w:id="0"/>
      <w:r>
        <w:rPr>
          <w:rFonts w:ascii="Century Gothic" w:eastAsia="Century Gothic" w:hAnsi="Century Gothic" w:cs="Century Gothic"/>
          <w:b/>
          <w:noProof/>
          <w:sz w:val="40"/>
          <w:szCs w:val="40"/>
        </w:rPr>
        <w:drawing>
          <wp:anchor distT="0" distB="0" distL="0" distR="0" simplePos="0" relativeHeight="251658240" behindDoc="1" locked="0" layoutInCell="1" hidden="0" allowOverlap="1">
            <wp:simplePos x="0" y="0"/>
            <wp:positionH relativeFrom="page">
              <wp:posOffset>2786063</wp:posOffset>
            </wp:positionH>
            <wp:positionV relativeFrom="page">
              <wp:posOffset>404813</wp:posOffset>
            </wp:positionV>
            <wp:extent cx="2200275" cy="675322"/>
            <wp:effectExtent l="0" t="0" r="0" b="0"/>
            <wp:wrapNone/>
            <wp:docPr id="1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200275" cy="675322"/>
                    </a:xfrm>
                    <a:prstGeom prst="rect">
                      <a:avLst/>
                    </a:prstGeom>
                    <a:ln/>
                  </pic:spPr>
                </pic:pic>
              </a:graphicData>
            </a:graphic>
          </wp:anchor>
        </w:drawing>
      </w:r>
      <w:r>
        <w:rPr>
          <w:rFonts w:ascii="Century Gothic" w:eastAsia="Century Gothic" w:hAnsi="Century Gothic" w:cs="Century Gothic"/>
          <w:b/>
          <w:sz w:val="40"/>
          <w:szCs w:val="40"/>
        </w:rPr>
        <w:t xml:space="preserve">                                      </w:t>
      </w:r>
      <w:r>
        <w:rPr>
          <w:rFonts w:ascii="Century Gothic" w:eastAsia="Century Gothic" w:hAnsi="Century Gothic" w:cs="Century Gothic"/>
          <w:b/>
          <w:sz w:val="40"/>
          <w:szCs w:val="40"/>
        </w:rPr>
        <w:tab/>
      </w:r>
      <w:r>
        <w:rPr>
          <w:rFonts w:ascii="Century Gothic" w:eastAsia="Century Gothic" w:hAnsi="Century Gothic" w:cs="Century Gothic"/>
          <w:b/>
          <w:sz w:val="26"/>
          <w:szCs w:val="26"/>
        </w:rPr>
        <w:tab/>
        <w:t xml:space="preserve"> </w:t>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t>Índice 105</w:t>
      </w:r>
    </w:p>
    <w:p w14:paraId="00000002" w14:textId="77777777" w:rsidR="00C0306C" w:rsidRDefault="0095266F">
      <w:pPr>
        <w:ind w:left="0" w:hanging="2"/>
        <w:jc w:val="center"/>
        <w:rPr>
          <w:rFonts w:ascii="Century Gothic" w:eastAsia="Century Gothic" w:hAnsi="Century Gothic" w:cs="Century Gothic"/>
          <w:sz w:val="24"/>
          <w:szCs w:val="24"/>
        </w:rPr>
      </w:pPr>
      <w:r>
        <w:rPr>
          <w:rFonts w:ascii="Century Gothic" w:eastAsia="Century Gothic" w:hAnsi="Century Gothic" w:cs="Century Gothic"/>
          <w:b/>
          <w:sz w:val="24"/>
          <w:szCs w:val="24"/>
        </w:rPr>
        <w:t>CONSEJO DE ESTADO</w:t>
      </w:r>
    </w:p>
    <w:p w14:paraId="00000003" w14:textId="77777777" w:rsidR="00C0306C" w:rsidRDefault="0095266F">
      <w:pPr>
        <w:ind w:left="0" w:hanging="2"/>
        <w:jc w:val="center"/>
        <w:rPr>
          <w:rFonts w:ascii="Century Gothic" w:eastAsia="Century Gothic" w:hAnsi="Century Gothic" w:cs="Century Gothic"/>
          <w:sz w:val="24"/>
          <w:szCs w:val="24"/>
        </w:rPr>
      </w:pPr>
      <w:r>
        <w:rPr>
          <w:rFonts w:ascii="Century Gothic" w:eastAsia="Century Gothic" w:hAnsi="Century Gothic" w:cs="Century Gothic"/>
          <w:b/>
          <w:sz w:val="24"/>
          <w:szCs w:val="24"/>
        </w:rPr>
        <w:t>SALA DE LO CONTENCIOSO ADMINISTRATIVO</w:t>
      </w:r>
    </w:p>
    <w:p w14:paraId="00000004" w14:textId="77777777" w:rsidR="00C0306C" w:rsidRDefault="0095266F">
      <w:pPr>
        <w:ind w:left="0" w:hanging="2"/>
        <w:jc w:val="center"/>
        <w:rPr>
          <w:rFonts w:ascii="Century Gothic" w:eastAsia="Century Gothic" w:hAnsi="Century Gothic" w:cs="Century Gothic"/>
          <w:sz w:val="24"/>
          <w:szCs w:val="24"/>
        </w:rPr>
      </w:pPr>
      <w:r>
        <w:rPr>
          <w:rFonts w:ascii="Century Gothic" w:eastAsia="Century Gothic" w:hAnsi="Century Gothic" w:cs="Century Gothic"/>
          <w:b/>
          <w:sz w:val="24"/>
          <w:szCs w:val="24"/>
        </w:rPr>
        <w:t>SECCIÓN TERCERA</w:t>
      </w:r>
    </w:p>
    <w:p w14:paraId="00000005" w14:textId="77777777" w:rsidR="00C0306C" w:rsidRDefault="0095266F">
      <w:pPr>
        <w:ind w:left="0" w:hanging="2"/>
        <w:jc w:val="center"/>
        <w:rPr>
          <w:rFonts w:ascii="Century Gothic" w:eastAsia="Century Gothic" w:hAnsi="Century Gothic" w:cs="Century Gothic"/>
          <w:sz w:val="24"/>
          <w:szCs w:val="24"/>
        </w:rPr>
      </w:pPr>
      <w:r>
        <w:rPr>
          <w:rFonts w:ascii="Century Gothic" w:eastAsia="Century Gothic" w:hAnsi="Century Gothic" w:cs="Century Gothic"/>
          <w:b/>
          <w:sz w:val="24"/>
          <w:szCs w:val="24"/>
        </w:rPr>
        <w:t>SECRETARÍA</w:t>
      </w:r>
    </w:p>
    <w:p w14:paraId="00000006" w14:textId="77777777" w:rsidR="00C0306C" w:rsidRDefault="00C0306C">
      <w:pPr>
        <w:ind w:left="0" w:hanging="2"/>
        <w:jc w:val="center"/>
        <w:rPr>
          <w:rFonts w:ascii="Century Gothic" w:eastAsia="Century Gothic" w:hAnsi="Century Gothic" w:cs="Century Gothic"/>
          <w:b/>
          <w:sz w:val="24"/>
          <w:szCs w:val="24"/>
        </w:rPr>
      </w:pPr>
    </w:p>
    <w:tbl>
      <w:tblPr>
        <w:tblStyle w:val="a6"/>
        <w:tblW w:w="8921" w:type="dxa"/>
        <w:jc w:val="center"/>
        <w:tblInd w:w="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8921"/>
      </w:tblGrid>
      <w:tr w:rsidR="00C0306C" w14:paraId="5900BE41" w14:textId="77777777">
        <w:trPr>
          <w:trHeight w:val="135"/>
          <w:jc w:val="center"/>
        </w:trPr>
        <w:tc>
          <w:tcPr>
            <w:tcW w:w="8921" w:type="dxa"/>
            <w:shd w:val="clear" w:color="auto" w:fill="CCCCCC"/>
          </w:tcPr>
          <w:p w14:paraId="00000007" w14:textId="77777777" w:rsidR="00C0306C" w:rsidRDefault="0095266F">
            <w:pPr>
              <w:ind w:left="0" w:hanging="2"/>
              <w:rPr>
                <w:rFonts w:ascii="Century Gothic" w:eastAsia="Century Gothic" w:hAnsi="Century Gothic" w:cs="Century Gothic"/>
                <w:b/>
                <w:sz w:val="24"/>
                <w:szCs w:val="24"/>
              </w:rPr>
            </w:pPr>
            <w:bookmarkStart w:id="1" w:name="_heading=h.30j0zll" w:colFirst="0" w:colLast="0"/>
            <w:bookmarkEnd w:id="1"/>
            <w:r>
              <w:rPr>
                <w:rFonts w:ascii="Century Gothic" w:eastAsia="Century Gothic" w:hAnsi="Century Gothic" w:cs="Century Gothic"/>
                <w:b/>
                <w:sz w:val="24"/>
                <w:szCs w:val="24"/>
              </w:rPr>
              <w:t>REF:</w:t>
            </w:r>
            <w:r>
              <w:rPr>
                <w:rFonts w:ascii="Century Gothic" w:eastAsia="Century Gothic" w:hAnsi="Century Gothic" w:cs="Century Gothic"/>
                <w:b/>
                <w:sz w:val="24"/>
                <w:szCs w:val="24"/>
              </w:rPr>
              <w:tab/>
              <w:t xml:space="preserve">EXPEDIENTE </w:t>
            </w:r>
            <w:proofErr w:type="spellStart"/>
            <w:r>
              <w:rPr>
                <w:rFonts w:ascii="Century Gothic" w:eastAsia="Century Gothic" w:hAnsi="Century Gothic" w:cs="Century Gothic"/>
                <w:b/>
                <w:sz w:val="24"/>
                <w:szCs w:val="24"/>
              </w:rPr>
              <w:t>N°</w:t>
            </w:r>
            <w:proofErr w:type="spellEnd"/>
            <w:r>
              <w:rPr>
                <w:rFonts w:ascii="Century Gothic" w:eastAsia="Century Gothic" w:hAnsi="Century Gothic" w:cs="Century Gothic"/>
                <w:b/>
                <w:sz w:val="24"/>
                <w:szCs w:val="24"/>
              </w:rPr>
              <w:t xml:space="preserve"> 76001333100020080035101 (58066) </w:t>
            </w:r>
          </w:p>
        </w:tc>
      </w:tr>
    </w:tbl>
    <w:p w14:paraId="00000008" w14:textId="77777777" w:rsidR="00C0306C" w:rsidRDefault="00C0306C" w:rsidP="0095266F">
      <w:pPr>
        <w:spacing w:line="240" w:lineRule="auto"/>
        <w:ind w:left="0" w:hanging="2"/>
        <w:rPr>
          <w:rFonts w:ascii="Century Gothic" w:eastAsia="Century Gothic" w:hAnsi="Century Gothic" w:cs="Century Gothic"/>
          <w:b/>
          <w:sz w:val="24"/>
          <w:szCs w:val="24"/>
        </w:rPr>
      </w:pPr>
    </w:p>
    <w:p w14:paraId="00000009" w14:textId="621DF860" w:rsidR="00C0306C" w:rsidRDefault="0095266F" w:rsidP="0095266F">
      <w:pPr>
        <w:spacing w:line="240" w:lineRule="auto"/>
        <w:ind w:left="0" w:hanging="2"/>
        <w:jc w:val="both"/>
        <w:rPr>
          <w:rFonts w:ascii="Century Gothic" w:eastAsia="Century Gothic" w:hAnsi="Century Gothic" w:cs="Century Gothic"/>
          <w:sz w:val="24"/>
          <w:szCs w:val="24"/>
        </w:rPr>
      </w:pPr>
      <w:bookmarkStart w:id="2" w:name="_heading=h.1fob9te" w:colFirst="0" w:colLast="0"/>
      <w:bookmarkEnd w:id="2"/>
      <w:r>
        <w:rPr>
          <w:rFonts w:ascii="Century Gothic" w:eastAsia="Century Gothic" w:hAnsi="Century Gothic" w:cs="Century Gothic"/>
          <w:sz w:val="24"/>
          <w:szCs w:val="24"/>
        </w:rPr>
        <w:t xml:space="preserve">Al Despacho del Magistrado </w:t>
      </w:r>
      <w:r>
        <w:rPr>
          <w:rFonts w:ascii="Century Gothic" w:eastAsia="Century Gothic" w:hAnsi="Century Gothic" w:cs="Century Gothic"/>
          <w:b/>
          <w:sz w:val="24"/>
          <w:szCs w:val="24"/>
        </w:rPr>
        <w:t>FREDY IBARRA MARTÍNEZ</w:t>
      </w:r>
      <w:r>
        <w:rPr>
          <w:rFonts w:ascii="Century Gothic" w:eastAsia="Century Gothic" w:hAnsi="Century Gothic" w:cs="Century Gothic"/>
          <w:sz w:val="24"/>
          <w:szCs w:val="24"/>
        </w:rPr>
        <w:t xml:space="preserve"> hoy 21 de marzo de 2023, informando que el término de ejecutoria del auto obrante en el índice 91, y los traslados dispuestos en el ordinal 1 y 2 del mismo auto transcurrieron entre el 18 y </w:t>
      </w:r>
      <w:r>
        <w:rPr>
          <w:rFonts w:ascii="Century Gothic" w:eastAsia="Century Gothic" w:hAnsi="Century Gothic" w:cs="Century Gothic"/>
          <w:sz w:val="24"/>
          <w:szCs w:val="24"/>
        </w:rPr>
        <w:t>el 20 de enero de 2023</w:t>
      </w:r>
    </w:p>
    <w:p w14:paraId="0000000A" w14:textId="77777777" w:rsidR="00C0306C" w:rsidRDefault="00C0306C" w:rsidP="0095266F">
      <w:pPr>
        <w:spacing w:line="240" w:lineRule="auto"/>
        <w:ind w:left="0" w:hanging="2"/>
        <w:jc w:val="both"/>
        <w:rPr>
          <w:rFonts w:ascii="Century Gothic" w:eastAsia="Century Gothic" w:hAnsi="Century Gothic" w:cs="Century Gothic"/>
          <w:sz w:val="24"/>
          <w:szCs w:val="24"/>
        </w:rPr>
      </w:pPr>
    </w:p>
    <w:p w14:paraId="0000000B" w14:textId="77777777" w:rsidR="00C0306C" w:rsidRDefault="0095266F" w:rsidP="0095266F">
      <w:pPr>
        <w:spacing w:line="240" w:lineRule="auto"/>
        <w:ind w:left="0" w:hanging="2"/>
        <w:jc w:val="both"/>
        <w:rPr>
          <w:rFonts w:ascii="Century Gothic" w:eastAsia="Century Gothic" w:hAnsi="Century Gothic" w:cs="Century Gothic"/>
          <w:sz w:val="24"/>
          <w:szCs w:val="24"/>
        </w:rPr>
      </w:pPr>
      <w:bookmarkStart w:id="3" w:name="_heading=h.3znysh7" w:colFirst="0" w:colLast="0"/>
      <w:bookmarkEnd w:id="3"/>
      <w:r>
        <w:rPr>
          <w:rFonts w:ascii="Century Gothic" w:eastAsia="Century Gothic" w:hAnsi="Century Gothic" w:cs="Century Gothic"/>
          <w:sz w:val="24"/>
          <w:szCs w:val="24"/>
        </w:rPr>
        <w:t>En atención al artículo 9 de la Ley 2213</w:t>
      </w:r>
      <w:r>
        <w:rPr>
          <w:rFonts w:ascii="Century Gothic" w:eastAsia="Century Gothic" w:hAnsi="Century Gothic" w:cs="Century Gothic"/>
          <w:sz w:val="24"/>
          <w:szCs w:val="24"/>
        </w:rPr>
        <w:t xml:space="preserve"> de 2022, se envió a las partes y al señor Agente del Ministerio Público el mensaje de datos vía correo electrónico por medio del cual, se info</w:t>
      </w:r>
      <w:bookmarkStart w:id="4" w:name="_GoBack"/>
      <w:bookmarkEnd w:id="4"/>
      <w:r>
        <w:rPr>
          <w:rFonts w:ascii="Century Gothic" w:eastAsia="Century Gothic" w:hAnsi="Century Gothic" w:cs="Century Gothic"/>
          <w:sz w:val="24"/>
          <w:szCs w:val="24"/>
        </w:rPr>
        <w:t>rmó la notificación por estado del auto proferido y se adjuntó medio magnético del mismo (índice 93, 95 y 96   de</w:t>
      </w:r>
      <w:r>
        <w:rPr>
          <w:rFonts w:ascii="Century Gothic" w:eastAsia="Century Gothic" w:hAnsi="Century Gothic" w:cs="Century Gothic"/>
          <w:sz w:val="24"/>
          <w:szCs w:val="24"/>
        </w:rPr>
        <w:t xml:space="preserve"> SAMAI).</w:t>
      </w:r>
    </w:p>
    <w:p w14:paraId="0000000C" w14:textId="77777777" w:rsidR="00C0306C" w:rsidRDefault="00C0306C">
      <w:pPr>
        <w:spacing w:line="276" w:lineRule="auto"/>
        <w:ind w:left="0" w:hanging="2"/>
        <w:jc w:val="both"/>
        <w:rPr>
          <w:rFonts w:ascii="Century Gothic" w:eastAsia="Century Gothic" w:hAnsi="Century Gothic" w:cs="Century Gothic"/>
          <w:sz w:val="24"/>
          <w:szCs w:val="24"/>
        </w:rPr>
      </w:pPr>
    </w:p>
    <w:p w14:paraId="0000000D" w14:textId="75B82F2E" w:rsidR="00C0306C" w:rsidRDefault="0095266F">
      <w:pPr>
        <w:ind w:left="0" w:hanging="2"/>
        <w:jc w:val="both"/>
        <w:rPr>
          <w:rFonts w:ascii="Century Gothic" w:eastAsia="Century Gothic" w:hAnsi="Century Gothic" w:cs="Century Gothic"/>
          <w:sz w:val="24"/>
          <w:szCs w:val="24"/>
        </w:rPr>
      </w:pPr>
      <w:sdt>
        <w:sdtPr>
          <w:tag w:val="goog_rdk_0"/>
          <w:id w:val="-686135407"/>
        </w:sdtPr>
        <w:sdtEndPr/>
        <w:sdtContent/>
      </w:sdt>
      <w:r>
        <w:rPr>
          <w:rFonts w:ascii="Century Gothic" w:eastAsia="Century Gothic" w:hAnsi="Century Gothic" w:cs="Century Gothic"/>
          <w:sz w:val="24"/>
          <w:szCs w:val="24"/>
        </w:rPr>
        <w:t>El 25 de enero de 2023, el abogado José del Carmen Bernal Calvo informó que no funge como apoderado ni como representante legal de LA PREVISORA S.A., por lo cual esta secretaría actualizó los datos en el aplicativo SAMAI y el 22 de febrero le comunicó nuev</w:t>
      </w:r>
      <w:r>
        <w:rPr>
          <w:rFonts w:ascii="Century Gothic" w:eastAsia="Century Gothic" w:hAnsi="Century Gothic" w:cs="Century Gothic"/>
          <w:sz w:val="24"/>
          <w:szCs w:val="24"/>
        </w:rPr>
        <w:t>amente lo decidido (</w:t>
      </w:r>
      <w:r>
        <w:rPr>
          <w:rFonts w:ascii="Century Gothic" w:eastAsia="Century Gothic" w:hAnsi="Century Gothic" w:cs="Century Gothic"/>
          <w:sz w:val="24"/>
          <w:szCs w:val="24"/>
        </w:rPr>
        <w:t>índices 97 a 100 de SAMAI).</w:t>
      </w:r>
    </w:p>
    <w:p w14:paraId="0000000E" w14:textId="77777777" w:rsidR="00C0306C" w:rsidRDefault="00C0306C">
      <w:pPr>
        <w:ind w:left="0" w:hanging="2"/>
        <w:jc w:val="both"/>
        <w:rPr>
          <w:rFonts w:ascii="Century Gothic" w:eastAsia="Century Gothic" w:hAnsi="Century Gothic" w:cs="Century Gothic"/>
          <w:sz w:val="24"/>
          <w:szCs w:val="24"/>
        </w:rPr>
      </w:pPr>
    </w:p>
    <w:p w14:paraId="0000000F" w14:textId="77777777" w:rsidR="00C0306C" w:rsidRDefault="0095266F">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En cumplimiento a lo dispuesto en el ordinal cuarto del auto proferido el 9 de diciembre de 2022 mencionado, el 22 de febrero de 2023, se ofició a LA PREVISORA S.A. COMPAÑÍA DE SEGUROS para que, remitiera </w:t>
      </w:r>
      <w:r>
        <w:rPr>
          <w:rFonts w:ascii="Century Gothic" w:eastAsia="Century Gothic" w:hAnsi="Century Gothic" w:cs="Century Gothic"/>
          <w:sz w:val="24"/>
          <w:szCs w:val="24"/>
        </w:rPr>
        <w:t>copia del documento expedido el 3 de febrero de 2009 mediante el cual esa entidad supuestamente manifestó que se omitió pagar las primas de las pólizas de seguros de vida de los diputados del Valle del Cauca, sin manifestación a la fecha (índices 101 a 104</w:t>
      </w:r>
      <w:r>
        <w:rPr>
          <w:rFonts w:ascii="Century Gothic" w:eastAsia="Century Gothic" w:hAnsi="Century Gothic" w:cs="Century Gothic"/>
          <w:sz w:val="24"/>
          <w:szCs w:val="24"/>
        </w:rPr>
        <w:t xml:space="preserve"> de SAMAI). </w:t>
      </w:r>
    </w:p>
    <w:p w14:paraId="00000010" w14:textId="77777777" w:rsidR="00C0306C" w:rsidRDefault="00C0306C">
      <w:pPr>
        <w:ind w:left="0" w:hanging="2"/>
        <w:jc w:val="both"/>
        <w:rPr>
          <w:rFonts w:ascii="Century Gothic" w:eastAsia="Century Gothic" w:hAnsi="Century Gothic" w:cs="Century Gothic"/>
          <w:sz w:val="24"/>
          <w:szCs w:val="24"/>
        </w:rPr>
      </w:pPr>
    </w:p>
    <w:p w14:paraId="00000011" w14:textId="77777777" w:rsidR="00C0306C" w:rsidRDefault="0095266F">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Sin otro particular, ingresa el proceso al Despacho para proveer.</w:t>
      </w:r>
    </w:p>
    <w:p w14:paraId="00000012" w14:textId="77777777" w:rsidR="00C0306C" w:rsidRDefault="00C0306C">
      <w:pPr>
        <w:ind w:left="0" w:hanging="2"/>
        <w:jc w:val="both"/>
        <w:rPr>
          <w:rFonts w:ascii="Century Gothic" w:eastAsia="Century Gothic" w:hAnsi="Century Gothic" w:cs="Century Gothic"/>
          <w:sz w:val="24"/>
          <w:szCs w:val="24"/>
        </w:rPr>
      </w:pPr>
    </w:p>
    <w:p w14:paraId="00000013" w14:textId="77777777" w:rsidR="00C0306C" w:rsidRDefault="0095266F">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La Oficial Mayor, </w:t>
      </w:r>
    </w:p>
    <w:p w14:paraId="00000014" w14:textId="77777777" w:rsidR="00C0306C" w:rsidRDefault="00C0306C">
      <w:pPr>
        <w:ind w:left="0" w:hanging="2"/>
        <w:jc w:val="both"/>
        <w:rPr>
          <w:rFonts w:ascii="Century Gothic" w:eastAsia="Century Gothic" w:hAnsi="Century Gothic" w:cs="Century Gothic"/>
          <w:b/>
          <w:sz w:val="24"/>
          <w:szCs w:val="24"/>
        </w:rPr>
      </w:pPr>
    </w:p>
    <w:p w14:paraId="00000015" w14:textId="77777777" w:rsidR="00C0306C" w:rsidRDefault="0095266F">
      <w:pPr>
        <w:ind w:left="0" w:hanging="2"/>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Leidy Johanna Gil Muñoz</w:t>
      </w:r>
    </w:p>
    <w:p w14:paraId="00000016" w14:textId="77777777" w:rsidR="00C0306C" w:rsidRDefault="00C0306C">
      <w:pPr>
        <w:ind w:left="0" w:hanging="2"/>
        <w:jc w:val="both"/>
        <w:rPr>
          <w:rFonts w:ascii="Century Gothic" w:eastAsia="Century Gothic" w:hAnsi="Century Gothic" w:cs="Century Gothic"/>
          <w:sz w:val="24"/>
          <w:szCs w:val="24"/>
        </w:rPr>
      </w:pPr>
    </w:p>
    <w:p w14:paraId="00000017" w14:textId="77777777" w:rsidR="00C0306C" w:rsidRDefault="00C0306C">
      <w:pPr>
        <w:ind w:left="0" w:hanging="2"/>
        <w:jc w:val="both"/>
        <w:rPr>
          <w:rFonts w:ascii="Century Gothic" w:eastAsia="Century Gothic" w:hAnsi="Century Gothic" w:cs="Century Gothic"/>
          <w:sz w:val="24"/>
          <w:szCs w:val="24"/>
        </w:rPr>
      </w:pPr>
    </w:p>
    <w:p w14:paraId="00000018" w14:textId="77777777" w:rsidR="00C0306C" w:rsidRDefault="0095266F">
      <w:pPr>
        <w:ind w:left="0" w:hanging="2"/>
        <w:jc w:val="both"/>
        <w:rPr>
          <w:rFonts w:ascii="Century Gothic" w:eastAsia="Century Gothic" w:hAnsi="Century Gothic" w:cs="Century Gothic"/>
          <w:sz w:val="18"/>
          <w:szCs w:val="18"/>
        </w:rPr>
      </w:pPr>
      <w:bookmarkStart w:id="5" w:name="_heading=h.2et92p0" w:colFirst="0" w:colLast="0"/>
      <w:bookmarkEnd w:id="5"/>
      <w:r>
        <w:rPr>
          <w:rFonts w:ascii="Century Gothic" w:eastAsia="Century Gothic" w:hAnsi="Century Gothic" w:cs="Century Gothic"/>
          <w:sz w:val="18"/>
          <w:szCs w:val="18"/>
        </w:rPr>
        <w:t>mm</w:t>
      </w:r>
    </w:p>
    <w:sectPr w:rsidR="00C0306C">
      <w:headerReference w:type="even" r:id="rId9"/>
      <w:headerReference w:type="default" r:id="rId10"/>
      <w:footerReference w:type="even" r:id="rId11"/>
      <w:footerReference w:type="default" r:id="rId12"/>
      <w:headerReference w:type="first" r:id="rId13"/>
      <w:footerReference w:type="first" r:id="rId14"/>
      <w:pgSz w:w="12242" w:h="18722"/>
      <w:pgMar w:top="1701"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BA806" w14:textId="77777777" w:rsidR="00000000" w:rsidRDefault="0095266F">
      <w:pPr>
        <w:spacing w:line="240" w:lineRule="auto"/>
        <w:ind w:left="0" w:hanging="2"/>
      </w:pPr>
      <w:r>
        <w:separator/>
      </w:r>
    </w:p>
  </w:endnote>
  <w:endnote w:type="continuationSeparator" w:id="0">
    <w:p w14:paraId="5CC76A63" w14:textId="77777777" w:rsidR="00000000" w:rsidRDefault="0095266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man P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C" w14:textId="77777777" w:rsidR="00C0306C" w:rsidRDefault="00C0306C">
    <w:pPr>
      <w:pBdr>
        <w:top w:val="nil"/>
        <w:left w:val="nil"/>
        <w:bottom w:val="nil"/>
        <w:right w:val="nil"/>
        <w:between w:val="nil"/>
      </w:pBdr>
      <w:tabs>
        <w:tab w:val="center" w:pos="4419"/>
        <w:tab w:val="right" w:pos="88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E" w14:textId="77777777" w:rsidR="00C0306C" w:rsidRDefault="00C0306C">
    <w:pPr>
      <w:pBdr>
        <w:top w:val="nil"/>
        <w:left w:val="nil"/>
        <w:bottom w:val="nil"/>
        <w:right w:val="nil"/>
        <w:between w:val="nil"/>
      </w:pBdr>
      <w:tabs>
        <w:tab w:val="center" w:pos="4419"/>
        <w:tab w:val="right" w:pos="8838"/>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D" w14:textId="77777777" w:rsidR="00C0306C" w:rsidRDefault="00C0306C">
    <w:pPr>
      <w:pBdr>
        <w:top w:val="nil"/>
        <w:left w:val="nil"/>
        <w:bottom w:val="nil"/>
        <w:right w:val="nil"/>
        <w:between w:val="nil"/>
      </w:pBdr>
      <w:tabs>
        <w:tab w:val="center" w:pos="4419"/>
        <w:tab w:val="right" w:pos="8838"/>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E7EE6" w14:textId="77777777" w:rsidR="00000000" w:rsidRDefault="0095266F">
      <w:pPr>
        <w:spacing w:line="240" w:lineRule="auto"/>
        <w:ind w:left="0" w:hanging="2"/>
      </w:pPr>
      <w:r>
        <w:separator/>
      </w:r>
    </w:p>
  </w:footnote>
  <w:footnote w:type="continuationSeparator" w:id="0">
    <w:p w14:paraId="78E1656B" w14:textId="77777777" w:rsidR="00000000" w:rsidRDefault="0095266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A" w14:textId="77777777" w:rsidR="00C0306C" w:rsidRDefault="00C0306C">
    <w:pPr>
      <w:pBdr>
        <w:top w:val="nil"/>
        <w:left w:val="nil"/>
        <w:bottom w:val="nil"/>
        <w:right w:val="nil"/>
        <w:between w:val="nil"/>
      </w:pBdr>
      <w:tabs>
        <w:tab w:val="center" w:pos="4419"/>
        <w:tab w:val="right" w:pos="8838"/>
      </w:tabs>
      <w:spacing w:line="240" w:lineRule="auto"/>
      <w:ind w:left="0" w:hanging="2"/>
      <w:rPr>
        <w:rFonts w:ascii="Roman PS" w:eastAsia="Roman PS" w:hAnsi="Roman PS" w:cs="Roman P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9" w14:textId="77777777" w:rsidR="00C0306C" w:rsidRDefault="00C0306C">
    <w:pPr>
      <w:tabs>
        <w:tab w:val="center" w:pos="4419"/>
        <w:tab w:val="right" w:pos="8838"/>
      </w:tabs>
      <w:ind w:left="0" w:hanging="2"/>
      <w:rPr>
        <w:rFonts w:ascii="Roman PS" w:eastAsia="Roman PS" w:hAnsi="Roman PS" w:cs="Roman PS"/>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B" w14:textId="77777777" w:rsidR="00C0306C" w:rsidRDefault="00C0306C">
    <w:pPr>
      <w:pBdr>
        <w:top w:val="nil"/>
        <w:left w:val="nil"/>
        <w:bottom w:val="nil"/>
        <w:right w:val="nil"/>
        <w:between w:val="nil"/>
      </w:pBdr>
      <w:tabs>
        <w:tab w:val="center" w:pos="4419"/>
        <w:tab w:val="right" w:pos="8838"/>
      </w:tabs>
      <w:spacing w:line="240" w:lineRule="auto"/>
      <w:ind w:left="0" w:hanging="2"/>
      <w:rPr>
        <w:rFonts w:ascii="Roman PS" w:eastAsia="Roman PS" w:hAnsi="Roman PS" w:cs="Roman PS"/>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06C"/>
    <w:rsid w:val="0095266F"/>
    <w:rsid w:val="00C0306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E5C76"/>
  <w15:docId w15:val="{B50DBA26-802C-41CA-A8B9-F1BAF8EB3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CO" w:eastAsia="es-CO" w:bidi="ar-SA"/>
      </w:rPr>
    </w:rPrDefault>
    <w:pPrDefault>
      <w:pPr>
        <w:ind w:hang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26">
    <w:name w:val="Table Normal26"/>
    <w:tblPr>
      <w:tblCellMar>
        <w:top w:w="0" w:type="dxa"/>
        <w:left w:w="0" w:type="dxa"/>
        <w:bottom w:w="0" w:type="dxa"/>
        <w:right w:w="0" w:type="dxa"/>
      </w:tblCellMar>
    </w:tblPr>
  </w:style>
  <w:style w:type="table" w:customStyle="1" w:styleId="TableNormal25">
    <w:name w:val="Table Normal25"/>
    <w:tblPr>
      <w:tblCellMar>
        <w:top w:w="0" w:type="dxa"/>
        <w:left w:w="0" w:type="dxa"/>
        <w:bottom w:w="0" w:type="dxa"/>
        <w:right w:w="0" w:type="dxa"/>
      </w:tblCellMar>
    </w:tblPr>
  </w:style>
  <w:style w:type="table" w:customStyle="1" w:styleId="TableNormal24">
    <w:name w:val="Table Normal24"/>
    <w:tblPr>
      <w:tblCellMar>
        <w:top w:w="0" w:type="dxa"/>
        <w:left w:w="0" w:type="dxa"/>
        <w:bottom w:w="0" w:type="dxa"/>
        <w:right w:w="0" w:type="dxa"/>
      </w:tblCellMar>
    </w:tblPr>
  </w:style>
  <w:style w:type="table" w:customStyle="1" w:styleId="TableNormal23">
    <w:name w:val="Table Normal23"/>
    <w:tblPr>
      <w:tblCellMar>
        <w:top w:w="0" w:type="dxa"/>
        <w:left w:w="0" w:type="dxa"/>
        <w:bottom w:w="0" w:type="dxa"/>
        <w:right w:w="0" w:type="dxa"/>
      </w:tblCellMar>
    </w:tblPr>
  </w:style>
  <w:style w:type="table" w:customStyle="1" w:styleId="TableNormal22">
    <w:name w:val="Table Normal22"/>
    <w:tblPr>
      <w:tblCellMar>
        <w:top w:w="0" w:type="dxa"/>
        <w:left w:w="0" w:type="dxa"/>
        <w:bottom w:w="0" w:type="dxa"/>
        <w:right w:w="0" w:type="dxa"/>
      </w:tblCellMar>
    </w:tblPr>
  </w:style>
  <w:style w:type="table" w:customStyle="1" w:styleId="TableNormal21">
    <w:name w:val="Table Normal21"/>
    <w:tblPr>
      <w:tblCellMar>
        <w:top w:w="0" w:type="dxa"/>
        <w:left w:w="0" w:type="dxa"/>
        <w:bottom w:w="0" w:type="dxa"/>
        <w:right w:w="0" w:type="dxa"/>
      </w:tblCellMar>
    </w:tblPr>
  </w:style>
  <w:style w:type="table" w:customStyle="1" w:styleId="TableNormal20">
    <w:name w:val="Table Normal20"/>
    <w:tblPr>
      <w:tblCellMar>
        <w:top w:w="0" w:type="dxa"/>
        <w:left w:w="0" w:type="dxa"/>
        <w:bottom w:w="0" w:type="dxa"/>
        <w:right w:w="0" w:type="dxa"/>
      </w:tblCellMar>
    </w:tblPr>
  </w:style>
  <w:style w:type="table" w:customStyle="1" w:styleId="TableNormal19">
    <w:name w:val="Table Normal19"/>
    <w:tblPr>
      <w:tblCellMar>
        <w:top w:w="0" w:type="dxa"/>
        <w:left w:w="0" w:type="dxa"/>
        <w:bottom w:w="0" w:type="dxa"/>
        <w:right w:w="0" w:type="dxa"/>
      </w:tblCellMar>
    </w:tblPr>
  </w:style>
  <w:style w:type="table" w:customStyle="1" w:styleId="TableNormal18">
    <w:name w:val="Table Normal18"/>
    <w:tblPr>
      <w:tblCellMar>
        <w:top w:w="0" w:type="dxa"/>
        <w:left w:w="0" w:type="dxa"/>
        <w:bottom w:w="0" w:type="dxa"/>
        <w:right w:w="0" w:type="dxa"/>
      </w:tblCellMar>
    </w:tblPr>
  </w:style>
  <w:style w:type="table" w:customStyle="1" w:styleId="TableNormal17">
    <w:name w:val="Table Normal17"/>
    <w:tblPr>
      <w:tblCellMar>
        <w:top w:w="0" w:type="dxa"/>
        <w:left w:w="0" w:type="dxa"/>
        <w:bottom w:w="0" w:type="dxa"/>
        <w:right w:w="0" w:type="dxa"/>
      </w:tblCellMar>
    </w:tblPr>
  </w:style>
  <w:style w:type="table" w:customStyle="1" w:styleId="TableNormal16">
    <w:name w:val="Table Normal16"/>
    <w:tblPr>
      <w:tblCellMar>
        <w:top w:w="0" w:type="dxa"/>
        <w:left w:w="0" w:type="dxa"/>
        <w:bottom w:w="0" w:type="dxa"/>
        <w:right w:w="0" w:type="dxa"/>
      </w:tblCellMar>
    </w:tblPr>
  </w:style>
  <w:style w:type="table" w:customStyle="1" w:styleId="TableNormal15">
    <w:name w:val="Table Normal15"/>
    <w:tblPr>
      <w:tblCellMar>
        <w:top w:w="0" w:type="dxa"/>
        <w:left w:w="0" w:type="dxa"/>
        <w:bottom w:w="0" w:type="dxa"/>
        <w:right w:w="0" w:type="dxa"/>
      </w:tblCellMar>
    </w:tblPr>
  </w:style>
  <w:style w:type="table" w:customStyle="1" w:styleId="TableNormal14">
    <w:name w:val="Table Normal14"/>
    <w:tblPr>
      <w:tblCellMar>
        <w:top w:w="0" w:type="dxa"/>
        <w:left w:w="0" w:type="dxa"/>
        <w:bottom w:w="0" w:type="dxa"/>
        <w:right w:w="0" w:type="dxa"/>
      </w:tblCellMar>
    </w:tblPr>
  </w:style>
  <w:style w:type="table" w:customStyle="1" w:styleId="TableNormal13">
    <w:name w:val="Table Normal13"/>
    <w:tblPr>
      <w:tblCellMar>
        <w:top w:w="0" w:type="dxa"/>
        <w:left w:w="0" w:type="dxa"/>
        <w:bottom w:w="0" w:type="dxa"/>
        <w:right w:w="0" w:type="dxa"/>
      </w:tblCellMar>
    </w:tblPr>
  </w:style>
  <w:style w:type="table" w:customStyle="1" w:styleId="TableNormal12">
    <w:name w:val="Table Normal12"/>
    <w:tblPr>
      <w:tblCellMar>
        <w:top w:w="0" w:type="dxa"/>
        <w:left w:w="0" w:type="dxa"/>
        <w:bottom w:w="0" w:type="dxa"/>
        <w:right w:w="0" w:type="dxa"/>
      </w:tblCellMar>
    </w:tblPr>
  </w:style>
  <w:style w:type="table" w:customStyle="1" w:styleId="TableNormal11">
    <w:name w:val="Table Normal11"/>
    <w:tblPr>
      <w:tblCellMar>
        <w:top w:w="0" w:type="dxa"/>
        <w:left w:w="0" w:type="dxa"/>
        <w:bottom w:w="0" w:type="dxa"/>
        <w:right w:w="0" w:type="dxa"/>
      </w:tblCellMar>
    </w:tblPr>
  </w:style>
  <w:style w:type="table" w:customStyle="1" w:styleId="TableNormal10">
    <w:name w:val="Table Normal10"/>
    <w:tblPr>
      <w:tblCellMar>
        <w:top w:w="0" w:type="dxa"/>
        <w:left w:w="0" w:type="dxa"/>
        <w:bottom w:w="0" w:type="dxa"/>
        <w:right w:w="0" w:type="dxa"/>
      </w:tblCellMar>
    </w:tblPr>
  </w:style>
  <w:style w:type="table" w:customStyle="1" w:styleId="TableNormal9">
    <w:name w:val="Table Normal9"/>
    <w:tblPr>
      <w:tblCellMar>
        <w:top w:w="0" w:type="dxa"/>
        <w:left w:w="0" w:type="dxa"/>
        <w:bottom w:w="0" w:type="dxa"/>
        <w:right w:w="0" w:type="dxa"/>
      </w:tblCellMar>
    </w:tblPr>
  </w:style>
  <w:style w:type="table" w:customStyle="1" w:styleId="TableNormal8">
    <w:name w:val="Table Normal8"/>
    <w:tblPr>
      <w:tblCellMar>
        <w:top w:w="0" w:type="dxa"/>
        <w:left w:w="0" w:type="dxa"/>
        <w:bottom w:w="0" w:type="dxa"/>
        <w:right w:w="0" w:type="dxa"/>
      </w:tblCellMar>
    </w:tblPr>
  </w:style>
  <w:style w:type="table" w:customStyle="1" w:styleId="TableNormal70">
    <w:name w:val="Table Normal7"/>
    <w:tblPr>
      <w:tblCellMar>
        <w:top w:w="0" w:type="dxa"/>
        <w:left w:w="0" w:type="dxa"/>
        <w:bottom w:w="0" w:type="dxa"/>
        <w:right w:w="0" w:type="dxa"/>
      </w:tblCellMar>
    </w:tblPr>
  </w:style>
  <w:style w:type="table" w:customStyle="1" w:styleId="TableNormal60">
    <w:name w:val="Table Normal6"/>
    <w:tblPr>
      <w:tblCellMar>
        <w:top w:w="0" w:type="dxa"/>
        <w:left w:w="0" w:type="dxa"/>
        <w:bottom w:w="0" w:type="dxa"/>
        <w:right w:w="0" w:type="dxa"/>
      </w:tblCellMar>
    </w:tblPr>
  </w:style>
  <w:style w:type="table" w:customStyle="1" w:styleId="TableNormal50">
    <w:name w:val="Table Normal5"/>
    <w:tblPr>
      <w:tblCellMar>
        <w:top w:w="0" w:type="dxa"/>
        <w:left w:w="0" w:type="dxa"/>
        <w:bottom w:w="0" w:type="dxa"/>
        <w:right w:w="0" w:type="dxa"/>
      </w:tblCellMar>
    </w:tblPr>
  </w:style>
  <w:style w:type="table" w:customStyle="1" w:styleId="TableNormal40">
    <w:name w:val="Table Normal4"/>
    <w:tblPr>
      <w:tblCellMar>
        <w:top w:w="0" w:type="dxa"/>
        <w:left w:w="0" w:type="dxa"/>
        <w:bottom w:w="0" w:type="dxa"/>
        <w:right w:w="0" w:type="dxa"/>
      </w:tblCellMar>
    </w:tblPr>
  </w:style>
  <w:style w:type="table" w:customStyle="1" w:styleId="TableNormal30">
    <w:name w:val="Table Normal3"/>
    <w:tblPr>
      <w:tblCellMar>
        <w:top w:w="0" w:type="dxa"/>
        <w:left w:w="0" w:type="dxa"/>
        <w:bottom w:w="0" w:type="dxa"/>
        <w:right w:w="0" w:type="dxa"/>
      </w:tblCellMar>
    </w:tblPr>
  </w:style>
  <w:style w:type="table" w:customStyle="1" w:styleId="TableNormal27">
    <w:name w:val="Table Normal2"/>
    <w:tblPr>
      <w:tblCellMar>
        <w:top w:w="0" w:type="dxa"/>
        <w:left w:w="0" w:type="dxa"/>
        <w:bottom w:w="0" w:type="dxa"/>
        <w:right w:w="0" w:type="dxa"/>
      </w:tblCellMar>
    </w:tblPr>
  </w:style>
  <w:style w:type="table" w:customStyle="1" w:styleId="TableNormal1a">
    <w:name w:val="Table Normal1"/>
    <w:tblPr>
      <w:tblCellMar>
        <w:top w:w="0" w:type="dxa"/>
        <w:left w:w="0" w:type="dxa"/>
        <w:bottom w:w="0" w:type="dxa"/>
        <w:right w:w="0" w:type="dxa"/>
      </w:tblCellMar>
    </w:tblPr>
  </w:style>
  <w:style w:type="paragraph" w:styleId="Encabezado">
    <w:name w:val="header"/>
    <w:basedOn w:val="Normal"/>
    <w:qFormat/>
    <w:pPr>
      <w:tabs>
        <w:tab w:val="center" w:pos="4419"/>
        <w:tab w:val="right" w:pos="8838"/>
      </w:tabs>
    </w:pPr>
    <w:rPr>
      <w:rFonts w:ascii="Roman PS" w:eastAsia="Times New Roman" w:hAnsi="Roman PS"/>
      <w:sz w:val="20"/>
      <w:szCs w:val="20"/>
      <w:lang w:val="es-ES" w:eastAsia="es-CO"/>
    </w:rPr>
  </w:style>
  <w:style w:type="character" w:customStyle="1" w:styleId="EncabezadoCar">
    <w:name w:val="Encabezado Car"/>
    <w:rPr>
      <w:rFonts w:ascii="Roman PS" w:eastAsia="Times New Roman" w:hAnsi="Roman PS"/>
      <w:w w:val="100"/>
      <w:position w:val="-1"/>
      <w:effect w:val="none"/>
      <w:vertAlign w:val="baseline"/>
      <w:cs w:val="0"/>
      <w:em w:val="none"/>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7">
    <w:name w:val="27"/>
    <w:basedOn w:val="TableNormal1a"/>
    <w:tblPr>
      <w:tblStyleRowBandSize w:val="1"/>
      <w:tblStyleColBandSize w:val="1"/>
      <w:tblCellMar>
        <w:left w:w="70" w:type="dxa"/>
        <w:right w:w="70" w:type="dxa"/>
      </w:tblCellMar>
    </w:tblPr>
  </w:style>
  <w:style w:type="table" w:customStyle="1" w:styleId="26">
    <w:name w:val="26"/>
    <w:basedOn w:val="TableNormal1a"/>
    <w:tblPr>
      <w:tblStyleRowBandSize w:val="1"/>
      <w:tblStyleColBandSize w:val="1"/>
      <w:tblCellMar>
        <w:left w:w="70" w:type="dxa"/>
        <w:right w:w="70" w:type="dxa"/>
      </w:tblCellMar>
    </w:tblPr>
  </w:style>
  <w:style w:type="character" w:customStyle="1" w:styleId="Ninguno">
    <w:name w:val="Ninguno"/>
    <w:rsid w:val="00895400"/>
    <w:rPr>
      <w:lang w:val="es-ES_tradnl"/>
    </w:rPr>
  </w:style>
  <w:style w:type="table" w:customStyle="1" w:styleId="25">
    <w:name w:val="25"/>
    <w:basedOn w:val="TableNormal27"/>
    <w:tblPr>
      <w:tblStyleRowBandSize w:val="1"/>
      <w:tblStyleColBandSize w:val="1"/>
      <w:tblCellMar>
        <w:left w:w="70" w:type="dxa"/>
        <w:right w:w="70" w:type="dxa"/>
      </w:tblCellMar>
    </w:tblPr>
  </w:style>
  <w:style w:type="table" w:customStyle="1" w:styleId="24">
    <w:name w:val="24"/>
    <w:basedOn w:val="TableNormal30"/>
    <w:tblPr>
      <w:tblStyleRowBandSize w:val="1"/>
      <w:tblStyleColBandSize w:val="1"/>
      <w:tblCellMar>
        <w:left w:w="70" w:type="dxa"/>
        <w:right w:w="70" w:type="dxa"/>
      </w:tblCellMar>
    </w:tblPr>
  </w:style>
  <w:style w:type="table" w:customStyle="1" w:styleId="23">
    <w:name w:val="23"/>
    <w:basedOn w:val="TableNormal40"/>
    <w:tblPr>
      <w:tblStyleRowBandSize w:val="1"/>
      <w:tblStyleColBandSize w:val="1"/>
      <w:tblCellMar>
        <w:left w:w="70" w:type="dxa"/>
        <w:right w:w="70" w:type="dxa"/>
      </w:tblCellMar>
    </w:tblPr>
  </w:style>
  <w:style w:type="table" w:customStyle="1" w:styleId="22">
    <w:name w:val="22"/>
    <w:basedOn w:val="TableNormal50"/>
    <w:tblPr>
      <w:tblStyleRowBandSize w:val="1"/>
      <w:tblStyleColBandSize w:val="1"/>
      <w:tblCellMar>
        <w:left w:w="70" w:type="dxa"/>
        <w:right w:w="70" w:type="dxa"/>
      </w:tblCellMar>
    </w:tblPr>
  </w:style>
  <w:style w:type="table" w:customStyle="1" w:styleId="21">
    <w:name w:val="21"/>
    <w:basedOn w:val="TableNormal60"/>
    <w:tblPr>
      <w:tblStyleRowBandSize w:val="1"/>
      <w:tblStyleColBandSize w:val="1"/>
      <w:tblCellMar>
        <w:left w:w="70" w:type="dxa"/>
        <w:right w:w="70" w:type="dxa"/>
      </w:tblCellMar>
    </w:tblPr>
  </w:style>
  <w:style w:type="table" w:customStyle="1" w:styleId="20">
    <w:name w:val="20"/>
    <w:basedOn w:val="TableNormal70"/>
    <w:tblPr>
      <w:tblStyleRowBandSize w:val="1"/>
      <w:tblStyleColBandSize w:val="1"/>
      <w:tblCellMar>
        <w:left w:w="70" w:type="dxa"/>
        <w:right w:w="70" w:type="dxa"/>
      </w:tblCellMar>
    </w:tblPr>
  </w:style>
  <w:style w:type="table" w:customStyle="1" w:styleId="19">
    <w:name w:val="19"/>
    <w:basedOn w:val="TableNormal8"/>
    <w:tblPr>
      <w:tblStyleRowBandSize w:val="1"/>
      <w:tblStyleColBandSize w:val="1"/>
      <w:tblCellMar>
        <w:left w:w="70" w:type="dxa"/>
        <w:right w:w="70" w:type="dxa"/>
      </w:tblCellMar>
    </w:tblPr>
  </w:style>
  <w:style w:type="table" w:customStyle="1" w:styleId="18">
    <w:name w:val="18"/>
    <w:basedOn w:val="TableNormal9"/>
    <w:tblPr>
      <w:tblStyleRowBandSize w:val="1"/>
      <w:tblStyleColBandSize w:val="1"/>
      <w:tblCellMar>
        <w:left w:w="70" w:type="dxa"/>
        <w:right w:w="70" w:type="dxa"/>
      </w:tblCellMar>
    </w:tblPr>
  </w:style>
  <w:style w:type="table" w:customStyle="1" w:styleId="17">
    <w:name w:val="17"/>
    <w:basedOn w:val="TableNormal10"/>
    <w:tblPr>
      <w:tblStyleRowBandSize w:val="1"/>
      <w:tblStyleColBandSize w:val="1"/>
      <w:tblCellMar>
        <w:left w:w="70" w:type="dxa"/>
        <w:right w:w="70" w:type="dxa"/>
      </w:tblCellMar>
    </w:tblPr>
  </w:style>
  <w:style w:type="paragraph" w:styleId="Piedepgina">
    <w:name w:val="footer"/>
    <w:basedOn w:val="Normal"/>
    <w:link w:val="PiedepginaCar"/>
    <w:uiPriority w:val="99"/>
    <w:unhideWhenUsed/>
    <w:rsid w:val="002E43BF"/>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2E43BF"/>
    <w:rPr>
      <w:position w:val="-1"/>
      <w:lang w:eastAsia="en-US"/>
    </w:rPr>
  </w:style>
  <w:style w:type="table" w:customStyle="1" w:styleId="16">
    <w:name w:val="16"/>
    <w:basedOn w:val="TableNormal11"/>
    <w:tblPr>
      <w:tblStyleRowBandSize w:val="1"/>
      <w:tblStyleColBandSize w:val="1"/>
      <w:tblCellMar>
        <w:left w:w="70" w:type="dxa"/>
        <w:right w:w="70" w:type="dxa"/>
      </w:tblCellMar>
    </w:tblPr>
  </w:style>
  <w:style w:type="paragraph" w:styleId="Textonotapie">
    <w:name w:val="footnote text"/>
    <w:basedOn w:val="Normal"/>
    <w:link w:val="TextonotapieCar"/>
    <w:uiPriority w:val="99"/>
    <w:semiHidden/>
    <w:unhideWhenUsed/>
    <w:rsid w:val="006541CA"/>
    <w:pPr>
      <w:spacing w:line="240" w:lineRule="auto"/>
    </w:pPr>
    <w:rPr>
      <w:sz w:val="20"/>
      <w:szCs w:val="20"/>
    </w:rPr>
  </w:style>
  <w:style w:type="character" w:customStyle="1" w:styleId="TextonotapieCar">
    <w:name w:val="Texto nota pie Car"/>
    <w:basedOn w:val="Fuentedeprrafopredeter"/>
    <w:link w:val="Textonotapie"/>
    <w:uiPriority w:val="99"/>
    <w:semiHidden/>
    <w:rsid w:val="006541CA"/>
    <w:rPr>
      <w:position w:val="-1"/>
      <w:sz w:val="20"/>
      <w:szCs w:val="20"/>
      <w:lang w:eastAsia="en-US"/>
    </w:rPr>
  </w:style>
  <w:style w:type="character" w:styleId="Refdenotaalpie">
    <w:name w:val="footnote reference"/>
    <w:basedOn w:val="Fuentedeprrafopredeter"/>
    <w:uiPriority w:val="99"/>
    <w:semiHidden/>
    <w:unhideWhenUsed/>
    <w:rsid w:val="006541CA"/>
    <w:rPr>
      <w:vertAlign w:val="superscript"/>
    </w:rPr>
  </w:style>
  <w:style w:type="table" w:customStyle="1" w:styleId="15">
    <w:name w:val="15"/>
    <w:basedOn w:val="TableNormal12"/>
    <w:tblPr>
      <w:tblStyleRowBandSize w:val="1"/>
      <w:tblStyleColBandSize w:val="1"/>
      <w:tblCellMar>
        <w:left w:w="70" w:type="dxa"/>
        <w:right w:w="70" w:type="dxa"/>
      </w:tblCellMar>
    </w:tblPr>
  </w:style>
  <w:style w:type="table" w:customStyle="1" w:styleId="14">
    <w:name w:val="14"/>
    <w:basedOn w:val="TableNormal13"/>
    <w:tblPr>
      <w:tblStyleRowBandSize w:val="1"/>
      <w:tblStyleColBandSize w:val="1"/>
      <w:tblCellMar>
        <w:left w:w="70" w:type="dxa"/>
        <w:right w:w="70" w:type="dxa"/>
      </w:tblCellMar>
    </w:tblPr>
  </w:style>
  <w:style w:type="table" w:customStyle="1" w:styleId="13">
    <w:name w:val="13"/>
    <w:basedOn w:val="TableNormal14"/>
    <w:tblPr>
      <w:tblStyleRowBandSize w:val="1"/>
      <w:tblStyleColBandSize w:val="1"/>
      <w:tblCellMar>
        <w:left w:w="70" w:type="dxa"/>
        <w:right w:w="70" w:type="dxa"/>
      </w:tblCellMar>
    </w:tblPr>
  </w:style>
  <w:style w:type="table" w:customStyle="1" w:styleId="12">
    <w:name w:val="12"/>
    <w:basedOn w:val="TableNormal15"/>
    <w:tblPr>
      <w:tblStyleRowBandSize w:val="1"/>
      <w:tblStyleColBandSize w:val="1"/>
      <w:tblCellMar>
        <w:left w:w="70" w:type="dxa"/>
        <w:right w:w="70" w:type="dxa"/>
      </w:tblCellMar>
    </w:tblPr>
  </w:style>
  <w:style w:type="table" w:customStyle="1" w:styleId="11">
    <w:name w:val="11"/>
    <w:basedOn w:val="TableNormal16"/>
    <w:tblPr>
      <w:tblStyleRowBandSize w:val="1"/>
      <w:tblStyleColBandSize w:val="1"/>
      <w:tblCellMar>
        <w:left w:w="70" w:type="dxa"/>
        <w:right w:w="70" w:type="dxa"/>
      </w:tblCellMar>
    </w:tblPr>
  </w:style>
  <w:style w:type="table" w:customStyle="1" w:styleId="10">
    <w:name w:val="10"/>
    <w:basedOn w:val="TableNormal17"/>
    <w:tblPr>
      <w:tblStyleRowBandSize w:val="1"/>
      <w:tblStyleColBandSize w:val="1"/>
      <w:tblCellMar>
        <w:left w:w="70" w:type="dxa"/>
        <w:right w:w="70" w:type="dxa"/>
      </w:tblCellMar>
    </w:tblPr>
  </w:style>
  <w:style w:type="table" w:customStyle="1" w:styleId="9">
    <w:name w:val="9"/>
    <w:basedOn w:val="TableNormal18"/>
    <w:tblPr>
      <w:tblStyleRowBandSize w:val="1"/>
      <w:tblStyleColBandSize w:val="1"/>
      <w:tblCellMar>
        <w:left w:w="70" w:type="dxa"/>
        <w:right w:w="70" w:type="dxa"/>
      </w:tblCellMar>
    </w:tblPr>
  </w:style>
  <w:style w:type="paragraph" w:customStyle="1" w:styleId="CuerpoA">
    <w:name w:val="Cuerpo A"/>
    <w:rsid w:val="00C17057"/>
    <w:pPr>
      <w:ind w:firstLine="0"/>
    </w:pPr>
    <w:rPr>
      <w:rFonts w:ascii="Times New Roman" w:eastAsia="Arial Unicode MS" w:hAnsi="Times New Roman" w:cs="Arial Unicode MS"/>
      <w:color w:val="000000"/>
      <w:sz w:val="24"/>
      <w:szCs w:val="24"/>
      <w:u w:color="000000"/>
      <w:lang w:val="es-ES_tradnl"/>
    </w:rPr>
  </w:style>
  <w:style w:type="table" w:customStyle="1" w:styleId="8">
    <w:name w:val="8"/>
    <w:basedOn w:val="TableNormal19"/>
    <w:tblPr>
      <w:tblStyleRowBandSize w:val="1"/>
      <w:tblStyleColBandSize w:val="1"/>
      <w:tblCellMar>
        <w:left w:w="70" w:type="dxa"/>
        <w:right w:w="70" w:type="dxa"/>
      </w:tblCellMar>
    </w:tblPr>
  </w:style>
  <w:style w:type="table" w:customStyle="1" w:styleId="7">
    <w:name w:val="7"/>
    <w:basedOn w:val="TableNormal20"/>
    <w:tblPr>
      <w:tblStyleRowBandSize w:val="1"/>
      <w:tblStyleColBandSize w:val="1"/>
      <w:tblCellMar>
        <w:left w:w="70" w:type="dxa"/>
        <w:right w:w="70" w:type="dxa"/>
      </w:tblCellMar>
    </w:tblPr>
  </w:style>
  <w:style w:type="table" w:customStyle="1" w:styleId="6">
    <w:name w:val="6"/>
    <w:basedOn w:val="TableNormal21"/>
    <w:tblPr>
      <w:tblStyleRowBandSize w:val="1"/>
      <w:tblStyleColBandSize w:val="1"/>
      <w:tblCellMar>
        <w:left w:w="70" w:type="dxa"/>
        <w:right w:w="70" w:type="dxa"/>
      </w:tblCellMar>
    </w:tblPr>
  </w:style>
  <w:style w:type="table" w:customStyle="1" w:styleId="5">
    <w:name w:val="5"/>
    <w:basedOn w:val="TableNormal22"/>
    <w:tblPr>
      <w:tblStyleRowBandSize w:val="1"/>
      <w:tblStyleColBandSize w:val="1"/>
      <w:tblCellMar>
        <w:left w:w="70" w:type="dxa"/>
        <w:right w:w="70" w:type="dxa"/>
      </w:tblCellMar>
    </w:tblPr>
  </w:style>
  <w:style w:type="table" w:customStyle="1" w:styleId="4">
    <w:name w:val="4"/>
    <w:basedOn w:val="TableNormal23"/>
    <w:tblPr>
      <w:tblStyleRowBandSize w:val="1"/>
      <w:tblStyleColBandSize w:val="1"/>
      <w:tblCellMar>
        <w:left w:w="70" w:type="dxa"/>
        <w:right w:w="70" w:type="dxa"/>
      </w:tblCellMar>
    </w:tblPr>
  </w:style>
  <w:style w:type="table" w:customStyle="1" w:styleId="3">
    <w:name w:val="3"/>
    <w:basedOn w:val="TableNormal24"/>
    <w:tblPr>
      <w:tblStyleRowBandSize w:val="1"/>
      <w:tblStyleColBandSize w:val="1"/>
      <w:tblCellMar>
        <w:left w:w="70" w:type="dxa"/>
        <w:right w:w="70" w:type="dxa"/>
      </w:tblCellMar>
    </w:tblPr>
  </w:style>
  <w:style w:type="table" w:customStyle="1" w:styleId="2">
    <w:name w:val="2"/>
    <w:basedOn w:val="TableNormal25"/>
    <w:tblPr>
      <w:tblStyleRowBandSize w:val="1"/>
      <w:tblStyleColBandSize w:val="1"/>
      <w:tblCellMar>
        <w:left w:w="70" w:type="dxa"/>
        <w:right w:w="70" w:type="dxa"/>
      </w:tblCellMar>
    </w:tblPr>
  </w:style>
  <w:style w:type="paragraph" w:styleId="NormalWeb">
    <w:name w:val="Normal (Web)"/>
    <w:basedOn w:val="Normal"/>
    <w:uiPriority w:val="99"/>
    <w:unhideWhenUsed/>
    <w:rsid w:val="00046383"/>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eastAsia="es-CO"/>
    </w:rPr>
  </w:style>
  <w:style w:type="table" w:customStyle="1" w:styleId="1">
    <w:name w:val="1"/>
    <w:basedOn w:val="TableNormal26"/>
    <w:tblPr>
      <w:tblStyleRowBandSize w:val="1"/>
      <w:tblStyleColBandSize w:val="1"/>
      <w:tblCellMar>
        <w:left w:w="70" w:type="dxa"/>
        <w:right w:w="70" w:type="dxa"/>
      </w:tblCellMar>
    </w:tblPr>
  </w:style>
  <w:style w:type="table" w:customStyle="1" w:styleId="a">
    <w:basedOn w:val="TableNormal7"/>
    <w:tblPr>
      <w:tblStyleRowBandSize w:val="1"/>
      <w:tblStyleColBandSize w:val="1"/>
      <w:tblCellMar>
        <w:left w:w="70" w:type="dxa"/>
        <w:right w:w="70" w:type="dxa"/>
      </w:tblCellMar>
    </w:tblPr>
  </w:style>
  <w:style w:type="table" w:customStyle="1" w:styleId="a0">
    <w:basedOn w:val="TableNormal6"/>
    <w:tblPr>
      <w:tblStyleRowBandSize w:val="1"/>
      <w:tblStyleColBandSize w:val="1"/>
      <w:tblCellMar>
        <w:left w:w="70" w:type="dxa"/>
        <w:right w:w="70" w:type="dxa"/>
      </w:tblCellMar>
    </w:tblPr>
  </w:style>
  <w:style w:type="table" w:customStyle="1" w:styleId="a1">
    <w:basedOn w:val="TableNormal5"/>
    <w:tblPr>
      <w:tblStyleRowBandSize w:val="1"/>
      <w:tblStyleColBandSize w:val="1"/>
      <w:tblCellMar>
        <w:left w:w="70" w:type="dxa"/>
        <w:right w:w="70" w:type="dxa"/>
      </w:tblCellMar>
    </w:tblPr>
  </w:style>
  <w:style w:type="table" w:customStyle="1" w:styleId="a2">
    <w:basedOn w:val="TableNormal4"/>
    <w:tblPr>
      <w:tblStyleRowBandSize w:val="1"/>
      <w:tblStyleColBandSize w:val="1"/>
      <w:tblCellMar>
        <w:left w:w="70" w:type="dxa"/>
        <w:right w:w="70" w:type="dxa"/>
      </w:tblCellMar>
    </w:tblPr>
  </w:style>
  <w:style w:type="table" w:styleId="Tablaconcuadrcula">
    <w:name w:val="Table Grid"/>
    <w:basedOn w:val="Tablanormal"/>
    <w:uiPriority w:val="39"/>
    <w:rsid w:val="0031252D"/>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3">
    <w:basedOn w:val="TableNormal3"/>
    <w:tblPr>
      <w:tblStyleRowBandSize w:val="1"/>
      <w:tblStyleColBandSize w:val="1"/>
      <w:tblCellMar>
        <w:left w:w="70" w:type="dxa"/>
        <w:right w:w="70" w:type="dxa"/>
      </w:tblCellMar>
    </w:tblPr>
  </w:style>
  <w:style w:type="table" w:customStyle="1" w:styleId="a4">
    <w:basedOn w:val="TableNormal2"/>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position w:val="-1"/>
      <w:sz w:val="20"/>
      <w:szCs w:val="20"/>
      <w:lang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5266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266F"/>
    <w:rPr>
      <w:rFonts w:ascii="Segoe UI" w:hAnsi="Segoe UI" w:cs="Segoe UI"/>
      <w:position w:val="-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HhDCpjnbtGHSdb+3jS8gV/5KZRA==">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DA1FE03-B74A-44FE-BB33-BF42E441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1406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Rama Judicial</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Mery</dc:creator>
  <cp:lastModifiedBy>LUZ MERY MARTINEZ RODRIGUEZ</cp:lastModifiedBy>
  <cp:revision>2</cp:revision>
  <dcterms:created xsi:type="dcterms:W3CDTF">2023-03-21T20:46:00Z</dcterms:created>
  <dcterms:modified xsi:type="dcterms:W3CDTF">2023-03-21T20:46:00Z</dcterms:modified>
</cp:coreProperties>
</file>