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Pr>
        <w:drawing>
          <wp:anchor allowOverlap="1" behindDoc="1" distB="0" distT="0" distL="0" distR="0" hidden="0" layoutInCell="1" locked="0" relativeHeight="0" simplePos="0">
            <wp:simplePos x="0" y="0"/>
            <wp:positionH relativeFrom="page">
              <wp:posOffset>2786063</wp:posOffset>
            </wp:positionH>
            <wp:positionV relativeFrom="page">
              <wp:posOffset>80010</wp:posOffset>
            </wp:positionV>
            <wp:extent cx="2200275" cy="1247775"/>
            <wp:effectExtent b="0" l="0" r="0" t="0"/>
            <wp:wrapNone/>
            <wp:docPr id="1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0275" cy="1247775"/>
                    </a:xfrm>
                    <a:prstGeom prst="rect"/>
                    <a:ln/>
                  </pic:spPr>
                </pic:pic>
              </a:graphicData>
            </a:graphic>
          </wp:anchor>
        </w:drawing>
      </w:r>
      <w:r w:rsidDel="00000000" w:rsidR="00000000" w:rsidRPr="00000000">
        <w:rPr>
          <w:rFonts w:ascii="Century Gothic" w:cs="Century Gothic" w:eastAsia="Century Gothic" w:hAnsi="Century Gothic"/>
          <w:b w:val="1"/>
          <w:sz w:val="24"/>
          <w:szCs w:val="24"/>
          <w:rtl w:val="0"/>
        </w:rPr>
        <w:t xml:space="preserve">Índice 114</w:t>
      </w:r>
    </w:p>
    <w:p w:rsidR="00000000" w:rsidDel="00000000" w:rsidP="00000000" w:rsidRDefault="00000000" w:rsidRPr="00000000" w14:paraId="00000002">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CONSEJO DE ESTADO</w:t>
      </w:r>
    </w:p>
    <w:p w:rsidR="00000000" w:rsidDel="00000000" w:rsidP="00000000" w:rsidRDefault="00000000" w:rsidRPr="00000000" w14:paraId="00000003">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SALA DE LO CONTENCIOSO ADMINISTRATIVO</w:t>
      </w:r>
    </w:p>
    <w:p w:rsidR="00000000" w:rsidDel="00000000" w:rsidP="00000000" w:rsidRDefault="00000000" w:rsidRPr="00000000" w14:paraId="00000004">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SECCIÓN TERCERA</w:t>
      </w:r>
    </w:p>
    <w:p w:rsidR="00000000" w:rsidDel="00000000" w:rsidP="00000000" w:rsidRDefault="00000000" w:rsidRPr="00000000" w14:paraId="00000005">
      <w:pPr>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SECRETARÍA</w:t>
      </w:r>
      <w:r w:rsidDel="00000000" w:rsidR="00000000" w:rsidRPr="00000000">
        <w:rPr>
          <w:rtl w:val="0"/>
        </w:rPr>
      </w:r>
    </w:p>
    <w:p w:rsidR="00000000" w:rsidDel="00000000" w:rsidP="00000000" w:rsidRDefault="00000000" w:rsidRPr="00000000" w14:paraId="00000006">
      <w:pPr>
        <w:rPr>
          <w:rFonts w:ascii="Century Gothic" w:cs="Century Gothic" w:eastAsia="Century Gothic" w:hAnsi="Century Gothic"/>
          <w:b w:val="1"/>
          <w:sz w:val="24"/>
          <w:szCs w:val="24"/>
        </w:rPr>
      </w:pPr>
      <w:r w:rsidDel="00000000" w:rsidR="00000000" w:rsidRPr="00000000">
        <w:rPr>
          <w:rtl w:val="0"/>
        </w:rPr>
      </w:r>
    </w:p>
    <w:tbl>
      <w:tblPr>
        <w:tblStyle w:val="Table1"/>
        <w:tblW w:w="8766.0" w:type="dxa"/>
        <w:jc w:val="center"/>
        <w:tblBorders>
          <w:top w:color="000000" w:space="0" w:sz="6" w:val="single"/>
          <w:left w:color="000000" w:space="0" w:sz="6" w:val="single"/>
          <w:bottom w:color="000000" w:space="0" w:sz="6" w:val="single"/>
          <w:right w:color="000000" w:space="0" w:sz="6" w:val="single"/>
        </w:tblBorders>
        <w:tblLayout w:type="fixed"/>
        <w:tblLook w:val="0000"/>
      </w:tblPr>
      <w:tblGrid>
        <w:gridCol w:w="8766"/>
        <w:tblGridChange w:id="0">
          <w:tblGrid>
            <w:gridCol w:w="8766"/>
          </w:tblGrid>
        </w:tblGridChange>
      </w:tblGrid>
      <w:tr>
        <w:trPr>
          <w:cantSplit w:val="0"/>
          <w:trHeight w:val="135" w:hRule="atLeast"/>
          <w:tblHeader w:val="0"/>
        </w:trPr>
        <w:tc>
          <w:tcPr>
            <w:shd w:fill="cccccc" w:val="clear"/>
          </w:tcPr>
          <w:p w:rsidR="00000000" w:rsidDel="00000000" w:rsidP="00000000" w:rsidRDefault="00000000" w:rsidRPr="00000000" w14:paraId="00000007">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REF:</w:t>
              <w:tab/>
              <w:t xml:space="preserve">EXPEDIENTE N° 76001333100020080035101 (58066) </w:t>
            </w:r>
          </w:p>
        </w:tc>
      </w:tr>
    </w:tbl>
    <w:p w:rsidR="00000000" w:rsidDel="00000000" w:rsidP="00000000" w:rsidRDefault="00000000" w:rsidRPr="00000000" w14:paraId="00000008">
      <w:pP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hanging="2"/>
        <w:jc w:val="both"/>
        <w:rPr>
          <w:rFonts w:ascii="Times New Roman" w:cs="Times New Roman" w:eastAsia="Times New Roman" w:hAnsi="Times New Roman"/>
          <w:color w:val="000000"/>
          <w:sz w:val="24"/>
          <w:szCs w:val="24"/>
        </w:rPr>
      </w:pPr>
      <w:bookmarkStart w:colFirst="0" w:colLast="0" w:name="_heading=h.30j0zll" w:id="0"/>
      <w:bookmarkEnd w:id="0"/>
      <w:r w:rsidDel="00000000" w:rsidR="00000000" w:rsidRPr="00000000">
        <w:rPr>
          <w:rFonts w:ascii="Century Gothic" w:cs="Century Gothic" w:eastAsia="Century Gothic" w:hAnsi="Century Gothic"/>
          <w:sz w:val="24"/>
          <w:szCs w:val="24"/>
          <w:rtl w:val="0"/>
        </w:rPr>
        <w:t xml:space="preserve">Al Despacho del Magistrado </w:t>
      </w:r>
      <w:r w:rsidDel="00000000" w:rsidR="00000000" w:rsidRPr="00000000">
        <w:rPr>
          <w:rFonts w:ascii="Century Gothic" w:cs="Century Gothic" w:eastAsia="Century Gothic" w:hAnsi="Century Gothic"/>
          <w:b w:val="1"/>
          <w:sz w:val="24"/>
          <w:szCs w:val="24"/>
          <w:rtl w:val="0"/>
        </w:rPr>
        <w:t xml:space="preserve">FREDY IBARRA MARTÍNEZ</w:t>
      </w:r>
      <w:r w:rsidDel="00000000" w:rsidR="00000000" w:rsidRPr="00000000">
        <w:rPr>
          <w:rFonts w:ascii="Century Gothic" w:cs="Century Gothic" w:eastAsia="Century Gothic" w:hAnsi="Century Gothic"/>
          <w:sz w:val="24"/>
          <w:szCs w:val="24"/>
          <w:rtl w:val="0"/>
        </w:rPr>
        <w:t xml:space="preserve"> hoy 4 de julio de 2023, </w:t>
      </w:r>
      <w:r w:rsidDel="00000000" w:rsidR="00000000" w:rsidRPr="00000000">
        <w:rPr>
          <w:rFonts w:ascii="Century Gothic" w:cs="Century Gothic" w:eastAsia="Century Gothic" w:hAnsi="Century Gothic"/>
          <w:color w:val="000000"/>
          <w:sz w:val="24"/>
          <w:szCs w:val="24"/>
          <w:rtl w:val="0"/>
        </w:rPr>
        <w:t xml:space="preserve">informando que el auto visible en el índice 106 de SAMAI, se incluyó en estado electrónico del 16 de mayo de 2023 (índice 108 SAMAI) y su término de ejecutoria corrió desde el 17 hasta el 19 de mayo de 2022. </w:t>
      </w:r>
      <w:r w:rsidDel="00000000" w:rsidR="00000000" w:rsidRPr="00000000">
        <w:rPr>
          <w:rtl w:val="0"/>
        </w:rPr>
      </w:r>
    </w:p>
    <w:p w:rsidR="00000000" w:rsidDel="00000000" w:rsidP="00000000" w:rsidRDefault="00000000" w:rsidRPr="00000000" w14:paraId="0000000A">
      <w:pPr>
        <w:ind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B">
      <w:pPr>
        <w:ind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Del mismo modo se informa que se remitieron correos electrónicos informativos visibles en índice 109 de SAMAI.</w:t>
      </w:r>
    </w:p>
    <w:p w:rsidR="00000000" w:rsidDel="00000000" w:rsidP="00000000" w:rsidRDefault="00000000" w:rsidRPr="00000000" w14:paraId="0000000C">
      <w:pPr>
        <w:ind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D">
      <w:pPr>
        <w:ind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Con el fin de dar cumplimiento al auto mencionado, los días 26 de mayo y 13 de junio de 2023, se ofició a La Previsora S. A. Compañía de Seguros para que remitiera copia del documento expedido el 3 de febrero de 2009, mediante el cual esa entidad supuestamente manifestó que se omitió pagar las primas de las pólizas de seguros de vida de los diputados del Valle del Cauca. Sin embargo, hasta la fecha no se ha manifestado al respecto (índices 110 a 113 SAMAI).  </w:t>
      </w:r>
    </w:p>
    <w:p w:rsidR="00000000" w:rsidDel="00000000" w:rsidP="00000000" w:rsidRDefault="00000000" w:rsidRPr="00000000" w14:paraId="0000000E">
      <w:pPr>
        <w:ind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F">
      <w:pPr>
        <w:ind w:hanging="2"/>
        <w:jc w:val="both"/>
        <w:rPr>
          <w:rFonts w:ascii="Century Gothic" w:cs="Century Gothic" w:eastAsia="Century Gothic" w:hAnsi="Century Gothic"/>
          <w:sz w:val="24"/>
          <w:szCs w:val="24"/>
        </w:rPr>
      </w:pPr>
      <w:bookmarkStart w:colFirst="0" w:colLast="0" w:name="_heading=h.1fob9te" w:id="1"/>
      <w:bookmarkEnd w:id="1"/>
      <w:r w:rsidDel="00000000" w:rsidR="00000000" w:rsidRPr="00000000">
        <w:rPr>
          <w:rFonts w:ascii="Century Gothic" w:cs="Century Gothic" w:eastAsia="Century Gothic" w:hAnsi="Century Gothic"/>
          <w:sz w:val="24"/>
          <w:szCs w:val="24"/>
          <w:rtl w:val="0"/>
        </w:rPr>
        <w:t xml:space="preserve">Sin otro particular, el proceso ingresa al despacho para proveer respecto del silencio guardado por La Previsora S. A. Compañía de Seguros.</w:t>
      </w:r>
    </w:p>
    <w:p w:rsidR="00000000" w:rsidDel="00000000" w:rsidP="00000000" w:rsidRDefault="00000000" w:rsidRPr="00000000" w14:paraId="00000010">
      <w:pPr>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11">
      <w:pPr>
        <w:ind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La Oficial Mayor,</w:t>
      </w:r>
    </w:p>
    <w:p w:rsidR="00000000" w:rsidDel="00000000" w:rsidP="00000000" w:rsidRDefault="00000000" w:rsidRPr="00000000" w14:paraId="00000012">
      <w:pPr>
        <w:ind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3">
      <w:pPr>
        <w:ind w:hanging="2"/>
        <w:jc w:val="both"/>
        <w:rPr>
          <w:rFonts w:ascii="Century Gothic" w:cs="Century Gothic" w:eastAsia="Century Gothic" w:hAnsi="Century Gothic"/>
          <w:sz w:val="23"/>
          <w:szCs w:val="23"/>
        </w:rPr>
      </w:pPr>
      <w:r w:rsidDel="00000000" w:rsidR="00000000" w:rsidRPr="00000000">
        <w:rPr>
          <w:rtl w:val="0"/>
        </w:rPr>
      </w:r>
    </w:p>
    <w:p w:rsidR="00000000" w:rsidDel="00000000" w:rsidP="00000000" w:rsidRDefault="00000000" w:rsidRPr="00000000" w14:paraId="00000014">
      <w:pPr>
        <w:ind w:hanging="2"/>
        <w:jc w:val="both"/>
        <w:rPr>
          <w:rFonts w:ascii="Century Gothic" w:cs="Century Gothic" w:eastAsia="Century Gothic" w:hAnsi="Century Gothic"/>
          <w:sz w:val="23"/>
          <w:szCs w:val="23"/>
        </w:rPr>
      </w:pPr>
      <w:r w:rsidDel="00000000" w:rsidR="00000000" w:rsidRPr="00000000">
        <w:rPr>
          <w:rtl w:val="0"/>
        </w:rPr>
      </w:r>
    </w:p>
    <w:p w:rsidR="00000000" w:rsidDel="00000000" w:rsidP="00000000" w:rsidRDefault="00000000" w:rsidRPr="00000000" w14:paraId="00000015">
      <w:pPr>
        <w:ind w:hanging="2"/>
        <w:jc w:val="center"/>
        <w:rPr>
          <w:rFonts w:ascii="Century Gothic" w:cs="Century Gothic" w:eastAsia="Century Gothic" w:hAnsi="Century Gothic"/>
          <w:b w:val="1"/>
          <w:sz w:val="23"/>
          <w:szCs w:val="23"/>
        </w:rPr>
      </w:pPr>
      <w:r w:rsidDel="00000000" w:rsidR="00000000" w:rsidRPr="00000000">
        <w:rPr>
          <w:rFonts w:ascii="Century Gothic" w:cs="Century Gothic" w:eastAsia="Century Gothic" w:hAnsi="Century Gothic"/>
          <w:b w:val="1"/>
          <w:sz w:val="23"/>
          <w:szCs w:val="23"/>
          <w:rtl w:val="0"/>
        </w:rPr>
        <w:t xml:space="preserve">Leidy Johanna Gil Muñoz</w:t>
      </w:r>
    </w:p>
    <w:p w:rsidR="00000000" w:rsidDel="00000000" w:rsidP="00000000" w:rsidRDefault="00000000" w:rsidRPr="00000000" w14:paraId="00000016">
      <w:pPr>
        <w:ind w:hanging="2"/>
        <w:jc w:val="both"/>
        <w:rPr>
          <w:rFonts w:ascii="Century Gothic" w:cs="Century Gothic" w:eastAsia="Century Gothic" w:hAnsi="Century Gothic"/>
          <w:b w:val="1"/>
          <w:sz w:val="23"/>
          <w:szCs w:val="23"/>
        </w:rPr>
      </w:pPr>
      <w:r w:rsidDel="00000000" w:rsidR="00000000" w:rsidRPr="00000000">
        <w:rPr>
          <w:rtl w:val="0"/>
        </w:rPr>
      </w:r>
    </w:p>
    <w:p w:rsidR="00000000" w:rsidDel="00000000" w:rsidP="00000000" w:rsidRDefault="00000000" w:rsidRPr="00000000" w14:paraId="00000017">
      <w:pPr>
        <w:ind w:hanging="2"/>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gyrc</w:t>
      </w:r>
    </w:p>
    <w:sectPr>
      <w:headerReference r:id="rId8" w:type="default"/>
      <w:pgSz w:h="18722" w:w="12242" w:orient="portrait"/>
      <w:pgMar w:bottom="1701" w:top="1701"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Roman P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419"/>
        <w:tab w:val="right" w:leader="none" w:pos="8838"/>
      </w:tabs>
      <w:rPr>
        <w:rFonts w:ascii="Roman PS" w:cs="Roman PS" w:eastAsia="Roman PS" w:hAnsi="Roman PS"/>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en-US"/>
    </w:r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360723"/>
    <w:pPr>
      <w:tabs>
        <w:tab w:val="center" w:pos="4419"/>
        <w:tab w:val="right" w:pos="8838"/>
      </w:tabs>
    </w:pPr>
    <w:rPr>
      <w:rFonts w:ascii="Roman PS" w:eastAsia="Times New Roman" w:hAnsi="Roman PS"/>
      <w:sz w:val="20"/>
      <w:szCs w:val="20"/>
      <w:lang w:eastAsia="es-CO" w:val="es-ES_tradnl"/>
    </w:rPr>
  </w:style>
  <w:style w:type="character" w:styleId="EncabezadoCar" w:customStyle="1">
    <w:name w:val="Encabezado Car"/>
    <w:link w:val="Encabezado"/>
    <w:uiPriority w:val="99"/>
    <w:rsid w:val="00360723"/>
    <w:rPr>
      <w:rFonts w:ascii="Roman PS" w:eastAsia="Times New Roman" w:hAnsi="Roman PS"/>
      <w:lang w:val="es-ES_tradnl"/>
    </w:rPr>
  </w:style>
  <w:style w:type="paragraph" w:styleId="Piedepgina">
    <w:name w:val="footer"/>
    <w:basedOn w:val="Normal"/>
    <w:link w:val="PiedepginaCar"/>
    <w:uiPriority w:val="99"/>
    <w:unhideWhenUsed w:val="1"/>
    <w:rsid w:val="00ED7924"/>
    <w:pPr>
      <w:tabs>
        <w:tab w:val="center" w:pos="4419"/>
        <w:tab w:val="right" w:pos="8838"/>
      </w:tabs>
    </w:pPr>
  </w:style>
  <w:style w:type="character" w:styleId="PiedepginaCar" w:customStyle="1">
    <w:name w:val="Pie de página Car"/>
    <w:basedOn w:val="Fuentedeprrafopredeter"/>
    <w:link w:val="Piedepgina"/>
    <w:uiPriority w:val="99"/>
    <w:rsid w:val="00ED7924"/>
    <w:rPr>
      <w:sz w:val="22"/>
      <w:szCs w:val="22"/>
      <w:lang w:eastAsia="en-US" w:val="es-CO"/>
    </w:rPr>
  </w:style>
  <w:style w:type="paragraph" w:styleId="Textonotapie">
    <w:name w:val="footnote text"/>
    <w:basedOn w:val="Normal"/>
    <w:link w:val="TextonotapieCar"/>
    <w:uiPriority w:val="99"/>
    <w:semiHidden w:val="1"/>
    <w:unhideWhenUsed w:val="1"/>
    <w:rsid w:val="00064608"/>
    <w:rPr>
      <w:sz w:val="20"/>
      <w:szCs w:val="20"/>
    </w:rPr>
  </w:style>
  <w:style w:type="character" w:styleId="TextonotapieCar" w:customStyle="1">
    <w:name w:val="Texto nota pie Car"/>
    <w:basedOn w:val="Fuentedeprrafopredeter"/>
    <w:link w:val="Textonotapie"/>
    <w:uiPriority w:val="99"/>
    <w:semiHidden w:val="1"/>
    <w:rsid w:val="00064608"/>
    <w:rPr>
      <w:lang w:eastAsia="en-US" w:val="es-CO"/>
    </w:rPr>
  </w:style>
  <w:style w:type="character" w:styleId="Refdenotaalpie">
    <w:name w:val="footnote reference"/>
    <w:basedOn w:val="Fuentedeprrafopredeter"/>
    <w:uiPriority w:val="99"/>
    <w:semiHidden w:val="1"/>
    <w:unhideWhenUsed w:val="1"/>
    <w:rsid w:val="00064608"/>
    <w:rPr>
      <w:vertAlign w:val="superscript"/>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e"/>
    <w:tblPr>
      <w:tblStyleRowBandSize w:val="1"/>
      <w:tblStyleColBandSize w:val="1"/>
      <w:tblCellMar>
        <w:left w:w="70.0" w:type="dxa"/>
        <w:right w:w="70.0" w:type="dxa"/>
      </w:tblCellMar>
    </w:tblPr>
  </w:style>
  <w:style w:type="table" w:styleId="a0" w:customStyle="1">
    <w:basedOn w:val="TableNormale"/>
    <w:tblPr>
      <w:tblStyleRowBandSize w:val="1"/>
      <w:tblStyleColBandSize w:val="1"/>
      <w:tblCellMar>
        <w:left w:w="70.0" w:type="dxa"/>
        <w:right w:w="70.0" w:type="dxa"/>
      </w:tblCellMar>
    </w:tblPr>
  </w:style>
  <w:style w:type="table" w:styleId="a1" w:customStyle="1">
    <w:basedOn w:val="TableNormald"/>
    <w:tblPr>
      <w:tblStyleRowBandSize w:val="1"/>
      <w:tblStyleColBandSize w:val="1"/>
      <w:tblCellMar>
        <w:left w:w="70.0" w:type="dxa"/>
        <w:right w:w="70.0" w:type="dxa"/>
      </w:tblCellMar>
    </w:tblPr>
  </w:style>
  <w:style w:type="table" w:styleId="a2" w:customStyle="1">
    <w:basedOn w:val="TableNormalc"/>
    <w:tblPr>
      <w:tblStyleRowBandSize w:val="1"/>
      <w:tblStyleColBandSize w:val="1"/>
      <w:tblCellMar>
        <w:left w:w="70.0" w:type="dxa"/>
        <w:right w:w="70.0" w:type="dxa"/>
      </w:tblCellMar>
    </w:tblPr>
  </w:style>
  <w:style w:type="table" w:styleId="Tablaconcuadrcula">
    <w:name w:val="Table Grid"/>
    <w:basedOn w:val="Tablanormal"/>
    <w:uiPriority w:val="39"/>
    <w:rsid w:val="006D6CF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3" w:customStyle="1">
    <w:basedOn w:val="TableNormalb"/>
    <w:tblPr>
      <w:tblStyleRowBandSize w:val="1"/>
      <w:tblStyleColBandSize w:val="1"/>
      <w:tblCellMar>
        <w:left w:w="70.0" w:type="dxa"/>
        <w:right w:w="70.0" w:type="dxa"/>
      </w:tblCellMar>
    </w:tblPr>
  </w:style>
  <w:style w:type="table" w:styleId="a4" w:customStyle="1">
    <w:basedOn w:val="TableNormalb"/>
    <w:tblPr>
      <w:tblStyleRowBandSize w:val="1"/>
      <w:tblStyleColBandSize w:val="1"/>
      <w:tblCellMar>
        <w:left w:w="108.0" w:type="dxa"/>
        <w:right w:w="108.0" w:type="dxa"/>
      </w:tblCellMar>
    </w:tblPr>
  </w:style>
  <w:style w:type="table" w:styleId="a5" w:customStyle="1">
    <w:basedOn w:val="TableNormala"/>
    <w:tblPr>
      <w:tblStyleRowBandSize w:val="1"/>
      <w:tblStyleColBandSize w:val="1"/>
      <w:tblCellMar>
        <w:left w:w="108.0" w:type="dxa"/>
        <w:right w:w="108.0" w:type="dxa"/>
      </w:tblCellMar>
    </w:tblPr>
  </w:style>
  <w:style w:type="table" w:styleId="a6" w:customStyle="1">
    <w:basedOn w:val="TableNormala"/>
    <w:tblPr>
      <w:tblStyleRowBandSize w:val="1"/>
      <w:tblStyleColBandSize w:val="1"/>
      <w:tblCellMar>
        <w:left w:w="108.0" w:type="dxa"/>
        <w:right w:w="108.0" w:type="dxa"/>
      </w:tblCellMar>
    </w:tblPr>
  </w:style>
  <w:style w:type="table" w:styleId="a7" w:customStyle="1">
    <w:basedOn w:val="TableNormal9"/>
    <w:tblPr>
      <w:tblStyleRowBandSize w:val="1"/>
      <w:tblStyleColBandSize w:val="1"/>
      <w:tblCellMar>
        <w:left w:w="108.0" w:type="dxa"/>
        <w:right w:w="108.0" w:type="dxa"/>
      </w:tblCellMar>
    </w:tblPr>
  </w:style>
  <w:style w:type="table" w:styleId="a8" w:customStyle="1">
    <w:basedOn w:val="TableNormal9"/>
    <w:tblPr>
      <w:tblStyleRowBandSize w:val="1"/>
      <w:tblStyleColBandSize w:val="1"/>
      <w:tblCellMar>
        <w:left w:w="108.0" w:type="dxa"/>
        <w:right w:w="108.0" w:type="dxa"/>
      </w:tblCellMar>
    </w:tblPr>
  </w:style>
  <w:style w:type="character" w:styleId="Hipervnculo">
    <w:name w:val="Hyperlink"/>
    <w:basedOn w:val="Fuentedeprrafopredeter"/>
    <w:uiPriority w:val="99"/>
    <w:unhideWhenUsed w:val="1"/>
    <w:rsid w:val="002836F4"/>
    <w:rPr>
      <w:color w:val="0563c1" w:themeColor="hyperlink"/>
      <w:u w:val="single"/>
    </w:rPr>
  </w:style>
  <w:style w:type="character" w:styleId="Mencinsinresolver">
    <w:name w:val="Unresolved Mention"/>
    <w:basedOn w:val="Fuentedeprrafopredeter"/>
    <w:uiPriority w:val="99"/>
    <w:semiHidden w:val="1"/>
    <w:unhideWhenUsed w:val="1"/>
    <w:rsid w:val="002836F4"/>
    <w:rPr>
      <w:color w:val="605e5c"/>
      <w:shd w:color="auto" w:fill="e1dfdd" w:val="clear"/>
    </w:rPr>
  </w:style>
  <w:style w:type="table" w:styleId="a9" w:customStyle="1">
    <w:basedOn w:val="TableNormal8"/>
    <w:tblPr>
      <w:tblStyleRowBandSize w:val="1"/>
      <w:tblStyleColBandSize w:val="1"/>
      <w:tblCellMar>
        <w:left w:w="108.0" w:type="dxa"/>
        <w:right w:w="108.0" w:type="dxa"/>
      </w:tblCellMar>
    </w:tblPr>
  </w:style>
  <w:style w:type="paragraph" w:styleId="NormalWeb">
    <w:name w:val="Normal (Web)"/>
    <w:basedOn w:val="Normal"/>
    <w:uiPriority w:val="99"/>
    <w:unhideWhenUsed w:val="1"/>
    <w:rsid w:val="00A32A05"/>
    <w:pPr>
      <w:spacing w:after="100" w:afterAutospacing="1" w:before="100" w:beforeAutospacing="1"/>
    </w:pPr>
    <w:rPr>
      <w:rFonts w:ascii="Times New Roman" w:cs="Times New Roman" w:eastAsia="Times New Roman" w:hAnsi="Times New Roman"/>
      <w:sz w:val="24"/>
      <w:szCs w:val="24"/>
      <w:lang w:eastAsia="es-CO"/>
    </w:rPr>
  </w:style>
  <w:style w:type="table" w:styleId="aa" w:customStyle="1">
    <w:basedOn w:val="TableNormal7"/>
    <w:tblPr>
      <w:tblStyleRowBandSize w:val="1"/>
      <w:tblStyleColBandSize w:val="1"/>
      <w:tblCellMar>
        <w:left w:w="108.0" w:type="dxa"/>
        <w:right w:w="108.0" w:type="dxa"/>
      </w:tblCellMar>
    </w:tblPr>
  </w:style>
  <w:style w:type="table" w:styleId="ab" w:customStyle="1">
    <w:basedOn w:val="TableNormal6"/>
    <w:tblPr>
      <w:tblStyleRowBandSize w:val="1"/>
      <w:tblStyleColBandSize w:val="1"/>
      <w:tblCellMar>
        <w:left w:w="108.0" w:type="dxa"/>
        <w:right w:w="108.0" w:type="dxa"/>
      </w:tblCellMar>
    </w:tblPr>
  </w:style>
  <w:style w:type="table" w:styleId="ac" w:customStyle="1">
    <w:basedOn w:val="TableNormal5"/>
    <w:tblPr>
      <w:tblStyleRowBandSize w:val="1"/>
      <w:tblStyleColBandSize w:val="1"/>
      <w:tblCellMar>
        <w:left w:w="108.0" w:type="dxa"/>
        <w:right w:w="108.0" w:type="dxa"/>
      </w:tblCellMar>
    </w:tblPr>
  </w:style>
  <w:style w:type="table" w:styleId="ad" w:customStyle="1">
    <w:basedOn w:val="TableNormal5"/>
    <w:tblPr>
      <w:tblStyleRowBandSize w:val="1"/>
      <w:tblStyleColBandSize w:val="1"/>
      <w:tblCellMar>
        <w:left w:w="108.0" w:type="dxa"/>
        <w:right w:w="108.0" w:type="dxa"/>
      </w:tblCellMar>
    </w:tblPr>
  </w:style>
  <w:style w:type="table" w:styleId="ae" w:customStyle="1">
    <w:basedOn w:val="TableNormal5"/>
    <w:tblPr>
      <w:tblStyleRowBandSize w:val="1"/>
      <w:tblStyleColBandSize w:val="1"/>
      <w:tblCellMar>
        <w:left w:w="108.0" w:type="dxa"/>
        <w:right w:w="108.0" w:type="dxa"/>
      </w:tblCellMar>
    </w:tblPr>
  </w:style>
  <w:style w:type="table" w:styleId="af" w:customStyle="1">
    <w:basedOn w:val="TableNormal2"/>
    <w:tblPr>
      <w:tblStyleRowBandSize w:val="1"/>
      <w:tblStyleColBandSize w:val="1"/>
      <w:tblCellMar>
        <w:left w:w="108.0" w:type="dxa"/>
        <w:right w:w="108.0" w:type="dxa"/>
      </w:tblCellMar>
    </w:tblPr>
  </w:style>
  <w:style w:type="table" w:styleId="af0" w:customStyle="1">
    <w:basedOn w:val="TableNormal1"/>
    <w:tblPr>
      <w:tblStyleRowBandSize w:val="1"/>
      <w:tblStyleColBandSize w:val="1"/>
      <w:tblCellMar>
        <w:left w:w="108.0" w:type="dxa"/>
        <w:right w:w="108.0" w:type="dxa"/>
      </w:tblCellMar>
    </w:tblPr>
  </w:style>
  <w:style w:type="table" w:styleId="af1"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ayyBmPdiC2dJ+y2qORKPmmjPag==">CgMxLjAyCWguMzBqMHpsbDIJaC4xZm9iOXRlOAByITFEQWhIb1hrenlOaWtad2ZySFlxQTRSVG9WVWFkMEhVUA==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2023-06-29T18:08:00Z</dcterms:created>
  <dc:creator>ANDREA CAICEDO</dc:creator>
</cp:coreProperties>
</file>