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86419" w:rsidRDefault="00C2017B">
      <w:pPr>
        <w:ind w:left="1" w:hanging="3"/>
        <w:jc w:val="center"/>
        <w:rPr>
          <w:rFonts w:ascii="Century Gothic" w:eastAsia="Century Gothic" w:hAnsi="Century Gothic" w:cs="Century Gothic"/>
          <w:sz w:val="26"/>
          <w:szCs w:val="26"/>
        </w:rPr>
      </w:pPr>
      <w:r>
        <w:rPr>
          <w:rFonts w:ascii="Century Gothic" w:eastAsia="Century Gothic" w:hAnsi="Century Gothic" w:cs="Century Gothic"/>
          <w:b/>
          <w:noProof/>
          <w:sz w:val="26"/>
          <w:szCs w:val="26"/>
        </w:rPr>
        <w:drawing>
          <wp:anchor distT="0" distB="0" distL="0" distR="0" simplePos="0" relativeHeight="251658240" behindDoc="1" locked="0" layoutInCell="1" hidden="0" allowOverlap="1">
            <wp:simplePos x="0" y="0"/>
            <wp:positionH relativeFrom="page">
              <wp:posOffset>2786063</wp:posOffset>
            </wp:positionH>
            <wp:positionV relativeFrom="page">
              <wp:posOffset>32385</wp:posOffset>
            </wp:positionV>
            <wp:extent cx="2200275" cy="1247775"/>
            <wp:effectExtent l="0" t="0" r="0" b="0"/>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2200275" cy="1247775"/>
                    </a:xfrm>
                    <a:prstGeom prst="rect">
                      <a:avLst/>
                    </a:prstGeom>
                    <a:ln/>
                  </pic:spPr>
                </pic:pic>
              </a:graphicData>
            </a:graphic>
          </wp:anchor>
        </w:drawing>
      </w:r>
      <w:r>
        <w:rPr>
          <w:rFonts w:ascii="Century Gothic" w:eastAsia="Century Gothic" w:hAnsi="Century Gothic" w:cs="Century Gothic"/>
          <w:b/>
          <w:sz w:val="26"/>
          <w:szCs w:val="26"/>
        </w:rPr>
        <w:t>CONSEJO DE ESTADO</w:t>
      </w:r>
    </w:p>
    <w:p w14:paraId="00000002" w14:textId="77777777" w:rsidR="00986419" w:rsidRDefault="00C2017B">
      <w:pPr>
        <w:ind w:left="1" w:hanging="3"/>
        <w:jc w:val="center"/>
        <w:rPr>
          <w:rFonts w:ascii="Century Gothic" w:eastAsia="Century Gothic" w:hAnsi="Century Gothic" w:cs="Century Gothic"/>
          <w:sz w:val="26"/>
          <w:szCs w:val="26"/>
        </w:rPr>
      </w:pPr>
      <w:r>
        <w:rPr>
          <w:rFonts w:ascii="Century Gothic" w:eastAsia="Century Gothic" w:hAnsi="Century Gothic" w:cs="Century Gothic"/>
          <w:b/>
          <w:sz w:val="26"/>
          <w:szCs w:val="26"/>
        </w:rPr>
        <w:t>SALA DE LO CONTENCIOSO ADMINISTRATIVO</w:t>
      </w:r>
    </w:p>
    <w:p w14:paraId="00000003" w14:textId="77777777" w:rsidR="00986419" w:rsidRDefault="00C2017B">
      <w:pPr>
        <w:ind w:left="1" w:hanging="3"/>
        <w:jc w:val="center"/>
        <w:rPr>
          <w:rFonts w:ascii="Century Gothic" w:eastAsia="Century Gothic" w:hAnsi="Century Gothic" w:cs="Century Gothic"/>
          <w:sz w:val="26"/>
          <w:szCs w:val="26"/>
        </w:rPr>
      </w:pPr>
      <w:r>
        <w:rPr>
          <w:rFonts w:ascii="Century Gothic" w:eastAsia="Century Gothic" w:hAnsi="Century Gothic" w:cs="Century Gothic"/>
          <w:b/>
          <w:sz w:val="26"/>
          <w:szCs w:val="26"/>
        </w:rPr>
        <w:t>SECCIÓN TERCERA</w:t>
      </w:r>
    </w:p>
    <w:p w14:paraId="00000004" w14:textId="77777777" w:rsidR="00986419" w:rsidRDefault="00C2017B">
      <w:pPr>
        <w:ind w:left="1" w:hanging="3"/>
        <w:jc w:val="center"/>
        <w:rPr>
          <w:rFonts w:ascii="Century Gothic" w:eastAsia="Century Gothic" w:hAnsi="Century Gothic" w:cs="Century Gothic"/>
          <w:sz w:val="26"/>
          <w:szCs w:val="26"/>
        </w:rPr>
      </w:pPr>
      <w:r>
        <w:rPr>
          <w:rFonts w:ascii="Century Gothic" w:eastAsia="Century Gothic" w:hAnsi="Century Gothic" w:cs="Century Gothic"/>
          <w:b/>
          <w:sz w:val="26"/>
          <w:szCs w:val="26"/>
        </w:rPr>
        <w:t>SECRETARÍA</w:t>
      </w:r>
    </w:p>
    <w:p w14:paraId="00000005" w14:textId="77777777" w:rsidR="00986419" w:rsidRDefault="00986419">
      <w:pPr>
        <w:ind w:left="1" w:hanging="3"/>
        <w:jc w:val="center"/>
        <w:rPr>
          <w:rFonts w:ascii="Century Gothic" w:eastAsia="Century Gothic" w:hAnsi="Century Gothic" w:cs="Century Gothic"/>
          <w:sz w:val="26"/>
          <w:szCs w:val="26"/>
        </w:rPr>
      </w:pPr>
    </w:p>
    <w:tbl>
      <w:tblPr>
        <w:tblStyle w:val="aa"/>
        <w:tblW w:w="8921" w:type="dxa"/>
        <w:jc w:val="center"/>
        <w:tblInd w:w="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firstRow="0" w:lastRow="0" w:firstColumn="0" w:lastColumn="0" w:noHBand="0" w:noVBand="0"/>
      </w:tblPr>
      <w:tblGrid>
        <w:gridCol w:w="8921"/>
      </w:tblGrid>
      <w:tr w:rsidR="00986419" w14:paraId="5E0CD8D4" w14:textId="77777777">
        <w:trPr>
          <w:trHeight w:val="135"/>
          <w:jc w:val="center"/>
        </w:trPr>
        <w:tc>
          <w:tcPr>
            <w:tcW w:w="8921" w:type="dxa"/>
            <w:shd w:val="clear" w:color="auto" w:fill="CCCCCC"/>
          </w:tcPr>
          <w:p w14:paraId="00000006" w14:textId="77777777" w:rsidR="00986419" w:rsidRDefault="00C2017B">
            <w:pPr>
              <w:ind w:left="1" w:hanging="3"/>
              <w:rPr>
                <w:rFonts w:ascii="Century Gothic" w:eastAsia="Century Gothic" w:hAnsi="Century Gothic" w:cs="Century Gothic"/>
                <w:b/>
                <w:sz w:val="26"/>
                <w:szCs w:val="26"/>
              </w:rPr>
            </w:pPr>
            <w:r>
              <w:rPr>
                <w:rFonts w:ascii="Century Gothic" w:eastAsia="Century Gothic" w:hAnsi="Century Gothic" w:cs="Century Gothic"/>
                <w:b/>
                <w:sz w:val="26"/>
                <w:szCs w:val="26"/>
              </w:rPr>
              <w:t>REF:</w:t>
            </w:r>
            <w:r>
              <w:rPr>
                <w:rFonts w:ascii="Century Gothic" w:eastAsia="Century Gothic" w:hAnsi="Century Gothic" w:cs="Century Gothic"/>
                <w:b/>
                <w:sz w:val="26"/>
                <w:szCs w:val="26"/>
              </w:rPr>
              <w:tab/>
              <w:t>EXPEDIENTE No. 76001333100020080035101 (58066)</w:t>
            </w:r>
          </w:p>
        </w:tc>
      </w:tr>
    </w:tbl>
    <w:p w14:paraId="00000007" w14:textId="77777777" w:rsidR="00986419" w:rsidRDefault="00986419">
      <w:pPr>
        <w:ind w:left="0" w:hanging="2"/>
        <w:rPr>
          <w:rFonts w:ascii="Century Gothic" w:eastAsia="Century Gothic" w:hAnsi="Century Gothic" w:cs="Century Gothic"/>
          <w:b/>
          <w:sz w:val="24"/>
          <w:szCs w:val="24"/>
        </w:rPr>
      </w:pPr>
    </w:p>
    <w:p w14:paraId="00000008" w14:textId="77777777" w:rsidR="00986419" w:rsidRDefault="00C2017B">
      <w:pPr>
        <w:ind w:left="0" w:hanging="2"/>
        <w:jc w:val="both"/>
        <w:rPr>
          <w:rFonts w:ascii="Century Gothic" w:eastAsia="Century Gothic" w:hAnsi="Century Gothic" w:cs="Century Gothic"/>
          <w:sz w:val="24"/>
          <w:szCs w:val="24"/>
        </w:rPr>
      </w:pPr>
      <w:bookmarkStart w:id="0" w:name="_heading=h.30j0zll" w:colFirst="0" w:colLast="0"/>
      <w:bookmarkEnd w:id="0"/>
      <w:r>
        <w:rPr>
          <w:rFonts w:ascii="Century Gothic" w:eastAsia="Century Gothic" w:hAnsi="Century Gothic" w:cs="Century Gothic"/>
          <w:sz w:val="24"/>
          <w:szCs w:val="24"/>
        </w:rPr>
        <w:t xml:space="preserve">Al despacho del honorable consejero doctor </w:t>
      </w:r>
      <w:r>
        <w:rPr>
          <w:rFonts w:ascii="Century Gothic" w:eastAsia="Century Gothic" w:hAnsi="Century Gothic" w:cs="Century Gothic"/>
          <w:b/>
          <w:sz w:val="24"/>
          <w:szCs w:val="24"/>
        </w:rPr>
        <w:t>FREDY HERNANDO IBARRA MARTÍNEZ</w:t>
      </w:r>
      <w:r>
        <w:rPr>
          <w:rFonts w:ascii="Century Gothic" w:eastAsia="Century Gothic" w:hAnsi="Century Gothic" w:cs="Century Gothic"/>
          <w:sz w:val="24"/>
          <w:szCs w:val="24"/>
        </w:rPr>
        <w:t>,</w:t>
      </w:r>
      <w:r>
        <w:rPr>
          <w:rFonts w:ascii="Century Gothic" w:eastAsia="Century Gothic" w:hAnsi="Century Gothic" w:cs="Century Gothic"/>
          <w:b/>
          <w:sz w:val="24"/>
          <w:szCs w:val="24"/>
        </w:rPr>
        <w:t xml:space="preserve"> </w:t>
      </w:r>
      <w:r>
        <w:rPr>
          <w:rFonts w:ascii="Century Gothic" w:eastAsia="Century Gothic" w:hAnsi="Century Gothic" w:cs="Century Gothic"/>
          <w:sz w:val="24"/>
          <w:szCs w:val="24"/>
        </w:rPr>
        <w:t>hoy 24 de agosto de 2021, informando que el término de ejecutoria de la sentencia que antecede corrió desde el 17 hasta el 19 de marzo de 2021, en silencio de las partes.</w:t>
      </w:r>
    </w:p>
    <w:p w14:paraId="00000009" w14:textId="77777777" w:rsidR="00986419" w:rsidRDefault="00986419">
      <w:pPr>
        <w:ind w:left="0" w:hanging="2"/>
        <w:jc w:val="both"/>
        <w:rPr>
          <w:rFonts w:ascii="Century Gothic" w:eastAsia="Century Gothic" w:hAnsi="Century Gothic" w:cs="Century Gothic"/>
          <w:sz w:val="24"/>
          <w:szCs w:val="24"/>
        </w:rPr>
      </w:pPr>
    </w:p>
    <w:p w14:paraId="0000000A" w14:textId="77777777" w:rsidR="00986419" w:rsidRDefault="00C2017B">
      <w:pPr>
        <w:ind w:left="0" w:hanging="2"/>
        <w:jc w:val="both"/>
        <w:rPr>
          <w:rFonts w:ascii="Century Gothic" w:eastAsia="Century Gothic" w:hAnsi="Century Gothic" w:cs="Century Gothic"/>
          <w:sz w:val="24"/>
          <w:szCs w:val="24"/>
        </w:rPr>
      </w:pPr>
      <w:r>
        <w:rPr>
          <w:rFonts w:ascii="Century Gothic" w:eastAsia="Century Gothic" w:hAnsi="Century Gothic" w:cs="Century Gothic"/>
          <w:sz w:val="24"/>
          <w:szCs w:val="24"/>
        </w:rPr>
        <w:t>De conformidad con el artículo 9º del Decreto 806 de 2020, se envió a las partes y a</w:t>
      </w:r>
      <w:r>
        <w:rPr>
          <w:rFonts w:ascii="Century Gothic" w:eastAsia="Century Gothic" w:hAnsi="Century Gothic" w:cs="Century Gothic"/>
          <w:sz w:val="24"/>
          <w:szCs w:val="24"/>
        </w:rPr>
        <w:t>l señor Agente del Ministerio Público el mensaje de datos, vía correo electrónico, por medio del cual se informó la notificación por estado del auto proferido y se adjuntó medio magnético del mismo (índice 47).</w:t>
      </w:r>
    </w:p>
    <w:p w14:paraId="0000000B" w14:textId="77777777" w:rsidR="00986419" w:rsidRDefault="00986419">
      <w:pPr>
        <w:ind w:left="0" w:hanging="2"/>
        <w:jc w:val="both"/>
        <w:rPr>
          <w:rFonts w:ascii="Century Gothic" w:eastAsia="Century Gothic" w:hAnsi="Century Gothic" w:cs="Century Gothic"/>
          <w:sz w:val="24"/>
          <w:szCs w:val="24"/>
        </w:rPr>
      </w:pPr>
    </w:p>
    <w:p w14:paraId="0000000C" w14:textId="77777777" w:rsidR="00986419" w:rsidRDefault="00C2017B">
      <w:pPr>
        <w:ind w:left="0" w:hanging="2"/>
        <w:jc w:val="both"/>
        <w:rPr>
          <w:rFonts w:ascii="Century Gothic" w:eastAsia="Century Gothic" w:hAnsi="Century Gothic" w:cs="Century Gothic"/>
          <w:sz w:val="24"/>
          <w:szCs w:val="24"/>
        </w:rPr>
      </w:pPr>
      <w:r>
        <w:rPr>
          <w:rFonts w:ascii="Century Gothic" w:eastAsia="Century Gothic" w:hAnsi="Century Gothic" w:cs="Century Gothic"/>
          <w:sz w:val="24"/>
          <w:szCs w:val="24"/>
        </w:rPr>
        <w:t>El 05 de abril de 2021, la Asamblea Departam</w:t>
      </w:r>
      <w:r>
        <w:rPr>
          <w:rFonts w:ascii="Century Gothic" w:eastAsia="Century Gothic" w:hAnsi="Century Gothic" w:cs="Century Gothic"/>
          <w:sz w:val="24"/>
          <w:szCs w:val="24"/>
        </w:rPr>
        <w:t xml:space="preserve">ental del Valle del Cauca atendió lo solicitado por el despacho y se pronunció frente a lo requerido por el mismo (índice 48). </w:t>
      </w:r>
    </w:p>
    <w:p w14:paraId="0000000D" w14:textId="77777777" w:rsidR="00986419" w:rsidRDefault="00986419">
      <w:pPr>
        <w:ind w:left="0" w:hanging="2"/>
        <w:jc w:val="both"/>
        <w:rPr>
          <w:rFonts w:ascii="Century Gothic" w:eastAsia="Century Gothic" w:hAnsi="Century Gothic" w:cs="Century Gothic"/>
          <w:sz w:val="24"/>
          <w:szCs w:val="24"/>
        </w:rPr>
      </w:pPr>
    </w:p>
    <w:p w14:paraId="0000000E" w14:textId="77777777" w:rsidR="00986419" w:rsidRDefault="00C2017B">
      <w:pPr>
        <w:ind w:left="0" w:hanging="2"/>
        <w:jc w:val="both"/>
        <w:rPr>
          <w:rFonts w:ascii="Century Gothic" w:eastAsia="Century Gothic" w:hAnsi="Century Gothic" w:cs="Century Gothic"/>
          <w:sz w:val="24"/>
          <w:szCs w:val="24"/>
        </w:rPr>
      </w:pPr>
      <w:r>
        <w:rPr>
          <w:rFonts w:ascii="Century Gothic" w:eastAsia="Century Gothic" w:hAnsi="Century Gothic" w:cs="Century Gothic"/>
          <w:sz w:val="24"/>
          <w:szCs w:val="24"/>
        </w:rPr>
        <w:t>Con el fin de dar cumplimiento a lo ordenado en el auto mencionado, los días 16 de abril y 24 de mayo de 2021, se ofició al dep</w:t>
      </w:r>
      <w:r>
        <w:rPr>
          <w:rFonts w:ascii="Century Gothic" w:eastAsia="Century Gothic" w:hAnsi="Century Gothic" w:cs="Century Gothic"/>
          <w:sz w:val="24"/>
          <w:szCs w:val="24"/>
        </w:rPr>
        <w:t>artamento del Valle del Cauca y a la sociedad La Previsora S.A. (índices 49- 50 y 52 - 53).</w:t>
      </w:r>
    </w:p>
    <w:p w14:paraId="0000000F" w14:textId="77777777" w:rsidR="00986419" w:rsidRDefault="00986419">
      <w:pPr>
        <w:ind w:left="0" w:hanging="2"/>
        <w:jc w:val="both"/>
        <w:rPr>
          <w:rFonts w:ascii="Century Gothic" w:eastAsia="Century Gothic" w:hAnsi="Century Gothic" w:cs="Century Gothic"/>
          <w:sz w:val="24"/>
          <w:szCs w:val="24"/>
        </w:rPr>
      </w:pPr>
    </w:p>
    <w:p w14:paraId="00000010" w14:textId="77777777" w:rsidR="00986419" w:rsidRDefault="00C2017B">
      <w:pPr>
        <w:ind w:left="0" w:hanging="2"/>
        <w:jc w:val="both"/>
        <w:rPr>
          <w:rFonts w:ascii="Century Gothic" w:eastAsia="Century Gothic" w:hAnsi="Century Gothic" w:cs="Century Gothic"/>
          <w:sz w:val="24"/>
          <w:szCs w:val="24"/>
        </w:rPr>
      </w:pPr>
      <w:r>
        <w:rPr>
          <w:rFonts w:ascii="Century Gothic" w:eastAsia="Century Gothic" w:hAnsi="Century Gothic" w:cs="Century Gothic"/>
          <w:sz w:val="24"/>
          <w:szCs w:val="24"/>
        </w:rPr>
        <w:t>El 03 de junio de 2021, la entidad La Previsora S.A. atendió lo solicitado por el despacho (índices 54 y 55).</w:t>
      </w:r>
    </w:p>
    <w:p w14:paraId="00000011" w14:textId="77777777" w:rsidR="00986419" w:rsidRDefault="00986419">
      <w:pPr>
        <w:ind w:left="0" w:hanging="2"/>
        <w:jc w:val="both"/>
        <w:rPr>
          <w:rFonts w:ascii="Century Gothic" w:eastAsia="Century Gothic" w:hAnsi="Century Gothic" w:cs="Century Gothic"/>
          <w:sz w:val="24"/>
          <w:szCs w:val="24"/>
        </w:rPr>
      </w:pPr>
    </w:p>
    <w:p w14:paraId="00000012" w14:textId="77777777" w:rsidR="00986419" w:rsidRDefault="00C2017B">
      <w:pPr>
        <w:ind w:left="0" w:hanging="2"/>
        <w:jc w:val="both"/>
        <w:rPr>
          <w:rFonts w:ascii="Century Gothic" w:eastAsia="Century Gothic" w:hAnsi="Century Gothic" w:cs="Century Gothic"/>
          <w:sz w:val="24"/>
          <w:szCs w:val="24"/>
        </w:rPr>
      </w:pPr>
      <w:r>
        <w:rPr>
          <w:rFonts w:ascii="Century Gothic" w:eastAsia="Century Gothic" w:hAnsi="Century Gothic" w:cs="Century Gothic"/>
          <w:sz w:val="24"/>
          <w:szCs w:val="24"/>
        </w:rPr>
        <w:t>Hasta la fecha el departamento del Valle del Cauca no se ha manifestado al respecto.</w:t>
      </w:r>
    </w:p>
    <w:p w14:paraId="00000013" w14:textId="77777777" w:rsidR="00986419" w:rsidRDefault="00986419">
      <w:pPr>
        <w:ind w:left="0" w:hanging="2"/>
        <w:jc w:val="both"/>
        <w:rPr>
          <w:rFonts w:ascii="Century Gothic" w:eastAsia="Century Gothic" w:hAnsi="Century Gothic" w:cs="Century Gothic"/>
          <w:sz w:val="24"/>
          <w:szCs w:val="24"/>
        </w:rPr>
      </w:pPr>
    </w:p>
    <w:p w14:paraId="00000014" w14:textId="77777777" w:rsidR="00986419" w:rsidRDefault="00C2017B">
      <w:pPr>
        <w:ind w:left="0" w:hanging="2"/>
        <w:jc w:val="both"/>
        <w:rPr>
          <w:rFonts w:ascii="Century Gothic" w:eastAsia="Century Gothic" w:hAnsi="Century Gothic" w:cs="Century Gothic"/>
          <w:sz w:val="24"/>
          <w:szCs w:val="24"/>
        </w:rPr>
      </w:pPr>
      <w:r>
        <w:rPr>
          <w:rFonts w:ascii="Century Gothic" w:eastAsia="Century Gothic" w:hAnsi="Century Gothic" w:cs="Century Gothic"/>
          <w:sz w:val="24"/>
          <w:szCs w:val="24"/>
        </w:rPr>
        <w:t xml:space="preserve">De igual manera, con el fin de dar cumplimiento al numeral </w:t>
      </w:r>
      <w:r>
        <w:rPr>
          <w:rFonts w:ascii="Century Gothic" w:eastAsia="Century Gothic" w:hAnsi="Century Gothic" w:cs="Century Gothic"/>
          <w:sz w:val="24"/>
          <w:szCs w:val="24"/>
        </w:rPr>
        <w:t xml:space="preserve">séptimo, el 26 de julio de 2021, se fijó en lista la sentencia proferida el 09 de septiembre de 2020 por la Sala Especial de Decisión </w:t>
      </w:r>
      <w:proofErr w:type="spellStart"/>
      <w:r>
        <w:rPr>
          <w:rFonts w:ascii="Century Gothic" w:eastAsia="Century Gothic" w:hAnsi="Century Gothic" w:cs="Century Gothic"/>
          <w:sz w:val="24"/>
          <w:szCs w:val="24"/>
        </w:rPr>
        <w:t>n°</w:t>
      </w:r>
      <w:proofErr w:type="spellEnd"/>
      <w:r>
        <w:rPr>
          <w:rFonts w:ascii="Century Gothic" w:eastAsia="Century Gothic" w:hAnsi="Century Gothic" w:cs="Century Gothic"/>
          <w:sz w:val="24"/>
          <w:szCs w:val="24"/>
        </w:rPr>
        <w:t xml:space="preserve">. 9 en el proceso con radicado n.º 76001333100120080013401, por el término comprendido entre el 27 hasta el 29 de julio </w:t>
      </w:r>
      <w:r>
        <w:rPr>
          <w:rFonts w:ascii="Century Gothic" w:eastAsia="Century Gothic" w:hAnsi="Century Gothic" w:cs="Century Gothic"/>
          <w:sz w:val="24"/>
          <w:szCs w:val="24"/>
        </w:rPr>
        <w:t>de 2021, período durante el cual se guardó silencio (índices 56 y 57).</w:t>
      </w:r>
    </w:p>
    <w:p w14:paraId="00000015" w14:textId="77777777" w:rsidR="00986419" w:rsidRDefault="00986419">
      <w:pPr>
        <w:ind w:left="0" w:hanging="2"/>
        <w:jc w:val="both"/>
        <w:rPr>
          <w:rFonts w:ascii="Century Gothic" w:eastAsia="Century Gothic" w:hAnsi="Century Gothic" w:cs="Century Gothic"/>
          <w:sz w:val="24"/>
          <w:szCs w:val="24"/>
        </w:rPr>
      </w:pPr>
    </w:p>
    <w:p w14:paraId="00000016" w14:textId="77777777" w:rsidR="00986419" w:rsidRDefault="00C2017B">
      <w:pPr>
        <w:ind w:left="0" w:hanging="2"/>
        <w:jc w:val="both"/>
        <w:rPr>
          <w:rFonts w:ascii="Century Gothic" w:eastAsia="Century Gothic" w:hAnsi="Century Gothic" w:cs="Century Gothic"/>
          <w:sz w:val="24"/>
          <w:szCs w:val="24"/>
        </w:rPr>
      </w:pPr>
      <w:r>
        <w:rPr>
          <w:rFonts w:ascii="Century Gothic" w:eastAsia="Century Gothic" w:hAnsi="Century Gothic" w:cs="Century Gothic"/>
          <w:sz w:val="24"/>
          <w:szCs w:val="24"/>
        </w:rPr>
        <w:t>Sin otro particular, el proceso ingresa al despacho para proveer respecto de las pruebas aportadas y el silencio guardado.</w:t>
      </w:r>
    </w:p>
    <w:p w14:paraId="00000017" w14:textId="77777777" w:rsidR="00986419" w:rsidRDefault="00986419">
      <w:pPr>
        <w:ind w:left="0" w:hanging="2"/>
        <w:jc w:val="both"/>
        <w:rPr>
          <w:rFonts w:ascii="Century Gothic" w:eastAsia="Century Gothic" w:hAnsi="Century Gothic" w:cs="Century Gothic"/>
          <w:sz w:val="24"/>
          <w:szCs w:val="24"/>
        </w:rPr>
      </w:pPr>
    </w:p>
    <w:p w14:paraId="00000018" w14:textId="77777777" w:rsidR="00986419" w:rsidRDefault="00C2017B">
      <w:pPr>
        <w:ind w:left="0" w:hanging="2"/>
        <w:jc w:val="both"/>
        <w:rPr>
          <w:rFonts w:ascii="Century Gothic" w:eastAsia="Century Gothic" w:hAnsi="Century Gothic" w:cs="Century Gothic"/>
          <w:sz w:val="24"/>
          <w:szCs w:val="24"/>
        </w:rPr>
      </w:pPr>
      <w:r>
        <w:rPr>
          <w:rFonts w:ascii="Century Gothic" w:eastAsia="Century Gothic" w:hAnsi="Century Gothic" w:cs="Century Gothic"/>
          <w:sz w:val="24"/>
          <w:szCs w:val="24"/>
        </w:rPr>
        <w:t>El Oficial Mayor,</w:t>
      </w:r>
    </w:p>
    <w:p w14:paraId="00000019" w14:textId="77777777" w:rsidR="00986419" w:rsidRDefault="00986419">
      <w:pPr>
        <w:ind w:left="0" w:hanging="2"/>
        <w:rPr>
          <w:rFonts w:ascii="Century Gothic" w:eastAsia="Century Gothic" w:hAnsi="Century Gothic" w:cs="Century Gothic"/>
          <w:sz w:val="24"/>
          <w:szCs w:val="24"/>
        </w:rPr>
      </w:pPr>
    </w:p>
    <w:p w14:paraId="0000001A" w14:textId="77777777" w:rsidR="00986419" w:rsidRDefault="00986419">
      <w:pPr>
        <w:ind w:left="0" w:hanging="2"/>
        <w:rPr>
          <w:rFonts w:ascii="Century Gothic" w:eastAsia="Century Gothic" w:hAnsi="Century Gothic" w:cs="Century Gothic"/>
          <w:sz w:val="24"/>
          <w:szCs w:val="24"/>
        </w:rPr>
      </w:pPr>
    </w:p>
    <w:p w14:paraId="0000001B" w14:textId="77777777" w:rsidR="00986419" w:rsidRDefault="00986419">
      <w:pPr>
        <w:ind w:left="0" w:hanging="2"/>
        <w:rPr>
          <w:rFonts w:ascii="Century Gothic" w:eastAsia="Century Gothic" w:hAnsi="Century Gothic" w:cs="Century Gothic"/>
          <w:sz w:val="24"/>
          <w:szCs w:val="24"/>
        </w:rPr>
      </w:pPr>
    </w:p>
    <w:p w14:paraId="0000001C" w14:textId="77777777" w:rsidR="00986419" w:rsidRDefault="00C2017B">
      <w:pPr>
        <w:ind w:left="0" w:hanging="2"/>
        <w:jc w:val="center"/>
        <w:rPr>
          <w:rFonts w:ascii="Century Gothic" w:eastAsia="Century Gothic" w:hAnsi="Century Gothic" w:cs="Century Gothic"/>
          <w:b/>
          <w:sz w:val="24"/>
          <w:szCs w:val="24"/>
        </w:rPr>
      </w:pPr>
      <w:r>
        <w:rPr>
          <w:rFonts w:ascii="Century Gothic" w:eastAsia="Century Gothic" w:hAnsi="Century Gothic" w:cs="Century Gothic"/>
          <w:b/>
          <w:sz w:val="24"/>
          <w:szCs w:val="24"/>
        </w:rPr>
        <w:t>ESTEBAN DAVID RIVERA BUENO</w:t>
      </w:r>
    </w:p>
    <w:p w14:paraId="0000001D" w14:textId="77777777" w:rsidR="00986419" w:rsidRDefault="00986419">
      <w:pPr>
        <w:ind w:left="0" w:hanging="2"/>
        <w:rPr>
          <w:rFonts w:ascii="Century Gothic" w:eastAsia="Century Gothic" w:hAnsi="Century Gothic" w:cs="Century Gothic"/>
        </w:rPr>
      </w:pPr>
    </w:p>
    <w:p w14:paraId="0000001E" w14:textId="77777777" w:rsidR="00986419" w:rsidRDefault="00C2017B">
      <w:pPr>
        <w:ind w:left="0" w:hanging="2"/>
        <w:rPr>
          <w:rFonts w:ascii="Century Gothic" w:eastAsia="Century Gothic" w:hAnsi="Century Gothic" w:cs="Century Gothic"/>
        </w:rPr>
      </w:pPr>
      <w:r>
        <w:rPr>
          <w:rFonts w:ascii="Century Gothic" w:eastAsia="Century Gothic" w:hAnsi="Century Gothic" w:cs="Century Gothic"/>
        </w:rPr>
        <w:t>2 cuadernos</w:t>
      </w:r>
      <w:r>
        <w:rPr>
          <w:rFonts w:ascii="Century Gothic" w:eastAsia="Century Gothic" w:hAnsi="Century Gothic" w:cs="Century Gothic"/>
        </w:rPr>
        <w:t xml:space="preserve"> + 2 copias + 3 traslados + 4 </w:t>
      </w:r>
      <w:proofErr w:type="spellStart"/>
      <w:r>
        <w:rPr>
          <w:rFonts w:ascii="Century Gothic" w:eastAsia="Century Gothic" w:hAnsi="Century Gothic" w:cs="Century Gothic"/>
        </w:rPr>
        <w:t>cds</w:t>
      </w:r>
      <w:proofErr w:type="spellEnd"/>
    </w:p>
    <w:p w14:paraId="0000001F" w14:textId="77777777" w:rsidR="00986419" w:rsidRDefault="00C2017B">
      <w:pPr>
        <w:ind w:left="0" w:hanging="2"/>
        <w:rPr>
          <w:rFonts w:ascii="Century Gothic" w:eastAsia="Century Gothic" w:hAnsi="Century Gothic" w:cs="Century Gothic"/>
          <w:b/>
        </w:rPr>
      </w:pPr>
      <w:proofErr w:type="spellStart"/>
      <w:r>
        <w:rPr>
          <w:rFonts w:ascii="Century Gothic" w:eastAsia="Century Gothic" w:hAnsi="Century Gothic" w:cs="Century Gothic"/>
          <w:b/>
          <w:color w:val="000000"/>
        </w:rPr>
        <w:t>gyrc</w:t>
      </w:r>
      <w:proofErr w:type="spellEnd"/>
    </w:p>
    <w:sectPr w:rsidR="00986419">
      <w:headerReference w:type="even" r:id="rId8"/>
      <w:headerReference w:type="default" r:id="rId9"/>
      <w:footerReference w:type="even" r:id="rId10"/>
      <w:footerReference w:type="default" r:id="rId11"/>
      <w:headerReference w:type="first" r:id="rId12"/>
      <w:footerReference w:type="first" r:id="rId13"/>
      <w:pgSz w:w="12242" w:h="18722"/>
      <w:pgMar w:top="1701" w:right="1701" w:bottom="1701"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C57E2" w14:textId="77777777" w:rsidR="00000000" w:rsidRDefault="00C2017B">
      <w:pPr>
        <w:spacing w:line="240" w:lineRule="auto"/>
        <w:ind w:left="0" w:hanging="2"/>
      </w:pPr>
      <w:r>
        <w:separator/>
      </w:r>
    </w:p>
  </w:endnote>
  <w:endnote w:type="continuationSeparator" w:id="0">
    <w:p w14:paraId="6BE17E95" w14:textId="77777777" w:rsidR="00000000" w:rsidRDefault="00C2017B">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man PS">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7" w14:textId="77777777" w:rsidR="00986419" w:rsidRDefault="00986419">
    <w:pPr>
      <w:pBdr>
        <w:top w:val="nil"/>
        <w:left w:val="nil"/>
        <w:bottom w:val="nil"/>
        <w:right w:val="nil"/>
        <w:between w:val="nil"/>
      </w:pBdr>
      <w:tabs>
        <w:tab w:val="center" w:pos="4419"/>
        <w:tab w:val="right" w:pos="8838"/>
      </w:tabs>
      <w:spacing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9" w14:textId="77777777" w:rsidR="00986419" w:rsidRDefault="00986419">
    <w:pPr>
      <w:pBdr>
        <w:top w:val="nil"/>
        <w:left w:val="nil"/>
        <w:bottom w:val="nil"/>
        <w:right w:val="nil"/>
        <w:between w:val="nil"/>
      </w:pBdr>
      <w:tabs>
        <w:tab w:val="center" w:pos="4419"/>
        <w:tab w:val="right" w:pos="8838"/>
      </w:tabs>
      <w:spacing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8" w14:textId="77777777" w:rsidR="00986419" w:rsidRDefault="00986419">
    <w:pPr>
      <w:pBdr>
        <w:top w:val="nil"/>
        <w:left w:val="nil"/>
        <w:bottom w:val="nil"/>
        <w:right w:val="nil"/>
        <w:between w:val="nil"/>
      </w:pBdr>
      <w:tabs>
        <w:tab w:val="center" w:pos="4419"/>
        <w:tab w:val="right" w:pos="8838"/>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09043" w14:textId="77777777" w:rsidR="00000000" w:rsidRDefault="00C2017B">
      <w:pPr>
        <w:spacing w:line="240" w:lineRule="auto"/>
        <w:ind w:left="0" w:hanging="2"/>
      </w:pPr>
      <w:r>
        <w:separator/>
      </w:r>
    </w:p>
  </w:footnote>
  <w:footnote w:type="continuationSeparator" w:id="0">
    <w:p w14:paraId="7AFEC657" w14:textId="77777777" w:rsidR="00000000" w:rsidRDefault="00C2017B">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5" w14:textId="77777777" w:rsidR="00986419" w:rsidRDefault="00986419">
    <w:pPr>
      <w:pBdr>
        <w:top w:val="nil"/>
        <w:left w:val="nil"/>
        <w:bottom w:val="nil"/>
        <w:right w:val="nil"/>
        <w:between w:val="nil"/>
      </w:pBdr>
      <w:tabs>
        <w:tab w:val="center" w:pos="4419"/>
        <w:tab w:val="right" w:pos="8838"/>
      </w:tabs>
      <w:spacing w:line="240" w:lineRule="auto"/>
      <w:ind w:left="0" w:hanging="2"/>
      <w:rPr>
        <w:rFonts w:ascii="Roman PS" w:eastAsia="Roman PS" w:hAnsi="Roman PS" w:cs="Roman PS"/>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0" w14:textId="77777777" w:rsidR="00986419" w:rsidRDefault="00986419">
    <w:pPr>
      <w:ind w:left="1" w:hanging="3"/>
      <w:jc w:val="right"/>
      <w:rPr>
        <w:rFonts w:ascii="Century Gothic" w:eastAsia="Century Gothic" w:hAnsi="Century Gothic" w:cs="Century Gothic"/>
        <w:b/>
        <w:sz w:val="26"/>
        <w:szCs w:val="26"/>
      </w:rPr>
    </w:pPr>
  </w:p>
  <w:p w14:paraId="00000021" w14:textId="77777777" w:rsidR="00986419" w:rsidRDefault="00986419">
    <w:pPr>
      <w:ind w:left="1" w:hanging="3"/>
      <w:jc w:val="right"/>
      <w:rPr>
        <w:rFonts w:ascii="Century Gothic" w:eastAsia="Century Gothic" w:hAnsi="Century Gothic" w:cs="Century Gothic"/>
        <w:b/>
        <w:sz w:val="26"/>
        <w:szCs w:val="26"/>
      </w:rPr>
    </w:pPr>
  </w:p>
  <w:p w14:paraId="00000022" w14:textId="051C25F4" w:rsidR="00986419" w:rsidRDefault="00C2017B">
    <w:pPr>
      <w:ind w:left="1" w:hanging="3"/>
      <w:jc w:val="right"/>
      <w:rPr>
        <w:rFonts w:ascii="Century Gothic" w:eastAsia="Century Gothic" w:hAnsi="Century Gothic" w:cs="Century Gothic"/>
        <w:b/>
        <w:sz w:val="26"/>
        <w:szCs w:val="26"/>
      </w:rPr>
    </w:pPr>
    <w:r>
      <w:rPr>
        <w:rFonts w:ascii="Century Gothic" w:eastAsia="Century Gothic" w:hAnsi="Century Gothic" w:cs="Century Gothic"/>
        <w:b/>
        <w:sz w:val="26"/>
        <w:szCs w:val="26"/>
      </w:rPr>
      <w:t>Índice 60</w:t>
    </w:r>
  </w:p>
  <w:p w14:paraId="00000023" w14:textId="77777777" w:rsidR="00986419" w:rsidRDefault="00C2017B">
    <w:pPr>
      <w:ind w:left="1" w:hanging="3"/>
      <w:rPr>
        <w:rFonts w:ascii="Century Gothic" w:eastAsia="Century Gothic" w:hAnsi="Century Gothic" w:cs="Century Gothic"/>
        <w:sz w:val="26"/>
        <w:szCs w:val="26"/>
      </w:rPr>
    </w:pPr>
    <w:r>
      <w:rPr>
        <w:rFonts w:ascii="Century Gothic" w:eastAsia="Century Gothic" w:hAnsi="Century Gothic" w:cs="Century Gothic"/>
        <w:b/>
        <w:sz w:val="26"/>
        <w:szCs w:val="26"/>
      </w:rPr>
      <w:t xml:space="preserve">    </w:t>
    </w:r>
    <w:r>
      <w:rPr>
        <w:rFonts w:ascii="Century Gothic" w:eastAsia="Century Gothic" w:hAnsi="Century Gothic" w:cs="Century Gothic"/>
        <w:b/>
        <w:sz w:val="26"/>
        <w:szCs w:val="26"/>
      </w:rPr>
      <w:tab/>
    </w:r>
    <w:r>
      <w:rPr>
        <w:rFonts w:ascii="Century Gothic" w:eastAsia="Century Gothic" w:hAnsi="Century Gothic" w:cs="Century Gothic"/>
        <w:b/>
        <w:sz w:val="26"/>
        <w:szCs w:val="26"/>
      </w:rPr>
      <w:tab/>
    </w:r>
    <w:r>
      <w:rPr>
        <w:rFonts w:ascii="Century Gothic" w:eastAsia="Century Gothic" w:hAnsi="Century Gothic" w:cs="Century Gothic"/>
        <w:b/>
        <w:sz w:val="26"/>
        <w:szCs w:val="26"/>
      </w:rPr>
      <w:tab/>
    </w:r>
    <w:r>
      <w:rPr>
        <w:rFonts w:ascii="Century Gothic" w:eastAsia="Century Gothic" w:hAnsi="Century Gothic" w:cs="Century Gothic"/>
        <w:b/>
        <w:sz w:val="26"/>
        <w:szCs w:val="26"/>
      </w:rPr>
      <w:tab/>
    </w:r>
    <w:r>
      <w:rPr>
        <w:rFonts w:ascii="Century Gothic" w:eastAsia="Century Gothic" w:hAnsi="Century Gothic" w:cs="Century Gothic"/>
        <w:b/>
        <w:sz w:val="26"/>
        <w:szCs w:val="26"/>
      </w:rPr>
      <w:tab/>
    </w:r>
    <w:r>
      <w:rPr>
        <w:rFonts w:ascii="Century Gothic" w:eastAsia="Century Gothic" w:hAnsi="Century Gothic" w:cs="Century Gothic"/>
        <w:b/>
        <w:sz w:val="26"/>
        <w:szCs w:val="26"/>
      </w:rPr>
      <w:tab/>
    </w:r>
    <w:r>
      <w:rPr>
        <w:rFonts w:ascii="Century Gothic" w:eastAsia="Century Gothic" w:hAnsi="Century Gothic" w:cs="Century Gothic"/>
        <w:b/>
        <w:sz w:val="26"/>
        <w:szCs w:val="26"/>
      </w:rPr>
      <w:tab/>
    </w:r>
    <w:r>
      <w:rPr>
        <w:rFonts w:ascii="Century Gothic" w:eastAsia="Century Gothic" w:hAnsi="Century Gothic" w:cs="Century Gothic"/>
        <w:b/>
        <w:sz w:val="26"/>
        <w:szCs w:val="26"/>
      </w:rPr>
      <w:tab/>
    </w:r>
    <w:r>
      <w:rPr>
        <w:rFonts w:ascii="Century Gothic" w:eastAsia="Century Gothic" w:hAnsi="Century Gothic" w:cs="Century Gothic"/>
        <w:b/>
        <w:sz w:val="26"/>
        <w:szCs w:val="26"/>
      </w:rPr>
      <w:tab/>
    </w:r>
    <w:r>
      <w:rPr>
        <w:rFonts w:ascii="Century Gothic" w:eastAsia="Century Gothic" w:hAnsi="Century Gothic" w:cs="Century Gothic"/>
        <w:b/>
        <w:sz w:val="26"/>
        <w:szCs w:val="26"/>
      </w:rPr>
      <w:tab/>
      <w:t xml:space="preserve">       Folio </w:t>
    </w:r>
  </w:p>
  <w:p w14:paraId="00000024" w14:textId="77777777" w:rsidR="00986419" w:rsidRDefault="00986419">
    <w:pPr>
      <w:pBdr>
        <w:top w:val="nil"/>
        <w:left w:val="nil"/>
        <w:bottom w:val="nil"/>
        <w:right w:val="nil"/>
        <w:between w:val="nil"/>
      </w:pBdr>
      <w:tabs>
        <w:tab w:val="center" w:pos="4419"/>
        <w:tab w:val="right" w:pos="8838"/>
      </w:tabs>
      <w:spacing w:line="240" w:lineRule="auto"/>
      <w:ind w:left="0" w:hanging="2"/>
      <w:jc w:val="right"/>
      <w:rPr>
        <w:rFonts w:ascii="Roman PS" w:eastAsia="Roman PS" w:hAnsi="Roman PS" w:cs="Roman PS"/>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6" w14:textId="77777777" w:rsidR="00986419" w:rsidRDefault="00986419">
    <w:pPr>
      <w:pBdr>
        <w:top w:val="nil"/>
        <w:left w:val="nil"/>
        <w:bottom w:val="nil"/>
        <w:right w:val="nil"/>
        <w:between w:val="nil"/>
      </w:pBdr>
      <w:tabs>
        <w:tab w:val="center" w:pos="4419"/>
        <w:tab w:val="right" w:pos="8838"/>
      </w:tabs>
      <w:spacing w:line="240" w:lineRule="auto"/>
      <w:ind w:left="0" w:hanging="2"/>
      <w:rPr>
        <w:rFonts w:ascii="Roman PS" w:eastAsia="Roman PS" w:hAnsi="Roman PS" w:cs="Roman PS"/>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419"/>
    <w:rsid w:val="00986419"/>
    <w:rsid w:val="00C2017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9ECFD"/>
  <w15:docId w15:val="{69621211-B025-42BA-A601-557B358FA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CO" w:eastAsia="es-CO"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textDirection w:val="btLr"/>
      <w:textAlignment w:val="top"/>
      <w:outlineLvl w:val="0"/>
    </w:pPr>
    <w:rPr>
      <w:position w:val="-1"/>
      <w:lang w:eastAsia="en-US"/>
    </w:rPr>
  </w:style>
  <w:style w:type="paragraph" w:styleId="Ttulo1">
    <w:name w:val="heading 1"/>
    <w:basedOn w:val="Normal"/>
    <w:next w:val="Normal"/>
    <w:uiPriority w:val="9"/>
    <w:qFormat/>
    <w:pPr>
      <w:keepNext/>
      <w:keepLines/>
      <w:spacing w:before="480" w:after="12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table" w:customStyle="1" w:styleId="TableNormal9">
    <w:name w:val="Table Normal"/>
    <w:tblPr>
      <w:tblCellMar>
        <w:top w:w="0" w:type="dxa"/>
        <w:left w:w="0" w:type="dxa"/>
        <w:bottom w:w="0" w:type="dxa"/>
        <w:right w:w="0" w:type="dxa"/>
      </w:tblCellMar>
    </w:tblPr>
  </w:style>
  <w:style w:type="table" w:customStyle="1" w:styleId="TableNormala">
    <w:name w:val="Table Normal"/>
    <w:tblPr>
      <w:tblCellMar>
        <w:top w:w="0" w:type="dxa"/>
        <w:left w:w="0" w:type="dxa"/>
        <w:bottom w:w="0" w:type="dxa"/>
        <w:right w:w="0" w:type="dxa"/>
      </w:tblCellMar>
    </w:tblPr>
  </w:style>
  <w:style w:type="paragraph" w:styleId="Encabezado">
    <w:name w:val="header"/>
    <w:basedOn w:val="Normal"/>
    <w:qFormat/>
    <w:pPr>
      <w:tabs>
        <w:tab w:val="center" w:pos="4419"/>
        <w:tab w:val="right" w:pos="8838"/>
      </w:tabs>
    </w:pPr>
    <w:rPr>
      <w:rFonts w:ascii="Roman PS" w:eastAsia="Times New Roman" w:hAnsi="Roman PS"/>
      <w:sz w:val="20"/>
      <w:szCs w:val="20"/>
      <w:lang w:val="es-ES" w:eastAsia="es-CO"/>
    </w:rPr>
  </w:style>
  <w:style w:type="character" w:customStyle="1" w:styleId="EncabezadoCar">
    <w:name w:val="Encabezado Car"/>
    <w:rPr>
      <w:rFonts w:ascii="Roman PS" w:eastAsia="Times New Roman" w:hAnsi="Roman PS"/>
      <w:w w:val="100"/>
      <w:position w:val="-1"/>
      <w:effect w:val="none"/>
      <w:vertAlign w:val="baseline"/>
      <w:cs w:val="0"/>
      <w:em w:val="none"/>
      <w:lang w:val="es-E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a"/>
    <w:tblPr>
      <w:tblStyleRowBandSize w:val="1"/>
      <w:tblStyleColBandSize w:val="1"/>
      <w:tblCellMar>
        <w:left w:w="70" w:type="dxa"/>
        <w:right w:w="70" w:type="dxa"/>
      </w:tblCellMar>
    </w:tblPr>
  </w:style>
  <w:style w:type="table" w:customStyle="1" w:styleId="a0">
    <w:basedOn w:val="TableNormala"/>
    <w:tblPr>
      <w:tblStyleRowBandSize w:val="1"/>
      <w:tblStyleColBandSize w:val="1"/>
      <w:tblCellMar>
        <w:left w:w="70" w:type="dxa"/>
        <w:right w:w="70" w:type="dxa"/>
      </w:tblCellMar>
    </w:tblPr>
  </w:style>
  <w:style w:type="character" w:customStyle="1" w:styleId="Ninguno">
    <w:name w:val="Ninguno"/>
    <w:rsid w:val="00895400"/>
    <w:rPr>
      <w:lang w:val="es-ES_tradnl"/>
    </w:rPr>
  </w:style>
  <w:style w:type="table" w:customStyle="1" w:styleId="a1">
    <w:basedOn w:val="TableNormal9"/>
    <w:tblPr>
      <w:tblStyleRowBandSize w:val="1"/>
      <w:tblStyleColBandSize w:val="1"/>
      <w:tblCellMar>
        <w:left w:w="70" w:type="dxa"/>
        <w:right w:w="70" w:type="dxa"/>
      </w:tblCellMar>
    </w:tblPr>
  </w:style>
  <w:style w:type="table" w:customStyle="1" w:styleId="a2">
    <w:basedOn w:val="TableNormal8"/>
    <w:tblPr>
      <w:tblStyleRowBandSize w:val="1"/>
      <w:tblStyleColBandSize w:val="1"/>
      <w:tblCellMar>
        <w:left w:w="70" w:type="dxa"/>
        <w:right w:w="70" w:type="dxa"/>
      </w:tblCellMar>
    </w:tblPr>
  </w:style>
  <w:style w:type="table" w:customStyle="1" w:styleId="a3">
    <w:basedOn w:val="TableNormal7"/>
    <w:tblPr>
      <w:tblStyleRowBandSize w:val="1"/>
      <w:tblStyleColBandSize w:val="1"/>
      <w:tblCellMar>
        <w:left w:w="70" w:type="dxa"/>
        <w:right w:w="70" w:type="dxa"/>
      </w:tblCellMar>
    </w:tblPr>
  </w:style>
  <w:style w:type="table" w:customStyle="1" w:styleId="a4">
    <w:basedOn w:val="TableNormal6"/>
    <w:tblPr>
      <w:tblStyleRowBandSize w:val="1"/>
      <w:tblStyleColBandSize w:val="1"/>
      <w:tblCellMar>
        <w:left w:w="70" w:type="dxa"/>
        <w:right w:w="70" w:type="dxa"/>
      </w:tblCellMar>
    </w:tblPr>
  </w:style>
  <w:style w:type="table" w:customStyle="1" w:styleId="a5">
    <w:basedOn w:val="TableNormal5"/>
    <w:tblPr>
      <w:tblStyleRowBandSize w:val="1"/>
      <w:tblStyleColBandSize w:val="1"/>
      <w:tblCellMar>
        <w:left w:w="70" w:type="dxa"/>
        <w:right w:w="70" w:type="dxa"/>
      </w:tblCellMar>
    </w:tblPr>
  </w:style>
  <w:style w:type="table" w:customStyle="1" w:styleId="a6">
    <w:basedOn w:val="TableNormal4"/>
    <w:tblPr>
      <w:tblStyleRowBandSize w:val="1"/>
      <w:tblStyleColBandSize w:val="1"/>
      <w:tblCellMar>
        <w:left w:w="70" w:type="dxa"/>
        <w:right w:w="70" w:type="dxa"/>
      </w:tblCellMar>
    </w:tblPr>
  </w:style>
  <w:style w:type="paragraph" w:styleId="Piedepgina">
    <w:name w:val="footer"/>
    <w:basedOn w:val="Normal"/>
    <w:link w:val="PiedepginaCar"/>
    <w:uiPriority w:val="99"/>
    <w:unhideWhenUsed/>
    <w:rsid w:val="00533625"/>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533625"/>
    <w:rPr>
      <w:position w:val="-1"/>
      <w:lang w:eastAsia="en-US"/>
    </w:rPr>
  </w:style>
  <w:style w:type="table" w:customStyle="1" w:styleId="a7">
    <w:basedOn w:val="TableNormal3"/>
    <w:tblPr>
      <w:tblStyleRowBandSize w:val="1"/>
      <w:tblStyleColBandSize w:val="1"/>
      <w:tblCellMar>
        <w:left w:w="70" w:type="dxa"/>
        <w:right w:w="70" w:type="dxa"/>
      </w:tblCellMar>
    </w:tblPr>
  </w:style>
  <w:style w:type="table" w:customStyle="1" w:styleId="a8">
    <w:basedOn w:val="TableNormal2"/>
    <w:tblPr>
      <w:tblStyleRowBandSize w:val="1"/>
      <w:tblStyleColBandSize w:val="1"/>
      <w:tblCellMar>
        <w:left w:w="70" w:type="dxa"/>
        <w:right w:w="70" w:type="dxa"/>
      </w:tblCellMar>
    </w:tblPr>
  </w:style>
  <w:style w:type="table" w:customStyle="1" w:styleId="a9">
    <w:basedOn w:val="TableNormal1"/>
    <w:tblPr>
      <w:tblStyleRowBandSize w:val="1"/>
      <w:tblStyleColBandSize w:val="1"/>
      <w:tblCellMar>
        <w:left w:w="70" w:type="dxa"/>
        <w:right w:w="70" w:type="dxa"/>
      </w:tblCellMar>
    </w:tblPr>
  </w:style>
  <w:style w:type="table" w:customStyle="1" w:styleId="aa">
    <w:basedOn w:val="TableNormal0"/>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GkkYdm2CKQW1zGSjQ7h7PSq58Q==">AMUW2mXyv4wzyNKXFax8utmYXQM3BTjo+m2ZwRSqob4xPLEhV9+ywyfAwSgJ290YvxHdSGPs/yU8MIfCzlAW5Wzsk5cgqoEuHM5npHgcvxxEAtQuyJWb5x7Qh96NsBPD/CEkyLikmRXR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289</Words>
  <Characters>1593</Characters>
  <Application>Microsoft Office Word</Application>
  <DocSecurity>0</DocSecurity>
  <Lines>13</Lines>
  <Paragraphs>3</Paragraphs>
  <ScaleCrop>false</ScaleCrop>
  <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ANDREA CAICEDO</dc:creator>
  <cp:lastModifiedBy>PAULA-PC</cp:lastModifiedBy>
  <cp:revision>2</cp:revision>
  <dcterms:created xsi:type="dcterms:W3CDTF">2021-08-24T21:06:00Z</dcterms:created>
  <dcterms:modified xsi:type="dcterms:W3CDTF">2021-08-24T21:06:00Z</dcterms:modified>
</cp:coreProperties>
</file>