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F66EB" w14:textId="77777777" w:rsidR="00E60090" w:rsidRPr="00420D9B" w:rsidRDefault="00E60090" w:rsidP="006C456E">
      <w:pPr>
        <w:widowControl w:val="0"/>
        <w:autoSpaceDE w:val="0"/>
        <w:autoSpaceDN w:val="0"/>
        <w:adjustRightInd w:val="0"/>
        <w:spacing w:after="0" w:line="276" w:lineRule="auto"/>
        <w:jc w:val="both"/>
        <w:rPr>
          <w:rFonts w:ascii="Verdana" w:hAnsi="Verdana" w:cs="Arial"/>
        </w:rPr>
      </w:pPr>
    </w:p>
    <w:tbl>
      <w:tblPr>
        <w:tblW w:w="9360" w:type="dxa"/>
        <w:tblInd w:w="-142" w:type="dxa"/>
        <w:tblLayout w:type="fixed"/>
        <w:tblLook w:val="04A0" w:firstRow="1" w:lastRow="0" w:firstColumn="1" w:lastColumn="0" w:noHBand="0" w:noVBand="1"/>
      </w:tblPr>
      <w:tblGrid>
        <w:gridCol w:w="3120"/>
        <w:gridCol w:w="6240"/>
      </w:tblGrid>
      <w:tr w:rsidR="00420D9B" w:rsidRPr="00420D9B" w14:paraId="486BE607" w14:textId="77777777" w:rsidTr="00030E32">
        <w:trPr>
          <w:cantSplit/>
        </w:trPr>
        <w:tc>
          <w:tcPr>
            <w:tcW w:w="3120" w:type="dxa"/>
            <w:hideMark/>
          </w:tcPr>
          <w:p w14:paraId="46840F3E" w14:textId="2AD52A77" w:rsidR="00030E32" w:rsidRPr="00420D9B" w:rsidRDefault="00030E32" w:rsidP="006C456E">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REFERENCIA:</w:t>
            </w:r>
          </w:p>
        </w:tc>
        <w:tc>
          <w:tcPr>
            <w:tcW w:w="6240" w:type="dxa"/>
            <w:hideMark/>
          </w:tcPr>
          <w:p w14:paraId="534991D1" w14:textId="68B08350" w:rsidR="00030E32" w:rsidRPr="00420D9B" w:rsidRDefault="00030E32" w:rsidP="006C456E">
            <w:pPr>
              <w:tabs>
                <w:tab w:val="left" w:pos="426"/>
                <w:tab w:val="left" w:pos="2268"/>
              </w:tabs>
              <w:spacing w:after="0" w:line="276" w:lineRule="auto"/>
              <w:jc w:val="both"/>
              <w:rPr>
                <w:rFonts w:ascii="Verdana" w:hAnsi="Verdana" w:cs="Arial"/>
                <w:kern w:val="2"/>
                <w14:ligatures w14:val="standardContextual"/>
              </w:rPr>
            </w:pPr>
            <w:r w:rsidRPr="00420D9B">
              <w:rPr>
                <w:rFonts w:ascii="Verdana" w:hAnsi="Verdana" w:cs="Arial"/>
              </w:rPr>
              <w:t xml:space="preserve">VERBAL DE RESPONSABILIDAD CIVIL </w:t>
            </w:r>
            <w:r w:rsidR="00250E0D" w:rsidRPr="00420D9B">
              <w:rPr>
                <w:rFonts w:ascii="Verdana" w:hAnsi="Verdana" w:cs="Arial"/>
              </w:rPr>
              <w:t>EXTRA</w:t>
            </w:r>
            <w:r w:rsidRPr="00420D9B">
              <w:rPr>
                <w:rFonts w:ascii="Verdana" w:hAnsi="Verdana" w:cs="Arial"/>
              </w:rPr>
              <w:t>CONTRACTUAL</w:t>
            </w:r>
          </w:p>
        </w:tc>
      </w:tr>
      <w:tr w:rsidR="00420D9B" w:rsidRPr="00420D9B" w14:paraId="22F10B78" w14:textId="77777777" w:rsidTr="00030E32">
        <w:trPr>
          <w:cantSplit/>
        </w:trPr>
        <w:tc>
          <w:tcPr>
            <w:tcW w:w="3120" w:type="dxa"/>
            <w:hideMark/>
          </w:tcPr>
          <w:p w14:paraId="6E6471FB" w14:textId="3E69E62B" w:rsidR="00030E32" w:rsidRPr="00420D9B" w:rsidRDefault="00030E32">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DEMANDANTE:</w:t>
            </w:r>
          </w:p>
        </w:tc>
        <w:tc>
          <w:tcPr>
            <w:tcW w:w="6240" w:type="dxa"/>
            <w:hideMark/>
          </w:tcPr>
          <w:p w14:paraId="1E75A96A" w14:textId="1E81B4D7" w:rsidR="00030E32" w:rsidRPr="00420D9B" w:rsidRDefault="00250E0D">
            <w:pPr>
              <w:tabs>
                <w:tab w:val="left" w:pos="426"/>
                <w:tab w:val="left" w:pos="2268"/>
              </w:tabs>
              <w:spacing w:after="0" w:line="276" w:lineRule="auto"/>
              <w:jc w:val="both"/>
              <w:rPr>
                <w:rFonts w:ascii="Verdana" w:hAnsi="Verdana" w:cs="Arial"/>
                <w:kern w:val="2"/>
                <w14:ligatures w14:val="standardContextual"/>
              </w:rPr>
            </w:pPr>
            <w:r w:rsidRPr="00420D9B">
              <w:rPr>
                <w:rFonts w:ascii="Verdana" w:hAnsi="Verdana" w:cs="Arial"/>
              </w:rPr>
              <w:t>ALEXANDER RAMIREZ BERNAL</w:t>
            </w:r>
          </w:p>
        </w:tc>
      </w:tr>
      <w:tr w:rsidR="00420D9B" w:rsidRPr="00420D9B" w14:paraId="4C3FEF21" w14:textId="77777777" w:rsidTr="00030E32">
        <w:trPr>
          <w:cantSplit/>
        </w:trPr>
        <w:tc>
          <w:tcPr>
            <w:tcW w:w="3120" w:type="dxa"/>
            <w:hideMark/>
          </w:tcPr>
          <w:p w14:paraId="1451CAC5" w14:textId="7E11DAFA" w:rsidR="00030E32" w:rsidRPr="00420D9B" w:rsidRDefault="00030E32">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DEMANDADO:</w:t>
            </w:r>
          </w:p>
        </w:tc>
        <w:tc>
          <w:tcPr>
            <w:tcW w:w="6240" w:type="dxa"/>
            <w:hideMark/>
          </w:tcPr>
          <w:p w14:paraId="20DCA8AE" w14:textId="710353B3" w:rsidR="00030E32" w:rsidRPr="00420D9B" w:rsidRDefault="00250E0D">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EQUIRENT VEHÍCULOS Y MAQUINARIA S.A.S. Y OTRO</w:t>
            </w:r>
          </w:p>
        </w:tc>
      </w:tr>
      <w:tr w:rsidR="00420D9B" w:rsidRPr="00420D9B" w14:paraId="5C096CD6" w14:textId="77777777" w:rsidTr="00030E32">
        <w:trPr>
          <w:cantSplit/>
          <w:trHeight w:val="80"/>
        </w:trPr>
        <w:tc>
          <w:tcPr>
            <w:tcW w:w="3120" w:type="dxa"/>
            <w:hideMark/>
          </w:tcPr>
          <w:p w14:paraId="4BC5AF9C" w14:textId="3A34C7CE" w:rsidR="00030E32" w:rsidRPr="00420D9B" w:rsidRDefault="00030E32">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RADICADO:</w:t>
            </w:r>
          </w:p>
        </w:tc>
        <w:tc>
          <w:tcPr>
            <w:tcW w:w="6240" w:type="dxa"/>
            <w:hideMark/>
          </w:tcPr>
          <w:p w14:paraId="79EEDFB7" w14:textId="27AEF1B1" w:rsidR="00030E32" w:rsidRPr="00420D9B" w:rsidRDefault="00250E0D">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761473103002-</w:t>
            </w:r>
            <w:r w:rsidRPr="00420D9B">
              <w:rPr>
                <w:rFonts w:ascii="Verdana" w:hAnsi="Verdana" w:cs="Arial"/>
                <w:b/>
              </w:rPr>
              <w:t>2023-00133</w:t>
            </w:r>
            <w:r w:rsidRPr="00420D9B">
              <w:rPr>
                <w:rFonts w:ascii="Verdana" w:hAnsi="Verdana" w:cs="Arial"/>
              </w:rPr>
              <w:t xml:space="preserve">-00 </w:t>
            </w:r>
          </w:p>
        </w:tc>
      </w:tr>
      <w:tr w:rsidR="00420D9B" w:rsidRPr="00420D9B" w14:paraId="2FC35D52" w14:textId="77777777" w:rsidTr="00030E32">
        <w:trPr>
          <w:cantSplit/>
          <w:trHeight w:val="80"/>
        </w:trPr>
        <w:tc>
          <w:tcPr>
            <w:tcW w:w="3120" w:type="dxa"/>
          </w:tcPr>
          <w:p w14:paraId="258EF3B3" w14:textId="374F9F3C" w:rsidR="00250E0D" w:rsidRPr="00420D9B" w:rsidRDefault="00250E0D">
            <w:pPr>
              <w:tabs>
                <w:tab w:val="left" w:pos="426"/>
                <w:tab w:val="left" w:pos="2268"/>
              </w:tabs>
              <w:spacing w:after="0" w:line="276" w:lineRule="auto"/>
              <w:jc w:val="both"/>
              <w:rPr>
                <w:rFonts w:ascii="Verdana" w:hAnsi="Verdana" w:cs="Arial"/>
              </w:rPr>
            </w:pPr>
            <w:r w:rsidRPr="00420D9B">
              <w:rPr>
                <w:rFonts w:ascii="Verdana" w:hAnsi="Verdana" w:cs="Arial"/>
              </w:rPr>
              <w:t xml:space="preserve">DESPACHO: </w:t>
            </w:r>
          </w:p>
        </w:tc>
        <w:tc>
          <w:tcPr>
            <w:tcW w:w="6240" w:type="dxa"/>
          </w:tcPr>
          <w:p w14:paraId="7827F3DD" w14:textId="5520513C" w:rsidR="00250E0D" w:rsidRPr="00420D9B" w:rsidRDefault="00250E0D">
            <w:pPr>
              <w:tabs>
                <w:tab w:val="left" w:pos="426"/>
                <w:tab w:val="left" w:pos="2268"/>
              </w:tabs>
              <w:spacing w:after="0" w:line="276" w:lineRule="auto"/>
              <w:jc w:val="both"/>
              <w:rPr>
                <w:rFonts w:ascii="Verdana" w:hAnsi="Verdana" w:cs="Arial"/>
                <w:b/>
                <w:kern w:val="2"/>
                <w14:ligatures w14:val="standardContextual"/>
              </w:rPr>
            </w:pPr>
            <w:r w:rsidRPr="00420D9B">
              <w:rPr>
                <w:rFonts w:ascii="Verdana" w:hAnsi="Verdana" w:cs="Arial"/>
              </w:rPr>
              <w:t>JUZGADO SEGUNDO CIVIL DEL CIRCUITO DE CARTAGO (VALLE DEL CAUCA)</w:t>
            </w:r>
          </w:p>
        </w:tc>
      </w:tr>
    </w:tbl>
    <w:p w14:paraId="70A1233C" w14:textId="77777777" w:rsidR="005514B5" w:rsidRPr="00420D9B" w:rsidRDefault="005514B5">
      <w:pPr>
        <w:widowControl w:val="0"/>
        <w:autoSpaceDE w:val="0"/>
        <w:autoSpaceDN w:val="0"/>
        <w:adjustRightInd w:val="0"/>
        <w:spacing w:after="0" w:line="276" w:lineRule="auto"/>
        <w:jc w:val="both"/>
        <w:rPr>
          <w:rFonts w:ascii="Verdana" w:hAnsi="Verdana" w:cs="Arial"/>
          <w:bCs/>
        </w:rPr>
      </w:pPr>
    </w:p>
    <w:p w14:paraId="70D1984D" w14:textId="77777777" w:rsidR="005514B5" w:rsidRPr="00420D9B" w:rsidRDefault="005514B5">
      <w:pPr>
        <w:widowControl w:val="0"/>
        <w:autoSpaceDE w:val="0"/>
        <w:autoSpaceDN w:val="0"/>
        <w:adjustRightInd w:val="0"/>
        <w:spacing w:after="0" w:line="276" w:lineRule="auto"/>
        <w:jc w:val="both"/>
        <w:rPr>
          <w:rFonts w:ascii="Verdana" w:hAnsi="Verdana" w:cs="Arial"/>
          <w:bCs/>
        </w:rPr>
      </w:pPr>
    </w:p>
    <w:p w14:paraId="33CCA434" w14:textId="3F38AD3A" w:rsidR="005514B5" w:rsidRPr="00420D9B" w:rsidRDefault="005514B5">
      <w:pPr>
        <w:widowControl w:val="0"/>
        <w:autoSpaceDE w:val="0"/>
        <w:autoSpaceDN w:val="0"/>
        <w:adjustRightInd w:val="0"/>
        <w:spacing w:after="0" w:line="276" w:lineRule="auto"/>
        <w:jc w:val="both"/>
        <w:rPr>
          <w:rFonts w:ascii="Verdana" w:hAnsi="Verdana" w:cs="Arial"/>
          <w:b/>
          <w:bCs/>
        </w:rPr>
      </w:pPr>
      <w:r w:rsidRPr="00420D9B">
        <w:rPr>
          <w:rFonts w:ascii="Verdana" w:hAnsi="Verdana" w:cs="Arial"/>
          <w:b/>
          <w:bCs/>
        </w:rPr>
        <w:t xml:space="preserve">ASUNTO: </w:t>
      </w:r>
      <w:r w:rsidR="005F2338" w:rsidRPr="00420D9B">
        <w:rPr>
          <w:rFonts w:ascii="Verdana" w:hAnsi="Verdana" w:cs="Arial"/>
          <w:b/>
          <w:bCs/>
        </w:rPr>
        <w:t xml:space="preserve">REPORTE CONTESTACIÓN Y FORMULACIÓN DE LLAMAMIENTO EN </w:t>
      </w:r>
      <w:r w:rsidR="00492B04" w:rsidRPr="00420D9B">
        <w:rPr>
          <w:rFonts w:ascii="Verdana" w:hAnsi="Verdana" w:cs="Arial"/>
          <w:b/>
          <w:bCs/>
        </w:rPr>
        <w:t>GARANTÍA</w:t>
      </w:r>
      <w:r w:rsidR="005F2338" w:rsidRPr="00420D9B">
        <w:rPr>
          <w:rFonts w:ascii="Verdana" w:hAnsi="Verdana" w:cs="Arial"/>
          <w:b/>
          <w:bCs/>
        </w:rPr>
        <w:t xml:space="preserve"> - </w:t>
      </w:r>
      <w:r w:rsidR="00E60090" w:rsidRPr="00420D9B">
        <w:rPr>
          <w:rFonts w:ascii="Verdana" w:hAnsi="Verdana" w:cs="Arial"/>
          <w:b/>
          <w:bCs/>
        </w:rPr>
        <w:t>CALIFICACIÓN</w:t>
      </w:r>
      <w:r w:rsidR="008B6B9A" w:rsidRPr="00420D9B">
        <w:rPr>
          <w:rFonts w:ascii="Verdana" w:hAnsi="Verdana" w:cs="Arial"/>
          <w:b/>
          <w:bCs/>
        </w:rPr>
        <w:t xml:space="preserve"> Y </w:t>
      </w:r>
      <w:r w:rsidR="00E60090" w:rsidRPr="00420D9B">
        <w:rPr>
          <w:rFonts w:ascii="Verdana" w:hAnsi="Verdana" w:cs="Arial"/>
          <w:b/>
          <w:bCs/>
        </w:rPr>
        <w:t>LIQUIDACIÓN</w:t>
      </w:r>
      <w:r w:rsidR="008B6B9A" w:rsidRPr="00420D9B">
        <w:rPr>
          <w:rFonts w:ascii="Verdana" w:hAnsi="Verdana" w:cs="Arial"/>
          <w:b/>
          <w:bCs/>
        </w:rPr>
        <w:t xml:space="preserve"> OBJETIVA DE LA CONTINGENCIA</w:t>
      </w:r>
      <w:r w:rsidR="00D8755A" w:rsidRPr="00420D9B">
        <w:rPr>
          <w:rFonts w:ascii="Verdana" w:hAnsi="Verdana" w:cs="Arial"/>
          <w:b/>
          <w:bCs/>
        </w:rPr>
        <w:t xml:space="preserve"> </w:t>
      </w:r>
    </w:p>
    <w:p w14:paraId="50B5D87B" w14:textId="77777777" w:rsidR="005514B5" w:rsidRPr="00420D9B" w:rsidRDefault="005514B5">
      <w:pPr>
        <w:pStyle w:val="Ttulo5"/>
        <w:shd w:val="clear" w:color="auto" w:fill="FFFFFF"/>
        <w:spacing w:before="0" w:beforeAutospacing="0" w:after="0" w:afterAutospacing="0" w:line="276" w:lineRule="auto"/>
        <w:jc w:val="both"/>
        <w:rPr>
          <w:rFonts w:ascii="Verdana" w:hAnsi="Verdana" w:cs="Arial"/>
          <w:b w:val="0"/>
          <w:bCs w:val="0"/>
          <w:sz w:val="22"/>
          <w:szCs w:val="22"/>
          <w:u w:val="single"/>
        </w:rPr>
      </w:pPr>
    </w:p>
    <w:p w14:paraId="56FAD78C" w14:textId="59E60D6A" w:rsidR="005F2338" w:rsidRPr="00420D9B" w:rsidRDefault="005F2338">
      <w:pPr>
        <w:pStyle w:val="Default"/>
        <w:spacing w:line="276" w:lineRule="auto"/>
        <w:jc w:val="both"/>
        <w:rPr>
          <w:rFonts w:ascii="Verdana" w:hAnsi="Verdana"/>
          <w:color w:val="auto"/>
          <w:sz w:val="22"/>
          <w:szCs w:val="22"/>
        </w:rPr>
      </w:pPr>
      <w:r w:rsidRPr="00420D9B">
        <w:rPr>
          <w:rFonts w:ascii="Verdana" w:hAnsi="Verdana"/>
          <w:bCs/>
          <w:color w:val="auto"/>
          <w:sz w:val="22"/>
          <w:szCs w:val="22"/>
        </w:rPr>
        <w:t xml:space="preserve">El </w:t>
      </w:r>
      <w:r w:rsidR="00250E0D" w:rsidRPr="00420D9B">
        <w:rPr>
          <w:rFonts w:ascii="Verdana" w:hAnsi="Verdana"/>
          <w:bCs/>
          <w:color w:val="auto"/>
          <w:sz w:val="22"/>
          <w:szCs w:val="22"/>
        </w:rPr>
        <w:t xml:space="preserve">25 de enero de 2024 </w:t>
      </w:r>
      <w:r w:rsidRPr="00420D9B">
        <w:rPr>
          <w:rFonts w:ascii="Verdana" w:hAnsi="Verdana"/>
          <w:bCs/>
          <w:color w:val="auto"/>
          <w:sz w:val="22"/>
          <w:szCs w:val="22"/>
        </w:rPr>
        <w:t>se radicó ante el</w:t>
      </w:r>
      <w:r w:rsidR="00250E0D" w:rsidRPr="00420D9B">
        <w:rPr>
          <w:rFonts w:ascii="Verdana" w:hAnsi="Verdana"/>
          <w:bCs/>
          <w:color w:val="auto"/>
          <w:sz w:val="22"/>
          <w:szCs w:val="22"/>
        </w:rPr>
        <w:t xml:space="preserve"> Juzgado Segundo Civil del Circuito de Cartago</w:t>
      </w:r>
      <w:r w:rsidRPr="00420D9B">
        <w:rPr>
          <w:rFonts w:ascii="Verdana" w:hAnsi="Verdana"/>
          <w:bCs/>
          <w:color w:val="auto"/>
          <w:sz w:val="22"/>
          <w:szCs w:val="22"/>
        </w:rPr>
        <w:t xml:space="preserve">, contestación a la demanda y formulación de llamamiento en garantía a SBS Seguros Colombia S.A. Actuación adelantada en representación de </w:t>
      </w:r>
      <w:proofErr w:type="spellStart"/>
      <w:r w:rsidR="00250E0D" w:rsidRPr="00420D9B">
        <w:rPr>
          <w:rFonts w:ascii="Verdana" w:hAnsi="Verdana"/>
          <w:bCs/>
          <w:color w:val="auto"/>
          <w:sz w:val="22"/>
          <w:szCs w:val="22"/>
        </w:rPr>
        <w:t>Equirent</w:t>
      </w:r>
      <w:proofErr w:type="spellEnd"/>
      <w:r w:rsidR="00250E0D" w:rsidRPr="00420D9B">
        <w:rPr>
          <w:rFonts w:ascii="Verdana" w:hAnsi="Verdana"/>
          <w:bCs/>
          <w:color w:val="auto"/>
          <w:sz w:val="22"/>
          <w:szCs w:val="22"/>
        </w:rPr>
        <w:t xml:space="preserve"> Vehículos y Maquinaría S.A.S. </w:t>
      </w:r>
      <w:r w:rsidRPr="00420D9B">
        <w:rPr>
          <w:rFonts w:ascii="Verdana" w:hAnsi="Verdana"/>
          <w:color w:val="auto"/>
          <w:sz w:val="22"/>
          <w:szCs w:val="22"/>
        </w:rPr>
        <w:t xml:space="preserve">El llamamiento se formuló en virtud de la póliza </w:t>
      </w:r>
      <w:r w:rsidR="00250E0D" w:rsidRPr="00420D9B">
        <w:rPr>
          <w:rFonts w:ascii="Verdana" w:hAnsi="Verdana"/>
          <w:color w:val="auto"/>
          <w:sz w:val="22"/>
          <w:szCs w:val="22"/>
        </w:rPr>
        <w:t>de Seguros de Autom</w:t>
      </w:r>
      <w:r w:rsidR="00BD11AE" w:rsidRPr="00420D9B">
        <w:rPr>
          <w:rFonts w:ascii="Verdana" w:hAnsi="Verdana"/>
          <w:color w:val="auto"/>
          <w:sz w:val="22"/>
          <w:szCs w:val="22"/>
        </w:rPr>
        <w:t>ó</w:t>
      </w:r>
      <w:r w:rsidR="00250E0D" w:rsidRPr="00420D9B">
        <w:rPr>
          <w:rFonts w:ascii="Verdana" w:hAnsi="Verdana"/>
          <w:color w:val="auto"/>
          <w:sz w:val="22"/>
          <w:szCs w:val="22"/>
        </w:rPr>
        <w:t xml:space="preserve">viles Comercial No. 1096578 que ampara la responsabilidad civil generada por la conducción del vehículo de placas KYX430. </w:t>
      </w:r>
    </w:p>
    <w:p w14:paraId="5FA39AEA" w14:textId="7414A495" w:rsidR="005514B5" w:rsidRPr="00420D9B" w:rsidRDefault="005514B5">
      <w:pPr>
        <w:pStyle w:val="Ttulo5"/>
        <w:shd w:val="clear" w:color="auto" w:fill="FFFFFF"/>
        <w:spacing w:before="0" w:beforeAutospacing="0" w:after="0" w:afterAutospacing="0" w:line="276" w:lineRule="auto"/>
        <w:jc w:val="both"/>
        <w:rPr>
          <w:rFonts w:ascii="Verdana" w:hAnsi="Verdana" w:cs="Arial"/>
          <w:b w:val="0"/>
          <w:bCs w:val="0"/>
          <w:sz w:val="22"/>
          <w:szCs w:val="22"/>
          <w:u w:val="single"/>
        </w:rPr>
      </w:pPr>
    </w:p>
    <w:p w14:paraId="52BBCFDB" w14:textId="60CF1ADE" w:rsidR="00963427" w:rsidRPr="00420D9B" w:rsidRDefault="005D4EC6">
      <w:pPr>
        <w:pStyle w:val="Ttulo5"/>
        <w:shd w:val="clear" w:color="auto" w:fill="FFFFFF"/>
        <w:spacing w:before="0" w:beforeAutospacing="0" w:after="0" w:afterAutospacing="0" w:line="276" w:lineRule="auto"/>
        <w:jc w:val="both"/>
        <w:rPr>
          <w:rFonts w:ascii="Verdana" w:hAnsi="Verdana" w:cs="Arial"/>
          <w:sz w:val="22"/>
          <w:szCs w:val="22"/>
        </w:rPr>
      </w:pPr>
      <w:r w:rsidRPr="00420D9B">
        <w:rPr>
          <w:rFonts w:ascii="Verdana" w:hAnsi="Verdana" w:cs="Arial"/>
          <w:sz w:val="22"/>
          <w:szCs w:val="22"/>
          <w:u w:val="single"/>
        </w:rPr>
        <w:t>HECHOS</w:t>
      </w:r>
    </w:p>
    <w:p w14:paraId="5212AD11" w14:textId="77777777" w:rsidR="00963427" w:rsidRPr="00420D9B" w:rsidRDefault="00963427">
      <w:pPr>
        <w:pStyle w:val="Ttulo5"/>
        <w:shd w:val="clear" w:color="auto" w:fill="FFFFFF"/>
        <w:spacing w:before="0" w:beforeAutospacing="0" w:after="0" w:afterAutospacing="0" w:line="276" w:lineRule="auto"/>
        <w:jc w:val="both"/>
        <w:rPr>
          <w:rFonts w:ascii="Verdana" w:hAnsi="Verdana" w:cs="Arial"/>
          <w:b w:val="0"/>
          <w:bCs w:val="0"/>
          <w:sz w:val="22"/>
          <w:szCs w:val="22"/>
        </w:rPr>
      </w:pPr>
    </w:p>
    <w:p w14:paraId="2979A3DD" w14:textId="039A6013" w:rsidR="00250E0D" w:rsidRPr="00420D9B" w:rsidRDefault="00250E0D" w:rsidP="006D0C4F">
      <w:pPr>
        <w:pStyle w:val="NormalWeb"/>
        <w:shd w:val="clear" w:color="auto" w:fill="FFFFFF"/>
        <w:spacing w:before="0" w:beforeAutospacing="0" w:after="0" w:afterAutospacing="0" w:line="276" w:lineRule="auto"/>
        <w:jc w:val="both"/>
        <w:rPr>
          <w:rFonts w:ascii="Verdana" w:hAnsi="Verdana" w:cs="Arial"/>
          <w:sz w:val="22"/>
          <w:szCs w:val="22"/>
          <w:bdr w:val="none" w:sz="0" w:space="0" w:color="auto" w:frame="1"/>
          <w:lang w:val="es-CO"/>
        </w:rPr>
      </w:pPr>
      <w:r w:rsidRPr="00420D9B">
        <w:rPr>
          <w:rFonts w:ascii="Verdana" w:hAnsi="Verdana" w:cs="Arial"/>
          <w:sz w:val="22"/>
          <w:szCs w:val="22"/>
          <w:bdr w:val="none" w:sz="0" w:space="0" w:color="auto" w:frame="1"/>
          <w:lang w:val="es-CO"/>
        </w:rPr>
        <w:t>De acuerdo con los hechos narrados con el líbelo introductorio a la demanda, el día 28 de octubre de 2022, se presentó un accidente de tránsito en la carrera cuarta con calle 23 del municipio de Cartago (Valle del Cauca).   </w:t>
      </w:r>
    </w:p>
    <w:p w14:paraId="54645988" w14:textId="77777777" w:rsidR="00250E0D" w:rsidRPr="00420D9B" w:rsidRDefault="00250E0D" w:rsidP="006D0C4F">
      <w:pPr>
        <w:pStyle w:val="NormalWeb"/>
        <w:shd w:val="clear" w:color="auto" w:fill="FFFFFF"/>
        <w:spacing w:before="0" w:beforeAutospacing="0" w:after="0" w:afterAutospacing="0" w:line="276" w:lineRule="auto"/>
        <w:jc w:val="both"/>
        <w:rPr>
          <w:rFonts w:ascii="Verdana" w:hAnsi="Verdana" w:cs="Arial"/>
          <w:sz w:val="22"/>
          <w:szCs w:val="22"/>
          <w:lang w:val="es-CO"/>
        </w:rPr>
      </w:pPr>
    </w:p>
    <w:p w14:paraId="3A900B75" w14:textId="5A6B32BC" w:rsidR="00250E0D" w:rsidRPr="00420D9B" w:rsidRDefault="00250E0D" w:rsidP="006D0C4F">
      <w:pPr>
        <w:pStyle w:val="NormalWeb"/>
        <w:shd w:val="clear" w:color="auto" w:fill="FFFFFF"/>
        <w:spacing w:before="0" w:beforeAutospacing="0" w:after="0" w:afterAutospacing="0" w:line="276" w:lineRule="auto"/>
        <w:jc w:val="both"/>
        <w:rPr>
          <w:rFonts w:ascii="Verdana" w:hAnsi="Verdana" w:cs="Arial"/>
          <w:sz w:val="22"/>
          <w:szCs w:val="22"/>
          <w:lang w:val="es-CO"/>
        </w:rPr>
      </w:pPr>
      <w:r w:rsidRPr="00420D9B">
        <w:rPr>
          <w:rFonts w:ascii="Verdana" w:hAnsi="Verdana" w:cs="Arial"/>
          <w:sz w:val="22"/>
          <w:szCs w:val="22"/>
          <w:bdr w:val="none" w:sz="0" w:space="0" w:color="auto" w:frame="1"/>
          <w:lang w:val="es-CO"/>
        </w:rPr>
        <w:t xml:space="preserve">El accidente relacionado se produjo cuando el vehículo </w:t>
      </w:r>
      <w:r w:rsidR="006C456E" w:rsidRPr="00420D9B">
        <w:rPr>
          <w:rFonts w:ascii="Verdana" w:hAnsi="Verdana" w:cs="Arial"/>
          <w:sz w:val="22"/>
          <w:szCs w:val="22"/>
          <w:bdr w:val="none" w:sz="0" w:space="0" w:color="auto" w:frame="1"/>
          <w:lang w:val="es-CO"/>
        </w:rPr>
        <w:t xml:space="preserve">tipo camioneta </w:t>
      </w:r>
      <w:r w:rsidRPr="00420D9B">
        <w:rPr>
          <w:rFonts w:ascii="Verdana" w:hAnsi="Verdana" w:cs="Arial"/>
          <w:sz w:val="22"/>
          <w:szCs w:val="22"/>
          <w:bdr w:val="none" w:sz="0" w:space="0" w:color="auto" w:frame="1"/>
          <w:lang w:val="es-CO"/>
        </w:rPr>
        <w:t>de placas KYX-430 de propiedad de la empresa </w:t>
      </w:r>
      <w:proofErr w:type="spellStart"/>
      <w:r w:rsidRPr="00420D9B">
        <w:rPr>
          <w:rStyle w:val="mark68r6pxwyl"/>
          <w:rFonts w:ascii="Verdana" w:hAnsi="Verdana" w:cs="Arial"/>
          <w:sz w:val="22"/>
          <w:szCs w:val="22"/>
          <w:bdr w:val="none" w:sz="0" w:space="0" w:color="auto" w:frame="1"/>
          <w:lang w:val="es-CO"/>
        </w:rPr>
        <w:t>Equirent</w:t>
      </w:r>
      <w:proofErr w:type="spellEnd"/>
      <w:r w:rsidRPr="00420D9B">
        <w:rPr>
          <w:rFonts w:ascii="Verdana" w:hAnsi="Verdana" w:cs="Arial"/>
          <w:sz w:val="22"/>
          <w:szCs w:val="22"/>
          <w:bdr w:val="none" w:sz="0" w:space="0" w:color="auto" w:frame="1"/>
          <w:lang w:val="es-CO"/>
        </w:rPr>
        <w:t xml:space="preserve"> Vehículos y Maquinaria S.A.S conducido por el señor Francisco Moreno Pérez realiza un cruce repentino en una intersección impactando la motocicleta de placas QRF-20E en la que se desplazaba el señor Alexander Ramírez </w:t>
      </w:r>
      <w:r w:rsidR="006C456E" w:rsidRPr="00420D9B">
        <w:rPr>
          <w:rFonts w:ascii="Verdana" w:hAnsi="Verdana" w:cs="Arial"/>
          <w:sz w:val="22"/>
          <w:szCs w:val="22"/>
          <w:bdr w:val="none" w:sz="0" w:space="0" w:color="auto" w:frame="1"/>
          <w:lang w:val="es-CO"/>
        </w:rPr>
        <w:t xml:space="preserve">(demandante) </w:t>
      </w:r>
      <w:r w:rsidRPr="00420D9B">
        <w:rPr>
          <w:rFonts w:ascii="Verdana" w:hAnsi="Verdana" w:cs="Arial"/>
          <w:sz w:val="22"/>
          <w:szCs w:val="22"/>
          <w:bdr w:val="none" w:sz="0" w:space="0" w:color="auto" w:frame="1"/>
          <w:lang w:val="es-CO"/>
        </w:rPr>
        <w:t xml:space="preserve">como conductor. Por lo cual, en el IPAT se consigna la hipótesis No. 122 </w:t>
      </w:r>
      <w:r w:rsidR="006C456E" w:rsidRPr="00420D9B">
        <w:rPr>
          <w:rFonts w:ascii="Verdana" w:hAnsi="Verdana"/>
          <w:sz w:val="22"/>
          <w:szCs w:val="22"/>
          <w:lang w:val="es-CO"/>
        </w:rPr>
        <w:t xml:space="preserve">de la Resolución 0011268 de diciembre de 2012 </w:t>
      </w:r>
      <w:r w:rsidRPr="00420D9B">
        <w:rPr>
          <w:rFonts w:ascii="Verdana" w:hAnsi="Verdana" w:cs="Arial"/>
          <w:sz w:val="22"/>
          <w:szCs w:val="22"/>
          <w:bdr w:val="none" w:sz="0" w:space="0" w:color="auto" w:frame="1"/>
          <w:lang w:val="es-CO"/>
        </w:rPr>
        <w:t>es decir “</w:t>
      </w:r>
      <w:r w:rsidRPr="00420D9B">
        <w:rPr>
          <w:rFonts w:ascii="Verdana" w:hAnsi="Verdana" w:cs="Arial"/>
          <w:i/>
          <w:sz w:val="22"/>
          <w:szCs w:val="22"/>
          <w:bdr w:val="none" w:sz="0" w:space="0" w:color="auto" w:frame="1"/>
          <w:lang w:val="es-CO"/>
        </w:rPr>
        <w:t>girar bruscamente</w:t>
      </w:r>
      <w:r w:rsidRPr="00420D9B">
        <w:rPr>
          <w:rFonts w:ascii="Verdana" w:hAnsi="Verdana" w:cs="Arial"/>
          <w:sz w:val="22"/>
          <w:szCs w:val="22"/>
          <w:bdr w:val="none" w:sz="0" w:space="0" w:color="auto" w:frame="1"/>
          <w:lang w:val="es-CO"/>
        </w:rPr>
        <w:t xml:space="preserve">” atribuida al vehículo </w:t>
      </w:r>
      <w:r w:rsidR="006C456E" w:rsidRPr="00420D9B">
        <w:rPr>
          <w:rFonts w:ascii="Verdana" w:hAnsi="Verdana" w:cs="Arial"/>
          <w:sz w:val="22"/>
          <w:szCs w:val="22"/>
          <w:bdr w:val="none" w:sz="0" w:space="0" w:color="auto" w:frame="1"/>
          <w:lang w:val="es-CO"/>
        </w:rPr>
        <w:t xml:space="preserve">tipo camioneta </w:t>
      </w:r>
      <w:r w:rsidRPr="00420D9B">
        <w:rPr>
          <w:rFonts w:ascii="Verdana" w:hAnsi="Verdana" w:cs="Arial"/>
          <w:sz w:val="22"/>
          <w:szCs w:val="22"/>
          <w:bdr w:val="none" w:sz="0" w:space="0" w:color="auto" w:frame="1"/>
          <w:lang w:val="es-CO"/>
        </w:rPr>
        <w:t>de placas KYX-430.    </w:t>
      </w:r>
    </w:p>
    <w:p w14:paraId="43146DDB" w14:textId="27E33A92" w:rsidR="00250E0D" w:rsidRPr="00420D9B" w:rsidRDefault="00250E0D">
      <w:pPr>
        <w:pStyle w:val="NormalWeb"/>
        <w:shd w:val="clear" w:color="auto" w:fill="FFFFFF"/>
        <w:spacing w:before="0" w:beforeAutospacing="0" w:after="0" w:afterAutospacing="0" w:line="276" w:lineRule="auto"/>
        <w:jc w:val="both"/>
        <w:rPr>
          <w:rFonts w:ascii="Verdana" w:hAnsi="Verdana" w:cs="Arial"/>
          <w:sz w:val="22"/>
          <w:szCs w:val="22"/>
          <w:lang w:val="es-CO"/>
        </w:rPr>
      </w:pPr>
    </w:p>
    <w:p w14:paraId="01C7490C" w14:textId="77777777" w:rsidR="00250E0D" w:rsidRPr="00420D9B" w:rsidRDefault="00250E0D">
      <w:pPr>
        <w:pStyle w:val="NormalWeb"/>
        <w:shd w:val="clear" w:color="auto" w:fill="FFFFFF"/>
        <w:spacing w:before="0" w:beforeAutospacing="0" w:after="0" w:afterAutospacing="0" w:line="276" w:lineRule="auto"/>
        <w:jc w:val="both"/>
        <w:rPr>
          <w:rFonts w:ascii="Verdana" w:hAnsi="Verdana" w:cs="Arial"/>
          <w:sz w:val="22"/>
          <w:szCs w:val="22"/>
          <w:lang w:val="es-CO"/>
        </w:rPr>
      </w:pPr>
      <w:r w:rsidRPr="00420D9B">
        <w:rPr>
          <w:rFonts w:ascii="Verdana" w:hAnsi="Verdana" w:cs="Arial"/>
          <w:sz w:val="22"/>
          <w:szCs w:val="22"/>
          <w:bdr w:val="none" w:sz="0" w:space="0" w:color="auto" w:frame="1"/>
          <w:lang w:val="es-CO"/>
        </w:rPr>
        <w:t xml:space="preserve">Producto del accidente de tránsito el señor Alexander Ramírez tuvo traumatismo cerebral difuso y contusiones hemorrágicas </w:t>
      </w:r>
      <w:proofErr w:type="spellStart"/>
      <w:r w:rsidRPr="00420D9B">
        <w:rPr>
          <w:rFonts w:ascii="Verdana" w:hAnsi="Verdana" w:cs="Arial"/>
          <w:sz w:val="22"/>
          <w:szCs w:val="22"/>
          <w:bdr w:val="none" w:sz="0" w:space="0" w:color="auto" w:frame="1"/>
          <w:lang w:val="es-CO"/>
        </w:rPr>
        <w:t>frontoparietales</w:t>
      </w:r>
      <w:proofErr w:type="spellEnd"/>
      <w:r w:rsidRPr="00420D9B">
        <w:rPr>
          <w:rFonts w:ascii="Verdana" w:hAnsi="Verdana" w:cs="Arial"/>
          <w:sz w:val="22"/>
          <w:szCs w:val="22"/>
          <w:bdr w:val="none" w:sz="0" w:space="0" w:color="auto" w:frame="1"/>
          <w:lang w:val="es-CO"/>
        </w:rPr>
        <w:t>, por lo cual, decide acudir al médico particular Alexander Narváez Parra con el fin de que calificara la pérdida de capacidad laboral el cual arrojó un porcentaje de 11,58%.  </w:t>
      </w:r>
    </w:p>
    <w:p w14:paraId="554A06B5" w14:textId="77777777" w:rsidR="00250E0D" w:rsidRPr="00420D9B" w:rsidRDefault="00250E0D">
      <w:pPr>
        <w:pStyle w:val="NormalWeb"/>
        <w:shd w:val="clear" w:color="auto" w:fill="FFFFFF"/>
        <w:spacing w:before="0" w:beforeAutospacing="0" w:after="0" w:afterAutospacing="0" w:line="276" w:lineRule="auto"/>
        <w:jc w:val="both"/>
        <w:rPr>
          <w:rFonts w:ascii="Verdana" w:hAnsi="Verdana" w:cs="Arial"/>
          <w:sz w:val="22"/>
          <w:szCs w:val="22"/>
          <w:lang w:val="es-CO"/>
        </w:rPr>
      </w:pPr>
      <w:r w:rsidRPr="00420D9B">
        <w:rPr>
          <w:rFonts w:ascii="Verdana" w:hAnsi="Verdana" w:cs="Arial"/>
          <w:sz w:val="22"/>
          <w:szCs w:val="22"/>
          <w:bdr w:val="none" w:sz="0" w:space="0" w:color="auto" w:frame="1"/>
          <w:lang w:val="es-CO"/>
        </w:rPr>
        <w:br/>
      </w:r>
    </w:p>
    <w:p w14:paraId="010EC52C" w14:textId="211BD545" w:rsidR="00250E0D" w:rsidRPr="00420D9B" w:rsidRDefault="00250E0D">
      <w:pPr>
        <w:pStyle w:val="NormalWeb"/>
        <w:shd w:val="clear" w:color="auto" w:fill="FFFFFF"/>
        <w:spacing w:before="0" w:beforeAutospacing="0" w:after="0" w:afterAutospacing="0" w:line="276" w:lineRule="auto"/>
        <w:jc w:val="both"/>
        <w:rPr>
          <w:rFonts w:ascii="Verdana" w:hAnsi="Verdana" w:cs="Arial"/>
          <w:sz w:val="22"/>
          <w:szCs w:val="22"/>
          <w:lang w:val="es-CO"/>
        </w:rPr>
      </w:pPr>
      <w:r w:rsidRPr="00420D9B">
        <w:rPr>
          <w:rFonts w:ascii="Verdana" w:hAnsi="Verdana" w:cs="Arial"/>
          <w:sz w:val="22"/>
          <w:szCs w:val="22"/>
          <w:bdr w:val="none" w:sz="0" w:space="0" w:color="auto" w:frame="1"/>
          <w:lang w:val="es-CO"/>
        </w:rPr>
        <w:lastRenderedPageBreak/>
        <w:t xml:space="preserve">Referente a la responsabilidad del accidente, la parte activa señala que el conductor del vehículo </w:t>
      </w:r>
      <w:r w:rsidR="006C456E" w:rsidRPr="00420D9B">
        <w:rPr>
          <w:rFonts w:ascii="Verdana" w:hAnsi="Verdana" w:cs="Arial"/>
          <w:sz w:val="22"/>
          <w:szCs w:val="22"/>
          <w:bdr w:val="none" w:sz="0" w:space="0" w:color="auto" w:frame="1"/>
          <w:lang w:val="es-CO"/>
        </w:rPr>
        <w:t xml:space="preserve">tipo camioneta </w:t>
      </w:r>
      <w:r w:rsidRPr="00420D9B">
        <w:rPr>
          <w:rFonts w:ascii="Verdana" w:hAnsi="Verdana" w:cs="Arial"/>
          <w:sz w:val="22"/>
          <w:szCs w:val="22"/>
          <w:bdr w:val="none" w:sz="0" w:space="0" w:color="auto" w:frame="1"/>
          <w:lang w:val="es-CO"/>
        </w:rPr>
        <w:t>de placas KYX-430 es el causante del evento dañoso, toda vez que, realizó un cruce repentino sin tomar las medidas de precaución y diligencia invadiendo el otro carril, no obstante, a partir de la versión dada por el señor Francisco Moreno Pérez</w:t>
      </w:r>
      <w:r w:rsidRPr="00420D9B">
        <w:rPr>
          <w:rFonts w:ascii="Verdana" w:hAnsi="Verdana" w:cs="Arial"/>
          <w:sz w:val="22"/>
          <w:szCs w:val="22"/>
          <w:lang w:val="es-CO"/>
        </w:rPr>
        <w:t xml:space="preserve"> en su calidad de </w:t>
      </w:r>
      <w:r w:rsidR="00EF0A43" w:rsidRPr="00420D9B">
        <w:rPr>
          <w:rFonts w:ascii="Verdana" w:hAnsi="Verdana" w:cs="Arial"/>
          <w:sz w:val="22"/>
          <w:szCs w:val="22"/>
          <w:lang w:val="es-CO"/>
        </w:rPr>
        <w:t>conductor</w:t>
      </w:r>
      <w:r w:rsidRPr="00420D9B">
        <w:rPr>
          <w:rFonts w:ascii="Verdana" w:hAnsi="Verdana" w:cs="Arial"/>
          <w:sz w:val="22"/>
          <w:szCs w:val="22"/>
          <w:lang w:val="es-CO"/>
        </w:rPr>
        <w:t xml:space="preserve"> del vehículo asegurado, atribuye la causa del accidente en cabeza del demandante, toda vez que, conducía la motocicleta sin luces ni chaleco reflectivo por lo que se convirtió en un agente vial imperceptible</w:t>
      </w:r>
      <w:r w:rsidR="00EF0A43" w:rsidRPr="00420D9B">
        <w:rPr>
          <w:rFonts w:ascii="Verdana" w:hAnsi="Verdana" w:cs="Arial"/>
          <w:sz w:val="22"/>
          <w:szCs w:val="22"/>
          <w:lang w:val="es-CO"/>
        </w:rPr>
        <w:t xml:space="preserve">. </w:t>
      </w:r>
    </w:p>
    <w:p w14:paraId="6323C902" w14:textId="77777777" w:rsidR="00BD11AE" w:rsidRPr="00420D9B" w:rsidRDefault="00BD11AE">
      <w:pPr>
        <w:pStyle w:val="NormalWeb"/>
        <w:shd w:val="clear" w:color="auto" w:fill="FFFFFF"/>
        <w:spacing w:before="0" w:beforeAutospacing="0" w:after="0" w:afterAutospacing="0" w:line="276" w:lineRule="auto"/>
        <w:jc w:val="both"/>
        <w:rPr>
          <w:rFonts w:ascii="Verdana" w:hAnsi="Verdana" w:cs="Arial"/>
          <w:sz w:val="22"/>
          <w:szCs w:val="22"/>
          <w:lang w:val="es-CO"/>
        </w:rPr>
      </w:pPr>
    </w:p>
    <w:p w14:paraId="2EAED126" w14:textId="5425E485" w:rsidR="00250E0D" w:rsidRPr="00420D9B" w:rsidRDefault="00250E0D">
      <w:pPr>
        <w:pStyle w:val="NormalWeb"/>
        <w:shd w:val="clear" w:color="auto" w:fill="FFFFFF"/>
        <w:spacing w:before="0" w:beforeAutospacing="0" w:after="0" w:afterAutospacing="0" w:line="276" w:lineRule="auto"/>
        <w:jc w:val="both"/>
        <w:rPr>
          <w:rFonts w:ascii="Verdana" w:hAnsi="Verdana" w:cs="Arial"/>
          <w:sz w:val="22"/>
          <w:szCs w:val="22"/>
          <w:lang w:val="es-CO"/>
        </w:rPr>
      </w:pPr>
      <w:r w:rsidRPr="00420D9B">
        <w:rPr>
          <w:rFonts w:ascii="Verdana" w:hAnsi="Verdana" w:cs="Arial"/>
          <w:sz w:val="22"/>
          <w:szCs w:val="22"/>
          <w:bdr w:val="none" w:sz="0" w:space="0" w:color="auto" w:frame="1"/>
          <w:lang w:val="es-CO"/>
        </w:rPr>
        <w:t>Del resumen fáctico, se tiene que el señor</w:t>
      </w:r>
      <w:r w:rsidR="00BD11AE" w:rsidRPr="00420D9B">
        <w:rPr>
          <w:rFonts w:ascii="Verdana" w:hAnsi="Verdana" w:cs="Arial"/>
          <w:sz w:val="22"/>
          <w:szCs w:val="22"/>
          <w:bdr w:val="none" w:sz="0" w:space="0" w:color="auto" w:frame="1"/>
          <w:lang w:val="es-CO"/>
        </w:rPr>
        <w:t xml:space="preserve"> </w:t>
      </w:r>
      <w:r w:rsidRPr="00420D9B">
        <w:rPr>
          <w:rFonts w:ascii="Verdana" w:hAnsi="Verdana" w:cs="Arial"/>
          <w:sz w:val="22"/>
          <w:szCs w:val="22"/>
          <w:bdr w:val="none" w:sz="0" w:space="0" w:color="auto" w:frame="1"/>
          <w:lang w:val="es-CO"/>
        </w:rPr>
        <w:t xml:space="preserve">Alexander Ramírez </w:t>
      </w:r>
      <w:r w:rsidR="00EF0A43" w:rsidRPr="00420D9B">
        <w:rPr>
          <w:rFonts w:ascii="Verdana" w:hAnsi="Verdana" w:cs="Arial"/>
          <w:sz w:val="22"/>
          <w:szCs w:val="22"/>
          <w:bdr w:val="none" w:sz="0" w:space="0" w:color="auto" w:frame="1"/>
          <w:lang w:val="es-CO"/>
        </w:rPr>
        <w:t>en calidad de víctima directa,</w:t>
      </w:r>
      <w:r w:rsidR="00BD11AE" w:rsidRPr="00420D9B">
        <w:rPr>
          <w:rFonts w:ascii="Verdana" w:hAnsi="Verdana" w:cs="Arial"/>
          <w:sz w:val="22"/>
          <w:szCs w:val="22"/>
          <w:bdr w:val="none" w:sz="0" w:space="0" w:color="auto" w:frame="1"/>
          <w:lang w:val="es-CO"/>
        </w:rPr>
        <w:t xml:space="preserve"> </w:t>
      </w:r>
      <w:r w:rsidRPr="00420D9B">
        <w:rPr>
          <w:rFonts w:ascii="Verdana" w:hAnsi="Verdana" w:cs="Arial"/>
          <w:sz w:val="22"/>
          <w:szCs w:val="22"/>
          <w:bdr w:val="none" w:sz="0" w:space="0" w:color="auto" w:frame="1"/>
          <w:lang w:val="es-CO"/>
        </w:rPr>
        <w:t>solicita el reconocimiento de perjuicios patrimoniales y extrapatrimoniales por el accidente de tránsito.  </w:t>
      </w:r>
    </w:p>
    <w:p w14:paraId="672D952B" w14:textId="77777777" w:rsidR="00E31D88" w:rsidRPr="00420D9B" w:rsidRDefault="00E31D88">
      <w:pPr>
        <w:pStyle w:val="Default"/>
        <w:spacing w:line="276" w:lineRule="auto"/>
        <w:jc w:val="both"/>
        <w:rPr>
          <w:rFonts w:ascii="Verdana" w:hAnsi="Verdana"/>
          <w:color w:val="auto"/>
          <w:sz w:val="22"/>
          <w:szCs w:val="22"/>
        </w:rPr>
      </w:pPr>
    </w:p>
    <w:p w14:paraId="75F8C76B" w14:textId="18A6B918" w:rsidR="008B6B9A" w:rsidRPr="00420D9B" w:rsidRDefault="008B6B9A">
      <w:pPr>
        <w:pStyle w:val="Default"/>
        <w:spacing w:line="276" w:lineRule="auto"/>
        <w:jc w:val="both"/>
        <w:rPr>
          <w:rFonts w:ascii="Verdana" w:hAnsi="Verdana"/>
          <w:b/>
          <w:bCs/>
          <w:color w:val="auto"/>
          <w:sz w:val="22"/>
          <w:szCs w:val="22"/>
          <w:u w:val="single"/>
        </w:rPr>
      </w:pPr>
      <w:r w:rsidRPr="00420D9B">
        <w:rPr>
          <w:rFonts w:ascii="Verdana" w:hAnsi="Verdana"/>
          <w:b/>
          <w:bCs/>
          <w:color w:val="auto"/>
          <w:sz w:val="22"/>
          <w:szCs w:val="22"/>
          <w:u w:val="single"/>
        </w:rPr>
        <w:t>PRETENSIONES DE LA DEMANDA</w:t>
      </w:r>
    </w:p>
    <w:p w14:paraId="1F3C1895" w14:textId="77777777" w:rsidR="008B6B9A" w:rsidRPr="00420D9B" w:rsidRDefault="008B6B9A">
      <w:pPr>
        <w:pStyle w:val="Default"/>
        <w:spacing w:line="276" w:lineRule="auto"/>
        <w:jc w:val="both"/>
        <w:rPr>
          <w:rFonts w:ascii="Verdana" w:hAnsi="Verdana"/>
          <w:color w:val="auto"/>
          <w:sz w:val="22"/>
          <w:szCs w:val="22"/>
        </w:rPr>
      </w:pPr>
    </w:p>
    <w:p w14:paraId="41B2BB30" w14:textId="0AD4B6EF" w:rsidR="00CB343A" w:rsidRPr="00420D9B" w:rsidRDefault="005514B5">
      <w:pPr>
        <w:pStyle w:val="Default"/>
        <w:spacing w:line="276" w:lineRule="auto"/>
        <w:jc w:val="both"/>
        <w:rPr>
          <w:rFonts w:ascii="Verdana" w:hAnsi="Verdana"/>
          <w:color w:val="auto"/>
          <w:sz w:val="22"/>
          <w:szCs w:val="22"/>
        </w:rPr>
      </w:pPr>
      <w:r w:rsidRPr="00420D9B">
        <w:rPr>
          <w:rFonts w:ascii="Verdana" w:hAnsi="Verdana"/>
          <w:color w:val="auto"/>
          <w:sz w:val="22"/>
          <w:szCs w:val="22"/>
        </w:rPr>
        <w:t>Las pretensiones de la demanda se encaminan al reconocimiento y pago</w:t>
      </w:r>
      <w:r w:rsidR="008B6B9A" w:rsidRPr="00420D9B">
        <w:rPr>
          <w:rFonts w:ascii="Verdana" w:hAnsi="Verdana"/>
          <w:color w:val="auto"/>
          <w:sz w:val="22"/>
          <w:szCs w:val="22"/>
        </w:rPr>
        <w:t>s</w:t>
      </w:r>
      <w:r w:rsidRPr="00420D9B">
        <w:rPr>
          <w:rFonts w:ascii="Verdana" w:hAnsi="Verdana"/>
          <w:color w:val="auto"/>
          <w:sz w:val="22"/>
          <w:szCs w:val="22"/>
        </w:rPr>
        <w:t xml:space="preserve"> de la</w:t>
      </w:r>
      <w:r w:rsidR="008B6B9A" w:rsidRPr="00420D9B">
        <w:rPr>
          <w:rFonts w:ascii="Verdana" w:hAnsi="Verdana"/>
          <w:color w:val="auto"/>
          <w:sz w:val="22"/>
          <w:szCs w:val="22"/>
        </w:rPr>
        <w:t>s</w:t>
      </w:r>
      <w:r w:rsidRPr="00420D9B">
        <w:rPr>
          <w:rFonts w:ascii="Verdana" w:hAnsi="Verdana"/>
          <w:color w:val="auto"/>
          <w:sz w:val="22"/>
          <w:szCs w:val="22"/>
        </w:rPr>
        <w:t xml:space="preserve"> </w:t>
      </w:r>
      <w:r w:rsidR="008B6B9A" w:rsidRPr="00420D9B">
        <w:rPr>
          <w:rFonts w:ascii="Verdana" w:hAnsi="Verdana"/>
          <w:color w:val="auto"/>
          <w:sz w:val="22"/>
          <w:szCs w:val="22"/>
        </w:rPr>
        <w:t xml:space="preserve">siguientes </w:t>
      </w:r>
      <w:r w:rsidRPr="00420D9B">
        <w:rPr>
          <w:rFonts w:ascii="Verdana" w:hAnsi="Verdana"/>
          <w:color w:val="auto"/>
          <w:sz w:val="22"/>
          <w:szCs w:val="22"/>
        </w:rPr>
        <w:t>suma</w:t>
      </w:r>
      <w:r w:rsidR="008B6B9A" w:rsidRPr="00420D9B">
        <w:rPr>
          <w:rFonts w:ascii="Verdana" w:hAnsi="Verdana"/>
          <w:color w:val="auto"/>
          <w:sz w:val="22"/>
          <w:szCs w:val="22"/>
        </w:rPr>
        <w:t>s</w:t>
      </w:r>
      <w:r w:rsidR="007B4071" w:rsidRPr="00420D9B">
        <w:rPr>
          <w:rFonts w:ascii="Verdana" w:hAnsi="Verdana"/>
          <w:color w:val="auto"/>
          <w:sz w:val="22"/>
          <w:szCs w:val="22"/>
        </w:rPr>
        <w:t xml:space="preserve">: </w:t>
      </w:r>
    </w:p>
    <w:p w14:paraId="6F2665A1" w14:textId="7945FCA9" w:rsidR="00EF0A43" w:rsidRPr="00420D9B" w:rsidRDefault="00EF0A43">
      <w:pPr>
        <w:numPr>
          <w:ilvl w:val="0"/>
          <w:numId w:val="6"/>
        </w:numPr>
        <w:shd w:val="clear" w:color="auto" w:fill="FFFFFF"/>
        <w:spacing w:beforeAutospacing="1" w:after="0" w:afterAutospacing="1" w:line="276" w:lineRule="auto"/>
        <w:jc w:val="both"/>
        <w:rPr>
          <w:rFonts w:ascii="Verdana" w:hAnsi="Verdana" w:cs="Arial"/>
          <w:lang w:val="en-US"/>
        </w:rPr>
      </w:pPr>
      <w:r w:rsidRPr="00420D9B">
        <w:rPr>
          <w:rFonts w:ascii="Verdana" w:hAnsi="Verdana" w:cs="Arial"/>
          <w:b/>
          <w:bCs/>
          <w:bdr w:val="none" w:sz="0" w:space="0" w:color="auto" w:frame="1"/>
        </w:rPr>
        <w:t>Perjuicios extrapatrimoniales: </w:t>
      </w:r>
      <w:r w:rsidRPr="00420D9B">
        <w:rPr>
          <w:rFonts w:ascii="Verdana" w:hAnsi="Verdana" w:cs="Arial"/>
          <w:bdr w:val="none" w:sz="0" w:space="0" w:color="auto" w:frame="1"/>
        </w:rPr>
        <w:t> </w:t>
      </w:r>
    </w:p>
    <w:p w14:paraId="2F15BCB6" w14:textId="4CBCAD77" w:rsidR="00EF0A43" w:rsidRPr="00420D9B" w:rsidRDefault="00EF0A43">
      <w:pPr>
        <w:numPr>
          <w:ilvl w:val="1"/>
          <w:numId w:val="7"/>
        </w:numPr>
        <w:shd w:val="clear" w:color="auto" w:fill="FFFFFF"/>
        <w:spacing w:after="0" w:line="276" w:lineRule="auto"/>
        <w:jc w:val="both"/>
        <w:rPr>
          <w:rFonts w:ascii="Verdana" w:hAnsi="Verdana" w:cs="Arial"/>
        </w:rPr>
      </w:pPr>
      <w:r w:rsidRPr="00420D9B">
        <w:rPr>
          <w:rFonts w:ascii="Verdana" w:hAnsi="Verdana" w:cs="Arial"/>
          <w:b/>
          <w:bCs/>
          <w:bdr w:val="none" w:sz="0" w:space="0" w:color="auto" w:frame="1"/>
        </w:rPr>
        <w:t>Daño moral:</w:t>
      </w:r>
      <w:r w:rsidR="00BD11AE" w:rsidRPr="00420D9B">
        <w:rPr>
          <w:rFonts w:ascii="Verdana" w:hAnsi="Verdana" w:cs="Arial"/>
          <w:b/>
          <w:bCs/>
          <w:bdr w:val="none" w:sz="0" w:space="0" w:color="auto" w:frame="1"/>
        </w:rPr>
        <w:t xml:space="preserve"> </w:t>
      </w:r>
      <w:r w:rsidRPr="00420D9B">
        <w:rPr>
          <w:rFonts w:ascii="Verdana" w:hAnsi="Verdana" w:cs="Arial"/>
          <w:bdr w:val="none" w:sz="0" w:space="0" w:color="auto" w:frame="1"/>
        </w:rPr>
        <w:t>A favor del demandante ALEXANDER RAMIREZ BERNAL, una suma de $80.000.000</w:t>
      </w:r>
      <w:r w:rsidRPr="00420D9B">
        <w:rPr>
          <w:rFonts w:ascii="Verdana" w:hAnsi="Verdana" w:cs="Arial"/>
          <w:b/>
          <w:bCs/>
          <w:bdr w:val="none" w:sz="0" w:space="0" w:color="auto" w:frame="1"/>
        </w:rPr>
        <w:t> </w:t>
      </w:r>
      <w:r w:rsidRPr="00420D9B">
        <w:rPr>
          <w:rFonts w:ascii="Verdana" w:hAnsi="Verdana" w:cs="Arial"/>
          <w:bdr w:val="none" w:sz="0" w:space="0" w:color="auto" w:frame="1"/>
        </w:rPr>
        <w:t> </w:t>
      </w:r>
    </w:p>
    <w:p w14:paraId="6FF56942" w14:textId="7D577E53" w:rsidR="00EF0A43" w:rsidRPr="00420D9B" w:rsidRDefault="00EF0A43">
      <w:pPr>
        <w:numPr>
          <w:ilvl w:val="1"/>
          <w:numId w:val="7"/>
        </w:numPr>
        <w:shd w:val="clear" w:color="auto" w:fill="FFFFFF"/>
        <w:spacing w:after="0" w:line="276" w:lineRule="auto"/>
        <w:jc w:val="both"/>
        <w:rPr>
          <w:rFonts w:ascii="Verdana" w:hAnsi="Verdana" w:cs="Arial"/>
        </w:rPr>
      </w:pPr>
      <w:r w:rsidRPr="00420D9B">
        <w:rPr>
          <w:rFonts w:ascii="Verdana" w:hAnsi="Verdana" w:cs="Arial"/>
          <w:b/>
          <w:bCs/>
          <w:bdr w:val="none" w:sz="0" w:space="0" w:color="auto" w:frame="1"/>
        </w:rPr>
        <w:t>Daño a la vida y relación:</w:t>
      </w:r>
      <w:r w:rsidR="00BD11AE" w:rsidRPr="00420D9B">
        <w:rPr>
          <w:rFonts w:ascii="Verdana" w:hAnsi="Verdana" w:cs="Arial"/>
          <w:b/>
          <w:bCs/>
          <w:bdr w:val="none" w:sz="0" w:space="0" w:color="auto" w:frame="1"/>
        </w:rPr>
        <w:t xml:space="preserve"> </w:t>
      </w:r>
      <w:r w:rsidRPr="00420D9B">
        <w:rPr>
          <w:rFonts w:ascii="Verdana" w:hAnsi="Verdana" w:cs="Arial"/>
          <w:bdr w:val="none" w:sz="0" w:space="0" w:color="auto" w:frame="1"/>
        </w:rPr>
        <w:t>A favor del demandante ALEXANDER RAMIREZ BERNAL, una suma de $80.000.000</w:t>
      </w:r>
      <w:r w:rsidRPr="00420D9B">
        <w:rPr>
          <w:rFonts w:ascii="Verdana" w:hAnsi="Verdana" w:cs="Arial"/>
          <w:b/>
          <w:bCs/>
          <w:bdr w:val="none" w:sz="0" w:space="0" w:color="auto" w:frame="1"/>
        </w:rPr>
        <w:t> </w:t>
      </w:r>
      <w:r w:rsidRPr="00420D9B">
        <w:rPr>
          <w:rFonts w:ascii="Verdana" w:hAnsi="Verdana" w:cs="Arial"/>
          <w:bdr w:val="none" w:sz="0" w:space="0" w:color="auto" w:frame="1"/>
        </w:rPr>
        <w:t> </w:t>
      </w:r>
    </w:p>
    <w:p w14:paraId="34D3EC55" w14:textId="77777777" w:rsidR="00EF0A43" w:rsidRPr="00420D9B" w:rsidRDefault="00EF0A43">
      <w:pPr>
        <w:pStyle w:val="NormalWeb"/>
        <w:shd w:val="clear" w:color="auto" w:fill="FFFFFF"/>
        <w:spacing w:before="0" w:beforeAutospacing="0" w:after="0" w:afterAutospacing="0" w:line="276" w:lineRule="auto"/>
        <w:ind w:left="1440"/>
        <w:jc w:val="both"/>
        <w:rPr>
          <w:rFonts w:ascii="Verdana" w:hAnsi="Verdana" w:cs="Arial"/>
          <w:sz w:val="22"/>
          <w:szCs w:val="22"/>
          <w:lang w:val="es-CO"/>
        </w:rPr>
      </w:pPr>
      <w:r w:rsidRPr="00420D9B">
        <w:rPr>
          <w:rFonts w:ascii="Verdana" w:hAnsi="Verdana" w:cs="Arial"/>
          <w:sz w:val="22"/>
          <w:szCs w:val="22"/>
          <w:bdr w:val="none" w:sz="0" w:space="0" w:color="auto" w:frame="1"/>
          <w:lang w:val="es-CO"/>
        </w:rPr>
        <w:t> </w:t>
      </w:r>
    </w:p>
    <w:p w14:paraId="428937D4" w14:textId="3EAFE739" w:rsidR="00EF0A43" w:rsidRPr="00420D9B" w:rsidRDefault="00EF0A43">
      <w:pPr>
        <w:numPr>
          <w:ilvl w:val="0"/>
          <w:numId w:val="8"/>
        </w:numPr>
        <w:shd w:val="clear" w:color="auto" w:fill="FFFFFF"/>
        <w:spacing w:beforeAutospacing="1" w:after="0" w:afterAutospacing="1" w:line="276" w:lineRule="auto"/>
        <w:jc w:val="both"/>
        <w:rPr>
          <w:rFonts w:ascii="Verdana" w:hAnsi="Verdana" w:cs="Arial"/>
        </w:rPr>
      </w:pPr>
      <w:r w:rsidRPr="00420D9B">
        <w:rPr>
          <w:rFonts w:ascii="Verdana" w:hAnsi="Verdana" w:cs="Arial"/>
          <w:b/>
          <w:bCs/>
          <w:bdr w:val="none" w:sz="0" w:space="0" w:color="auto" w:frame="1"/>
        </w:rPr>
        <w:t>Daño patrimonial: $41.646.288</w:t>
      </w:r>
      <w:r w:rsidR="00BD11AE" w:rsidRPr="00420D9B">
        <w:rPr>
          <w:rFonts w:ascii="Verdana" w:hAnsi="Verdana" w:cs="Arial"/>
          <w:b/>
          <w:bCs/>
          <w:bdr w:val="none" w:sz="0" w:space="0" w:color="auto" w:frame="1"/>
        </w:rPr>
        <w:t xml:space="preserve"> </w:t>
      </w:r>
      <w:r w:rsidRPr="00420D9B">
        <w:rPr>
          <w:rFonts w:ascii="Verdana" w:hAnsi="Verdana" w:cs="Arial"/>
          <w:bdr w:val="none" w:sz="0" w:space="0" w:color="auto" w:frame="1"/>
        </w:rPr>
        <w:t>dividido en las siguientes sumas de dinero:</w:t>
      </w:r>
    </w:p>
    <w:p w14:paraId="252F8F37" w14:textId="77777777" w:rsidR="00EF0A43" w:rsidRPr="00420D9B" w:rsidRDefault="00EF0A43">
      <w:pPr>
        <w:numPr>
          <w:ilvl w:val="0"/>
          <w:numId w:val="13"/>
        </w:numPr>
        <w:shd w:val="clear" w:color="auto" w:fill="FFFFFF"/>
        <w:spacing w:after="0" w:line="276" w:lineRule="auto"/>
        <w:jc w:val="both"/>
        <w:rPr>
          <w:rFonts w:ascii="Verdana" w:hAnsi="Verdana" w:cs="Arial"/>
        </w:rPr>
      </w:pPr>
      <w:r w:rsidRPr="00420D9B">
        <w:rPr>
          <w:rFonts w:ascii="Verdana" w:hAnsi="Verdana" w:cs="Arial"/>
          <w:b/>
          <w:bdr w:val="none" w:sz="0" w:space="0" w:color="auto" w:frame="1"/>
        </w:rPr>
        <w:t>Daño emergente consolidado:</w:t>
      </w:r>
      <w:r w:rsidRPr="00420D9B">
        <w:rPr>
          <w:rFonts w:ascii="Verdana" w:hAnsi="Verdana" w:cs="Arial"/>
          <w:bdr w:val="none" w:sz="0" w:space="0" w:color="auto" w:frame="1"/>
        </w:rPr>
        <w:t xml:space="preserve"> (Servicio de grúa, parqueo en los patios, copia del SOAT y peritaje de la moto) $575.250 </w:t>
      </w:r>
    </w:p>
    <w:p w14:paraId="2C960A99" w14:textId="77777777" w:rsidR="00EF0A43" w:rsidRPr="00420D9B" w:rsidRDefault="00EF0A43">
      <w:pPr>
        <w:numPr>
          <w:ilvl w:val="0"/>
          <w:numId w:val="13"/>
        </w:numPr>
        <w:shd w:val="clear" w:color="auto" w:fill="FFFFFF"/>
        <w:spacing w:after="0" w:line="276" w:lineRule="auto"/>
        <w:jc w:val="both"/>
        <w:rPr>
          <w:rFonts w:ascii="Verdana" w:hAnsi="Verdana" w:cs="Arial"/>
        </w:rPr>
      </w:pPr>
      <w:r w:rsidRPr="00420D9B">
        <w:rPr>
          <w:rFonts w:ascii="Verdana" w:hAnsi="Verdana" w:cs="Arial"/>
          <w:b/>
          <w:bdr w:val="none" w:sz="0" w:space="0" w:color="auto" w:frame="1"/>
        </w:rPr>
        <w:t>Daño emergente futuro:</w:t>
      </w:r>
      <w:r w:rsidRPr="00420D9B">
        <w:rPr>
          <w:rFonts w:ascii="Verdana" w:hAnsi="Verdana" w:cs="Arial"/>
          <w:bdr w:val="none" w:sz="0" w:space="0" w:color="auto" w:frame="1"/>
        </w:rPr>
        <w:t xml:space="preserve"> (daños ocasionados a la motocicleta de placas QRF-20E) $5.298.250 </w:t>
      </w:r>
    </w:p>
    <w:p w14:paraId="13214C5A" w14:textId="77777777" w:rsidR="00EF0A43" w:rsidRPr="00420D9B" w:rsidRDefault="00EF0A43">
      <w:pPr>
        <w:numPr>
          <w:ilvl w:val="0"/>
          <w:numId w:val="13"/>
        </w:numPr>
        <w:shd w:val="clear" w:color="auto" w:fill="FFFFFF"/>
        <w:spacing w:after="0" w:line="276" w:lineRule="auto"/>
        <w:jc w:val="both"/>
        <w:rPr>
          <w:rFonts w:ascii="Verdana" w:hAnsi="Verdana" w:cs="Arial"/>
        </w:rPr>
      </w:pPr>
      <w:r w:rsidRPr="00420D9B">
        <w:rPr>
          <w:rFonts w:ascii="Verdana" w:hAnsi="Verdana" w:cs="Arial"/>
          <w:b/>
          <w:bdr w:val="none" w:sz="0" w:space="0" w:color="auto" w:frame="1"/>
        </w:rPr>
        <w:t>Lucro cesante consolidado:</w:t>
      </w:r>
      <w:r w:rsidRPr="00420D9B">
        <w:rPr>
          <w:rFonts w:ascii="Verdana" w:hAnsi="Verdana" w:cs="Arial"/>
          <w:bdr w:val="none" w:sz="0" w:space="0" w:color="auto" w:frame="1"/>
        </w:rPr>
        <w:t xml:space="preserve"> $2.339.506 </w:t>
      </w:r>
    </w:p>
    <w:p w14:paraId="7F7AD815" w14:textId="77777777" w:rsidR="00EF0A43" w:rsidRPr="00420D9B" w:rsidRDefault="00EF0A43">
      <w:pPr>
        <w:numPr>
          <w:ilvl w:val="0"/>
          <w:numId w:val="13"/>
        </w:numPr>
        <w:shd w:val="clear" w:color="auto" w:fill="FFFFFF"/>
        <w:spacing w:after="0" w:line="276" w:lineRule="auto"/>
        <w:jc w:val="both"/>
        <w:rPr>
          <w:rFonts w:ascii="Verdana" w:hAnsi="Verdana" w:cs="Arial"/>
        </w:rPr>
      </w:pPr>
      <w:r w:rsidRPr="00420D9B">
        <w:rPr>
          <w:rFonts w:ascii="Verdana" w:hAnsi="Verdana" w:cs="Arial"/>
          <w:b/>
          <w:bdr w:val="none" w:sz="0" w:space="0" w:color="auto" w:frame="1"/>
        </w:rPr>
        <w:t>Lucro cesante futuro:</w:t>
      </w:r>
      <w:r w:rsidRPr="00420D9B">
        <w:rPr>
          <w:rFonts w:ascii="Verdana" w:hAnsi="Verdana" w:cs="Arial"/>
          <w:bdr w:val="none" w:sz="0" w:space="0" w:color="auto" w:frame="1"/>
        </w:rPr>
        <w:t xml:space="preserve"> $34.008.532 </w:t>
      </w:r>
    </w:p>
    <w:p w14:paraId="7A50EBFF" w14:textId="77777777" w:rsidR="00BD11AE" w:rsidRPr="00420D9B" w:rsidRDefault="00BD11AE" w:rsidP="006D0C4F">
      <w:pPr>
        <w:pStyle w:val="NormalWeb"/>
        <w:shd w:val="clear" w:color="auto" w:fill="FFFFFF"/>
        <w:spacing w:before="0" w:beforeAutospacing="0" w:after="0" w:afterAutospacing="0" w:line="276" w:lineRule="auto"/>
        <w:jc w:val="both"/>
        <w:rPr>
          <w:rFonts w:ascii="Verdana" w:hAnsi="Verdana" w:cs="Arial"/>
          <w:sz w:val="22"/>
          <w:szCs w:val="22"/>
          <w:bdr w:val="none" w:sz="0" w:space="0" w:color="auto" w:frame="1"/>
        </w:rPr>
      </w:pPr>
    </w:p>
    <w:p w14:paraId="448B1C1C" w14:textId="10C13DCC" w:rsidR="00EF0A43" w:rsidRPr="00420D9B" w:rsidRDefault="00EF0A43" w:rsidP="006D0C4F">
      <w:pPr>
        <w:pStyle w:val="NormalWeb"/>
        <w:shd w:val="clear" w:color="auto" w:fill="FFFFFF"/>
        <w:spacing w:before="0" w:beforeAutospacing="0" w:after="0" w:afterAutospacing="0" w:line="276" w:lineRule="auto"/>
        <w:jc w:val="both"/>
        <w:rPr>
          <w:rFonts w:ascii="Verdana" w:hAnsi="Verdana" w:cs="Arial"/>
          <w:sz w:val="22"/>
          <w:szCs w:val="22"/>
          <w:lang w:val="es-CO"/>
        </w:rPr>
      </w:pPr>
      <w:r w:rsidRPr="00420D9B">
        <w:rPr>
          <w:rFonts w:ascii="Verdana" w:hAnsi="Verdana" w:cs="Arial"/>
          <w:sz w:val="22"/>
          <w:szCs w:val="22"/>
          <w:bdr w:val="none" w:sz="0" w:space="0" w:color="auto" w:frame="1"/>
          <w:lang w:val="es-CO"/>
        </w:rPr>
        <w:t>Total, de los perjuicios patrimoniales</w:t>
      </w:r>
      <w:r w:rsidR="00BD11AE" w:rsidRPr="00420D9B">
        <w:rPr>
          <w:rFonts w:ascii="Verdana" w:hAnsi="Verdana" w:cs="Arial"/>
          <w:sz w:val="22"/>
          <w:szCs w:val="22"/>
          <w:bdr w:val="none" w:sz="0" w:space="0" w:color="auto" w:frame="1"/>
          <w:lang w:val="es-CO"/>
        </w:rPr>
        <w:t xml:space="preserve"> </w:t>
      </w:r>
      <w:r w:rsidRPr="00420D9B">
        <w:rPr>
          <w:rFonts w:ascii="Verdana" w:hAnsi="Verdana" w:cs="Arial"/>
          <w:sz w:val="22"/>
          <w:szCs w:val="22"/>
          <w:bdr w:val="none" w:sz="0" w:space="0" w:color="auto" w:frame="1"/>
          <w:lang w:val="es-CO"/>
        </w:rPr>
        <w:t>y</w:t>
      </w:r>
      <w:r w:rsidR="00BD11AE" w:rsidRPr="00420D9B">
        <w:rPr>
          <w:rFonts w:ascii="Verdana" w:hAnsi="Verdana" w:cs="Arial"/>
          <w:sz w:val="22"/>
          <w:szCs w:val="22"/>
          <w:bdr w:val="none" w:sz="0" w:space="0" w:color="auto" w:frame="1"/>
          <w:lang w:val="es-CO"/>
        </w:rPr>
        <w:t xml:space="preserve"> </w:t>
      </w:r>
      <w:r w:rsidRPr="00420D9B">
        <w:rPr>
          <w:rFonts w:ascii="Verdana" w:hAnsi="Verdana" w:cs="Arial"/>
          <w:sz w:val="22"/>
          <w:szCs w:val="22"/>
          <w:bdr w:val="none" w:sz="0" w:space="0" w:color="auto" w:frame="1"/>
          <w:lang w:val="es-CO"/>
        </w:rPr>
        <w:t xml:space="preserve">extrapatrimoniales reclamados por la parte demandante: $ </w:t>
      </w:r>
      <w:r w:rsidR="006D0C4F" w:rsidRPr="00420D9B">
        <w:rPr>
          <w:rFonts w:ascii="Verdana" w:hAnsi="Verdana" w:cs="Arial"/>
          <w:sz w:val="22"/>
          <w:szCs w:val="22"/>
          <w:bdr w:val="none" w:sz="0" w:space="0" w:color="auto" w:frame="1"/>
          <w:lang w:val="es-CO"/>
        </w:rPr>
        <w:t>202.221.538</w:t>
      </w:r>
      <w:r w:rsidRPr="00420D9B">
        <w:rPr>
          <w:rFonts w:ascii="Verdana" w:hAnsi="Verdana" w:cs="Arial"/>
          <w:sz w:val="22"/>
          <w:szCs w:val="22"/>
          <w:bdr w:val="none" w:sz="0" w:space="0" w:color="auto" w:frame="1"/>
          <w:lang w:val="es-CO"/>
        </w:rPr>
        <w:t xml:space="preserve">  </w:t>
      </w:r>
    </w:p>
    <w:p w14:paraId="7B248395" w14:textId="79B6E7C8" w:rsidR="008B6B9A" w:rsidRPr="00420D9B" w:rsidRDefault="00EF0A43">
      <w:pPr>
        <w:pStyle w:val="Default"/>
        <w:spacing w:line="276" w:lineRule="auto"/>
        <w:jc w:val="both"/>
        <w:rPr>
          <w:rFonts w:ascii="Verdana" w:hAnsi="Verdana"/>
          <w:color w:val="auto"/>
          <w:sz w:val="22"/>
          <w:szCs w:val="22"/>
        </w:rPr>
      </w:pPr>
      <w:r w:rsidRPr="00420D9B" w:rsidDel="00EF0A43">
        <w:rPr>
          <w:rFonts w:ascii="Verdana" w:hAnsi="Verdana"/>
          <w:color w:val="auto"/>
          <w:sz w:val="22"/>
          <w:szCs w:val="22"/>
        </w:rPr>
        <w:t xml:space="preserve"> </w:t>
      </w:r>
    </w:p>
    <w:p w14:paraId="7A8588B4" w14:textId="43262D59" w:rsidR="000619D7" w:rsidRPr="00420D9B" w:rsidRDefault="000619D7">
      <w:pPr>
        <w:pStyle w:val="Default"/>
        <w:spacing w:line="276" w:lineRule="auto"/>
        <w:jc w:val="both"/>
        <w:rPr>
          <w:rFonts w:ascii="Verdana" w:hAnsi="Verdana"/>
          <w:b/>
          <w:bCs/>
          <w:color w:val="auto"/>
          <w:sz w:val="22"/>
          <w:szCs w:val="22"/>
          <w:u w:val="single"/>
        </w:rPr>
      </w:pPr>
      <w:r w:rsidRPr="00420D9B">
        <w:rPr>
          <w:rFonts w:ascii="Verdana" w:hAnsi="Verdana"/>
          <w:b/>
          <w:bCs/>
          <w:color w:val="auto"/>
          <w:sz w:val="22"/>
          <w:szCs w:val="22"/>
          <w:u w:val="single"/>
        </w:rPr>
        <w:t>CALIFICACIÓN DE LA CONTINGENCIA</w:t>
      </w:r>
    </w:p>
    <w:p w14:paraId="2740BD01" w14:textId="77777777" w:rsidR="000619D7" w:rsidRPr="00420D9B" w:rsidRDefault="000619D7">
      <w:pPr>
        <w:pStyle w:val="Default"/>
        <w:spacing w:line="276" w:lineRule="auto"/>
        <w:jc w:val="both"/>
        <w:rPr>
          <w:rFonts w:ascii="Verdana" w:hAnsi="Verdana"/>
          <w:color w:val="auto"/>
          <w:sz w:val="22"/>
          <w:szCs w:val="22"/>
        </w:rPr>
      </w:pPr>
    </w:p>
    <w:p w14:paraId="33539CF7" w14:textId="4E743AE4" w:rsidR="00420D9B" w:rsidRPr="00420D9B" w:rsidRDefault="00420D9B" w:rsidP="00420D9B">
      <w:pPr>
        <w:spacing w:line="360" w:lineRule="auto"/>
        <w:jc w:val="both"/>
        <w:rPr>
          <w:rFonts w:ascii="Verdana" w:hAnsi="Verdana" w:cs="Arial"/>
        </w:rPr>
      </w:pPr>
      <w:r w:rsidRPr="00420D9B">
        <w:rPr>
          <w:rFonts w:ascii="Verdana" w:hAnsi="Verdana" w:cs="Arial"/>
        </w:rPr>
        <w:t xml:space="preserve">La contingencia se califica como </w:t>
      </w:r>
      <w:r w:rsidRPr="00420D9B">
        <w:rPr>
          <w:rFonts w:ascii="Verdana" w:hAnsi="Verdana" w:cs="Arial"/>
          <w:b/>
        </w:rPr>
        <w:t>PROBABLE,</w:t>
      </w:r>
      <w:r w:rsidRPr="00420D9B">
        <w:rPr>
          <w:rFonts w:ascii="Verdana" w:hAnsi="Verdana" w:cs="Arial"/>
        </w:rPr>
        <w:t xml:space="preserve"> por cuanto</w:t>
      </w:r>
      <w:r w:rsidRPr="00420D9B">
        <w:rPr>
          <w:rFonts w:ascii="Verdana" w:hAnsi="Verdana" w:cs="Arial"/>
        </w:rPr>
        <w:t xml:space="preserve"> l</w:t>
      </w:r>
      <w:r w:rsidRPr="00420D9B">
        <w:rPr>
          <w:rFonts w:ascii="Verdana" w:hAnsi="Verdana" w:cs="Arial"/>
        </w:rPr>
        <w:t xml:space="preserve">a responsabilidad civil del asegurado </w:t>
      </w:r>
      <w:proofErr w:type="spellStart"/>
      <w:r w:rsidRPr="00420D9B">
        <w:rPr>
          <w:rFonts w:ascii="Verdana" w:hAnsi="Verdana" w:cs="Arial"/>
        </w:rPr>
        <w:t>Equirent</w:t>
      </w:r>
      <w:proofErr w:type="spellEnd"/>
      <w:r w:rsidRPr="00420D9B">
        <w:rPr>
          <w:rFonts w:ascii="Verdana" w:hAnsi="Verdana" w:cs="Arial"/>
        </w:rPr>
        <w:t xml:space="preserve">,  se encuentra demostrada, en razón que: (i) se allegó el IPAT A-1104, dentro del cual se consignó que el vehículo del asegurado de placa KYX430 realizó un giro brusco sin la debida diligencia, consignando como hipótesis del accidente de tránsito la causal No. 122 de la Resolución 0011268 de diciembre de 2012 es decir, “girar bruscamente”, lo que efectivamente llevó a la colisión con la motocicleta de placas QRF-20E; (ii) respecto a la dinámica del accidente, del croquis se puede extraer que la motocicleta de placas QRF-20E se encontraba conduciendo adecuadamente sobre su carril, lo que permite inferir que la consecuencia del choque se debió a que el conductor del vehículo tipo camioneta de placas KYX430 no prestó atención en la vía, al momento de realizar el giro; (iii) si bien a partir de la versión de los hechos del señor Francisco Moreno Pérez en su calidad de conductor del vehículo de placas KYX-430, se indica que la víctima se encontraba conduciendo sin luces, chaleco </w:t>
      </w:r>
      <w:proofErr w:type="spellStart"/>
      <w:r w:rsidRPr="00420D9B">
        <w:rPr>
          <w:rFonts w:ascii="Verdana" w:hAnsi="Verdana" w:cs="Arial"/>
        </w:rPr>
        <w:t>reflectivo</w:t>
      </w:r>
      <w:proofErr w:type="spellEnd"/>
      <w:r w:rsidRPr="00420D9B">
        <w:rPr>
          <w:rFonts w:ascii="Verdana" w:hAnsi="Verdana" w:cs="Arial"/>
        </w:rPr>
        <w:t xml:space="preserve"> y casco lo que eventualmente podría configurar la culpa exclusiva de la víctima, lo cierto es que en el plenario no hay elementos de prueba que constaten esta versión, por lo que no se observa circunstancia que se pudiese configurar una causa extraña que exima de responsabilidad a los demandados, ni tampoco un factor de reducción de indemnización en los términos del artículo 2357 del Código Civil.</w:t>
      </w:r>
    </w:p>
    <w:p w14:paraId="29B98500" w14:textId="77777777" w:rsidR="00420D9B" w:rsidRPr="00420D9B" w:rsidRDefault="00420D9B" w:rsidP="00420D9B">
      <w:pPr>
        <w:spacing w:line="360" w:lineRule="auto"/>
        <w:jc w:val="both"/>
        <w:rPr>
          <w:rFonts w:ascii="Verdana" w:hAnsi="Verdana" w:cs="Arial"/>
        </w:rPr>
      </w:pPr>
      <w:r w:rsidRPr="00420D9B">
        <w:rPr>
          <w:rFonts w:ascii="Verdana" w:hAnsi="Verdana" w:cs="Arial"/>
        </w:rPr>
        <w:t>Todo lo anterior sin perjuicio del carácter contingente del proceso.</w:t>
      </w:r>
    </w:p>
    <w:p w14:paraId="2C6E07ED" w14:textId="7D7B8F3F" w:rsidR="00AD6730" w:rsidRPr="00420D9B" w:rsidRDefault="00AD6730">
      <w:pPr>
        <w:pStyle w:val="Default"/>
        <w:spacing w:line="276" w:lineRule="auto"/>
        <w:jc w:val="both"/>
        <w:rPr>
          <w:rFonts w:ascii="Verdana" w:hAnsi="Verdana"/>
          <w:color w:val="auto"/>
          <w:sz w:val="22"/>
          <w:szCs w:val="22"/>
        </w:rPr>
      </w:pPr>
    </w:p>
    <w:p w14:paraId="2F73BAB6" w14:textId="77777777" w:rsidR="001732BD" w:rsidRPr="00420D9B" w:rsidRDefault="001732BD">
      <w:pPr>
        <w:spacing w:after="0" w:line="276" w:lineRule="auto"/>
        <w:jc w:val="both"/>
        <w:rPr>
          <w:rFonts w:ascii="Verdana" w:hAnsi="Verdana" w:cs="Arial"/>
        </w:rPr>
      </w:pPr>
    </w:p>
    <w:p w14:paraId="6EC23473" w14:textId="002E035C" w:rsidR="00C415CB" w:rsidRPr="00420D9B" w:rsidRDefault="005D4EC6" w:rsidP="002172F3">
      <w:pPr>
        <w:spacing w:after="0" w:line="276" w:lineRule="auto"/>
        <w:jc w:val="both"/>
        <w:rPr>
          <w:rFonts w:ascii="Verdana" w:hAnsi="Verdana" w:cs="Arial"/>
          <w:b/>
          <w:bCs/>
          <w:u w:val="single"/>
        </w:rPr>
      </w:pPr>
      <w:r w:rsidRPr="00420D9B">
        <w:rPr>
          <w:rFonts w:ascii="Verdana" w:hAnsi="Verdana" w:cs="Arial"/>
          <w:b/>
          <w:bCs/>
          <w:u w:val="single"/>
        </w:rPr>
        <w:t xml:space="preserve">LIQUIDACIÓN OBJETIVA DE LAS PRETENSIONES </w:t>
      </w:r>
    </w:p>
    <w:p w14:paraId="137A8C7F" w14:textId="77777777" w:rsidR="00CD1150" w:rsidRPr="00420D9B" w:rsidRDefault="00CD1150" w:rsidP="002172F3">
      <w:pPr>
        <w:spacing w:after="0" w:line="276" w:lineRule="auto"/>
        <w:jc w:val="both"/>
        <w:rPr>
          <w:rFonts w:ascii="Verdana" w:hAnsi="Verdana" w:cs="Arial"/>
        </w:rPr>
      </w:pPr>
    </w:p>
    <w:p w14:paraId="4D344F3E" w14:textId="77777777" w:rsidR="00420D9B" w:rsidRPr="00420D9B" w:rsidRDefault="00420D9B" w:rsidP="00420D9B">
      <w:pPr>
        <w:tabs>
          <w:tab w:val="left" w:pos="5626"/>
        </w:tabs>
        <w:spacing w:line="360" w:lineRule="auto"/>
        <w:jc w:val="both"/>
        <w:rPr>
          <w:rFonts w:ascii="Verdana" w:hAnsi="Verdana" w:cs="Arial"/>
        </w:rPr>
      </w:pPr>
      <w:r w:rsidRPr="00420D9B">
        <w:rPr>
          <w:rFonts w:ascii="Verdana" w:hAnsi="Verdana" w:cs="Arial"/>
        </w:rPr>
        <w:t>Se estima que la liquidación objetiva de las pretensiones ascienda a la suma de $58.253.149, atendiendo las siguientes razones:</w:t>
      </w:r>
    </w:p>
    <w:p w14:paraId="6AD0E479" w14:textId="77777777" w:rsidR="00420D9B" w:rsidRPr="00420D9B" w:rsidRDefault="00420D9B" w:rsidP="00420D9B">
      <w:pPr>
        <w:tabs>
          <w:tab w:val="left" w:pos="5626"/>
        </w:tabs>
        <w:spacing w:line="360" w:lineRule="auto"/>
        <w:jc w:val="both"/>
        <w:rPr>
          <w:rFonts w:ascii="Verdana" w:hAnsi="Verdana" w:cs="Arial"/>
        </w:rPr>
      </w:pPr>
    </w:p>
    <w:p w14:paraId="6AD9E5D3" w14:textId="77777777" w:rsidR="00420D9B" w:rsidRPr="00420D9B" w:rsidRDefault="00420D9B" w:rsidP="00420D9B">
      <w:pPr>
        <w:pStyle w:val="Prrafodelista"/>
        <w:numPr>
          <w:ilvl w:val="0"/>
          <w:numId w:val="15"/>
        </w:numPr>
        <w:tabs>
          <w:tab w:val="left" w:pos="5626"/>
        </w:tabs>
        <w:spacing w:after="200" w:line="360" w:lineRule="auto"/>
        <w:jc w:val="both"/>
        <w:rPr>
          <w:rFonts w:ascii="Verdana" w:hAnsi="Verdana" w:cs="Arial"/>
        </w:rPr>
      </w:pPr>
      <w:r w:rsidRPr="00420D9B">
        <w:rPr>
          <w:rFonts w:ascii="Verdana" w:hAnsi="Verdana" w:cs="Arial"/>
          <w:b/>
        </w:rPr>
        <w:t>Daño Moral:</w:t>
      </w:r>
      <w:r w:rsidRPr="00420D9B">
        <w:rPr>
          <w:rFonts w:ascii="Verdana" w:hAnsi="Verdana" w:cs="Arial"/>
        </w:rPr>
        <w:t xml:space="preserve"> El daño moral se reconoce a la víctima directa y único demandante en el presente proceso judicial. Se calcula un monto de $15.000.000. Ello en atención a que el demandante sufrió trauma craneoencefálico que le generó perturbación presuntamente permanente del sistema nervioso central y periférico siendo valorado por el medico particular Alexander Narváez Parra con el fin de que calificara la pérdida de capacidad laboral el cual arrojó un porcentaje de 11,58%. En este orden de ideas, para la liquidación de este perjuicio se tuvo en cuenta la Sentencia SC5885 del 2016, dentro de la cual se concedió el pago de $15.000.000 por concepto de daño moral, a una joven que sufrió accidente de tránsito, cuando fue impactada la motocicleta que conducía, por un vehículo de servicio público, y tuvo un PCL del 20,65% Así las cosas, teniendo como base esta suma la cual fue reconocida hace 8 años, y en atención a lo que podrá acreditarse dentro del proceso la perturbación física permanente del accionante, se reconoce para aquel $ 15.000.000. </w:t>
      </w:r>
    </w:p>
    <w:p w14:paraId="4452B0D6" w14:textId="77777777" w:rsidR="00420D9B" w:rsidRPr="00420D9B" w:rsidRDefault="00420D9B" w:rsidP="00420D9B">
      <w:pPr>
        <w:tabs>
          <w:tab w:val="left" w:pos="5626"/>
        </w:tabs>
        <w:spacing w:line="360" w:lineRule="auto"/>
        <w:jc w:val="both"/>
        <w:rPr>
          <w:rFonts w:ascii="Verdana" w:hAnsi="Verdana" w:cs="Arial"/>
        </w:rPr>
      </w:pPr>
    </w:p>
    <w:p w14:paraId="3356CBD9" w14:textId="77777777" w:rsidR="00420D9B" w:rsidRPr="00420D9B" w:rsidRDefault="00420D9B" w:rsidP="00420D9B">
      <w:pPr>
        <w:pStyle w:val="Prrafodelista"/>
        <w:numPr>
          <w:ilvl w:val="0"/>
          <w:numId w:val="15"/>
        </w:numPr>
        <w:tabs>
          <w:tab w:val="left" w:pos="5626"/>
        </w:tabs>
        <w:spacing w:after="200" w:line="360" w:lineRule="auto"/>
        <w:jc w:val="both"/>
        <w:rPr>
          <w:rFonts w:ascii="Verdana" w:hAnsi="Verdana" w:cs="Arial"/>
        </w:rPr>
      </w:pPr>
      <w:r w:rsidRPr="00420D9B">
        <w:rPr>
          <w:rFonts w:ascii="Verdana" w:hAnsi="Verdana" w:cs="Arial"/>
          <w:b/>
        </w:rPr>
        <w:t>Daño a la vida de relación:</w:t>
      </w:r>
      <w:r w:rsidRPr="00420D9B">
        <w:rPr>
          <w:rFonts w:ascii="Verdana" w:hAnsi="Verdana" w:cs="Arial"/>
        </w:rPr>
        <w:t xml:space="preserve"> El daño en la vida y relación se reconoce a la víctima directa y único demandante en el presente proceso judicial. Se calcula un monto de $15.000.000. Ello en atención a que el demandante sufrió trauma craneoencefálico que le generó perturbación presuntamente permanente del sistema nervioso central y periférico siendo valorado por el medico particular Alexander Narváez Parra con el fin de que calificara la pérdida de capacidad laboral el cual arrojó un porcentaje de 11,58%. En este orden de ideas, para la liquidación de este perjuicio se tuvo en cuenta la misma sentencia referenciada en el numeral anterior.  </w:t>
      </w:r>
    </w:p>
    <w:p w14:paraId="23D70FF6" w14:textId="77777777" w:rsidR="00420D9B" w:rsidRPr="00420D9B" w:rsidRDefault="00420D9B" w:rsidP="00420D9B">
      <w:pPr>
        <w:tabs>
          <w:tab w:val="left" w:pos="5626"/>
        </w:tabs>
        <w:spacing w:line="360" w:lineRule="auto"/>
        <w:jc w:val="both"/>
        <w:rPr>
          <w:rFonts w:ascii="Verdana" w:hAnsi="Verdana" w:cs="Arial"/>
        </w:rPr>
      </w:pPr>
    </w:p>
    <w:p w14:paraId="0C8C18D4" w14:textId="77777777" w:rsidR="00420D9B" w:rsidRPr="00420D9B" w:rsidRDefault="00420D9B" w:rsidP="00420D9B">
      <w:pPr>
        <w:pStyle w:val="Prrafodelista"/>
        <w:numPr>
          <w:ilvl w:val="0"/>
          <w:numId w:val="15"/>
        </w:numPr>
        <w:tabs>
          <w:tab w:val="left" w:pos="5626"/>
        </w:tabs>
        <w:spacing w:after="200" w:line="360" w:lineRule="auto"/>
        <w:jc w:val="both"/>
        <w:rPr>
          <w:rFonts w:ascii="Verdana" w:hAnsi="Verdana" w:cs="Arial"/>
        </w:rPr>
      </w:pPr>
      <w:r w:rsidRPr="00420D9B">
        <w:rPr>
          <w:rFonts w:ascii="Verdana" w:hAnsi="Verdana" w:cs="Arial"/>
          <w:b/>
        </w:rPr>
        <w:t>Lucro cesante:</w:t>
      </w:r>
      <w:r w:rsidRPr="00420D9B">
        <w:rPr>
          <w:rFonts w:ascii="Verdana" w:hAnsi="Verdana" w:cs="Arial"/>
        </w:rPr>
        <w:t xml:space="preserve"> Si bien es cierto que, de la prueba documental obrante en el expediente digital se permite concluir que el señor Alexander Ramírez Bernal era desempleado para la fecha de los hechos, se liquidará este rubro acogiendo los lineamientos establecidos por la Corte Suprema de Justicia tales como la sentencia SC4803-2019 donde se alude que deberá presumirse la capacidad de ingresos de las personas en edad productiva y solo basta con demostrar la afectación negativa en su aptitud laboral, por lo que procede a efectuar la liquidación del lucro cesante, pero con base en el salario mínimo, al no haberse logrado probar que la víctima percibía un ingreso superior.</w:t>
      </w:r>
    </w:p>
    <w:p w14:paraId="41C5DADA" w14:textId="71B67416" w:rsidR="00420D9B" w:rsidRPr="00420D9B" w:rsidRDefault="00420D9B" w:rsidP="00420D9B">
      <w:pPr>
        <w:tabs>
          <w:tab w:val="left" w:pos="5626"/>
        </w:tabs>
        <w:spacing w:line="360" w:lineRule="auto"/>
        <w:ind w:left="360"/>
        <w:jc w:val="both"/>
        <w:rPr>
          <w:rFonts w:ascii="Verdana" w:hAnsi="Verdana" w:cs="Arial"/>
        </w:rPr>
      </w:pPr>
      <w:r w:rsidRPr="00420D9B">
        <w:rPr>
          <w:rFonts w:ascii="Verdana" w:hAnsi="Verdana" w:cs="Arial"/>
        </w:rPr>
        <w:t>Para tasar el lucro cesante, se tendrá en cuenta el salario mínimo del año 2022, época de ocurrencia del accidente, cuando la fijación correspondía a la suma de $1.000.000 sin reconocimiento de factor prestacional; la pérdida de la capacidad laboral que se estableció en 11,58% lo que corresponde a $115.800 mensuales.</w:t>
      </w:r>
      <w:bookmarkStart w:id="0" w:name="_GoBack"/>
      <w:bookmarkEnd w:id="0"/>
    </w:p>
    <w:p w14:paraId="1B1DC93C" w14:textId="40F0F9A8" w:rsidR="00420D9B" w:rsidRPr="00420D9B" w:rsidRDefault="00420D9B" w:rsidP="00420D9B">
      <w:pPr>
        <w:tabs>
          <w:tab w:val="left" w:pos="5626"/>
        </w:tabs>
        <w:spacing w:line="360" w:lineRule="auto"/>
        <w:ind w:left="360"/>
        <w:jc w:val="both"/>
        <w:rPr>
          <w:rFonts w:ascii="Verdana" w:hAnsi="Verdana" w:cs="Arial"/>
        </w:rPr>
      </w:pPr>
      <w:r w:rsidRPr="00420D9B">
        <w:rPr>
          <w:rFonts w:ascii="Verdana" w:hAnsi="Verdana" w:cs="Arial"/>
        </w:rPr>
        <w:t xml:space="preserve">Como el valor aludido corresponde al porcentaje del salario presuntamente devengado en octubre del 2022, dicho valor debe ser actualizado teniendo en cuenta el IPC, para un total de: $129.122. </w:t>
      </w:r>
    </w:p>
    <w:p w14:paraId="60BDBBAA" w14:textId="77777777" w:rsidR="00420D9B" w:rsidRPr="00420D9B" w:rsidRDefault="00420D9B" w:rsidP="00420D9B">
      <w:pPr>
        <w:tabs>
          <w:tab w:val="left" w:pos="5626"/>
        </w:tabs>
        <w:spacing w:after="0" w:line="360" w:lineRule="auto"/>
        <w:ind w:left="360"/>
        <w:jc w:val="both"/>
        <w:rPr>
          <w:rFonts w:ascii="Verdana" w:hAnsi="Verdana" w:cs="Arial"/>
        </w:rPr>
      </w:pPr>
      <w:r w:rsidRPr="00420D9B">
        <w:rPr>
          <w:rFonts w:ascii="Verdana" w:hAnsi="Verdana" w:cs="Arial"/>
        </w:rPr>
        <w:t>Edad de la víctima a la fecha del accidente: 18 años</w:t>
      </w:r>
    </w:p>
    <w:p w14:paraId="69D563CA" w14:textId="77777777" w:rsidR="00420D9B" w:rsidRPr="00420D9B" w:rsidRDefault="00420D9B" w:rsidP="00420D9B">
      <w:pPr>
        <w:tabs>
          <w:tab w:val="left" w:pos="5626"/>
        </w:tabs>
        <w:spacing w:after="0" w:line="360" w:lineRule="auto"/>
        <w:ind w:left="360"/>
        <w:jc w:val="both"/>
        <w:rPr>
          <w:rFonts w:ascii="Verdana" w:hAnsi="Verdana" w:cs="Arial"/>
        </w:rPr>
      </w:pPr>
      <w:r w:rsidRPr="00420D9B">
        <w:rPr>
          <w:rFonts w:ascii="Verdana" w:hAnsi="Verdana" w:cs="Arial"/>
        </w:rPr>
        <w:t>Expectativa de vida: 61,9 años o 742,8 meses</w:t>
      </w:r>
    </w:p>
    <w:p w14:paraId="3A621FF7" w14:textId="77777777" w:rsidR="00420D9B" w:rsidRPr="00420D9B" w:rsidRDefault="00420D9B" w:rsidP="00420D9B">
      <w:pPr>
        <w:tabs>
          <w:tab w:val="left" w:pos="5626"/>
        </w:tabs>
        <w:spacing w:after="0" w:line="360" w:lineRule="auto"/>
        <w:ind w:left="360"/>
        <w:jc w:val="both"/>
        <w:rPr>
          <w:rFonts w:ascii="Verdana" w:hAnsi="Verdana" w:cs="Arial"/>
        </w:rPr>
      </w:pPr>
      <w:r w:rsidRPr="00420D9B">
        <w:rPr>
          <w:rFonts w:ascii="Verdana" w:hAnsi="Verdana" w:cs="Arial"/>
        </w:rPr>
        <w:t>Fecha liquidación: 31 de enero de 2024</w:t>
      </w:r>
    </w:p>
    <w:p w14:paraId="61710991" w14:textId="77777777" w:rsidR="00420D9B" w:rsidRPr="00420D9B" w:rsidRDefault="00420D9B" w:rsidP="00420D9B">
      <w:pPr>
        <w:tabs>
          <w:tab w:val="left" w:pos="5626"/>
        </w:tabs>
        <w:spacing w:after="0" w:line="360" w:lineRule="auto"/>
        <w:ind w:left="360"/>
        <w:jc w:val="both"/>
        <w:rPr>
          <w:rFonts w:ascii="Verdana" w:hAnsi="Verdana" w:cs="Arial"/>
        </w:rPr>
      </w:pPr>
      <w:r w:rsidRPr="00420D9B">
        <w:rPr>
          <w:rFonts w:ascii="Verdana" w:hAnsi="Verdana" w:cs="Arial"/>
        </w:rPr>
        <w:t>Renta: $129.122</w:t>
      </w:r>
    </w:p>
    <w:p w14:paraId="4888DA6A" w14:textId="77777777" w:rsidR="00420D9B" w:rsidRPr="00420D9B" w:rsidRDefault="00420D9B" w:rsidP="00420D9B">
      <w:pPr>
        <w:tabs>
          <w:tab w:val="left" w:pos="5626"/>
        </w:tabs>
        <w:spacing w:line="360" w:lineRule="auto"/>
        <w:jc w:val="both"/>
        <w:rPr>
          <w:rFonts w:ascii="Verdana" w:hAnsi="Verdana" w:cs="Arial"/>
        </w:rPr>
      </w:pPr>
    </w:p>
    <w:p w14:paraId="452FED13" w14:textId="77777777" w:rsidR="00420D9B" w:rsidRPr="00420D9B" w:rsidRDefault="00420D9B" w:rsidP="00420D9B">
      <w:pPr>
        <w:tabs>
          <w:tab w:val="left" w:pos="5626"/>
        </w:tabs>
        <w:spacing w:line="360" w:lineRule="auto"/>
        <w:ind w:left="360"/>
        <w:jc w:val="both"/>
        <w:rPr>
          <w:rFonts w:ascii="Verdana" w:hAnsi="Verdana" w:cs="Arial"/>
        </w:rPr>
      </w:pPr>
      <w:r w:rsidRPr="00420D9B">
        <w:rPr>
          <w:rFonts w:ascii="Verdana" w:hAnsi="Verdana" w:cs="Arial"/>
        </w:rPr>
        <w:t xml:space="preserve">A. </w:t>
      </w:r>
      <w:r w:rsidRPr="00420D9B">
        <w:rPr>
          <w:rFonts w:ascii="Verdana" w:hAnsi="Verdana" w:cs="Arial"/>
          <w:b/>
        </w:rPr>
        <w:t xml:space="preserve">Resultado Lucro cesante consolidado: </w:t>
      </w:r>
      <w:r w:rsidRPr="00420D9B">
        <w:rPr>
          <w:rFonts w:ascii="Verdana" w:hAnsi="Verdana" w:cs="Arial"/>
        </w:rPr>
        <w:t>$2.018.085</w:t>
      </w:r>
    </w:p>
    <w:p w14:paraId="4A285D9C" w14:textId="26F7A55C" w:rsidR="00420D9B" w:rsidRPr="00420D9B" w:rsidRDefault="00420D9B" w:rsidP="00420D9B">
      <w:pPr>
        <w:tabs>
          <w:tab w:val="left" w:pos="5626"/>
        </w:tabs>
        <w:spacing w:line="360" w:lineRule="auto"/>
        <w:ind w:left="360"/>
        <w:jc w:val="both"/>
        <w:rPr>
          <w:rFonts w:ascii="Verdana" w:hAnsi="Verdana" w:cs="Arial"/>
        </w:rPr>
      </w:pPr>
      <w:r w:rsidRPr="00420D9B">
        <w:rPr>
          <w:rFonts w:ascii="Verdana" w:hAnsi="Verdana" w:cs="Arial"/>
        </w:rPr>
        <w:t xml:space="preserve">B. </w:t>
      </w:r>
      <w:r w:rsidRPr="00420D9B">
        <w:rPr>
          <w:rFonts w:ascii="Verdana" w:hAnsi="Verdana" w:cs="Arial"/>
          <w:b/>
        </w:rPr>
        <w:t>Resultado Lucro cesante futuro:</w:t>
      </w:r>
      <w:r w:rsidRPr="00420D9B">
        <w:rPr>
          <w:rFonts w:ascii="Verdana" w:hAnsi="Verdana" w:cs="Arial"/>
        </w:rPr>
        <w:t xml:space="preserve"> $25.755.064</w:t>
      </w:r>
    </w:p>
    <w:p w14:paraId="058F7B04" w14:textId="77777777" w:rsidR="00420D9B" w:rsidRPr="00420D9B" w:rsidRDefault="00420D9B" w:rsidP="00420D9B">
      <w:pPr>
        <w:tabs>
          <w:tab w:val="left" w:pos="5626"/>
        </w:tabs>
        <w:spacing w:line="360" w:lineRule="auto"/>
        <w:ind w:left="720"/>
        <w:jc w:val="both"/>
        <w:rPr>
          <w:rFonts w:ascii="Verdana" w:hAnsi="Verdana" w:cs="Arial"/>
        </w:rPr>
      </w:pPr>
    </w:p>
    <w:p w14:paraId="099C17E5" w14:textId="77777777" w:rsidR="00420D9B" w:rsidRPr="00420D9B" w:rsidRDefault="00420D9B" w:rsidP="00420D9B">
      <w:pPr>
        <w:tabs>
          <w:tab w:val="left" w:pos="5626"/>
        </w:tabs>
        <w:spacing w:line="360" w:lineRule="auto"/>
        <w:ind w:left="360"/>
        <w:jc w:val="both"/>
        <w:rPr>
          <w:rFonts w:ascii="Verdana" w:hAnsi="Verdana" w:cs="Arial"/>
          <w:b/>
        </w:rPr>
      </w:pPr>
      <w:r w:rsidRPr="00420D9B">
        <w:rPr>
          <w:rFonts w:ascii="Verdana" w:hAnsi="Verdana" w:cs="Arial"/>
          <w:b/>
        </w:rPr>
        <w:t>Total: $27.773.149</w:t>
      </w:r>
    </w:p>
    <w:p w14:paraId="444D6716" w14:textId="77777777" w:rsidR="00420D9B" w:rsidRPr="00420D9B" w:rsidRDefault="00420D9B" w:rsidP="00420D9B">
      <w:pPr>
        <w:tabs>
          <w:tab w:val="left" w:pos="5626"/>
        </w:tabs>
        <w:spacing w:line="360" w:lineRule="auto"/>
        <w:jc w:val="both"/>
        <w:rPr>
          <w:rFonts w:ascii="Verdana" w:hAnsi="Verdana" w:cs="Arial"/>
        </w:rPr>
      </w:pPr>
    </w:p>
    <w:p w14:paraId="687887FD" w14:textId="77777777" w:rsidR="00420D9B" w:rsidRPr="00420D9B" w:rsidRDefault="00420D9B" w:rsidP="00420D9B">
      <w:pPr>
        <w:pStyle w:val="Prrafodelista"/>
        <w:numPr>
          <w:ilvl w:val="0"/>
          <w:numId w:val="15"/>
        </w:numPr>
        <w:tabs>
          <w:tab w:val="left" w:pos="5626"/>
        </w:tabs>
        <w:spacing w:after="200" w:line="360" w:lineRule="auto"/>
        <w:jc w:val="both"/>
        <w:rPr>
          <w:rFonts w:ascii="Verdana" w:hAnsi="Verdana" w:cs="Arial"/>
          <w:b/>
        </w:rPr>
      </w:pPr>
      <w:r w:rsidRPr="00420D9B">
        <w:rPr>
          <w:rFonts w:ascii="Verdana" w:hAnsi="Verdana" w:cs="Arial"/>
          <w:b/>
        </w:rPr>
        <w:t>Daño emergente:</w:t>
      </w:r>
    </w:p>
    <w:p w14:paraId="7305DC4F" w14:textId="77777777" w:rsidR="00420D9B" w:rsidRPr="00420D9B" w:rsidRDefault="00420D9B" w:rsidP="00420D9B">
      <w:pPr>
        <w:tabs>
          <w:tab w:val="left" w:pos="5626"/>
        </w:tabs>
        <w:spacing w:after="0" w:line="360" w:lineRule="auto"/>
        <w:jc w:val="both"/>
        <w:rPr>
          <w:rFonts w:ascii="Verdana" w:hAnsi="Verdana" w:cs="Arial"/>
        </w:rPr>
      </w:pPr>
    </w:p>
    <w:p w14:paraId="42E1B604" w14:textId="77777777" w:rsidR="00420D9B" w:rsidRPr="00420D9B" w:rsidRDefault="00420D9B" w:rsidP="00420D9B">
      <w:pPr>
        <w:pStyle w:val="Prrafodelista"/>
        <w:numPr>
          <w:ilvl w:val="0"/>
          <w:numId w:val="16"/>
        </w:numPr>
        <w:tabs>
          <w:tab w:val="left" w:pos="5626"/>
        </w:tabs>
        <w:spacing w:after="0" w:line="360" w:lineRule="auto"/>
        <w:jc w:val="both"/>
        <w:rPr>
          <w:rFonts w:ascii="Verdana" w:hAnsi="Verdana" w:cs="Arial"/>
        </w:rPr>
      </w:pPr>
      <w:r w:rsidRPr="00420D9B">
        <w:rPr>
          <w:rFonts w:ascii="Verdana" w:hAnsi="Verdana" w:cs="Arial"/>
          <w:b/>
        </w:rPr>
        <w:t>Daños materiales sufridos a la motocicleta de placas QRF-20E:</w:t>
      </w:r>
      <w:r w:rsidRPr="00420D9B">
        <w:rPr>
          <w:rFonts w:ascii="Verdana" w:hAnsi="Verdana" w:cs="Arial"/>
        </w:rPr>
        <w:t xml:space="preserve"> respecto de este rubro no ser reconocerá valor alguno, por cuanto, no existe ningún elemento probatorio que permita inferir que el demandante es un poseedor de buena fe de la motocicleta de placas QRF-20E. Adicionalmente de los documentales obrantes en el plenario se observa que no es el titular del derecho de dominio de dicho rodante.  </w:t>
      </w:r>
    </w:p>
    <w:p w14:paraId="68107FE8" w14:textId="77777777" w:rsidR="00420D9B" w:rsidRPr="00420D9B" w:rsidRDefault="00420D9B" w:rsidP="00420D9B">
      <w:pPr>
        <w:tabs>
          <w:tab w:val="left" w:pos="5626"/>
        </w:tabs>
        <w:spacing w:after="0" w:line="360" w:lineRule="auto"/>
        <w:jc w:val="both"/>
        <w:rPr>
          <w:rFonts w:ascii="Verdana" w:hAnsi="Verdana" w:cs="Arial"/>
        </w:rPr>
      </w:pPr>
    </w:p>
    <w:p w14:paraId="5C07D9EC" w14:textId="77777777" w:rsidR="00420D9B" w:rsidRPr="00420D9B" w:rsidRDefault="00420D9B" w:rsidP="00420D9B">
      <w:pPr>
        <w:pStyle w:val="Prrafodelista"/>
        <w:numPr>
          <w:ilvl w:val="0"/>
          <w:numId w:val="16"/>
        </w:numPr>
        <w:tabs>
          <w:tab w:val="left" w:pos="5626"/>
        </w:tabs>
        <w:spacing w:after="0" w:line="360" w:lineRule="auto"/>
        <w:jc w:val="both"/>
        <w:rPr>
          <w:rFonts w:ascii="Verdana" w:hAnsi="Verdana" w:cs="Arial"/>
        </w:rPr>
      </w:pPr>
      <w:r w:rsidRPr="00420D9B">
        <w:rPr>
          <w:rFonts w:ascii="Verdana" w:hAnsi="Verdana" w:cs="Arial"/>
          <w:b/>
        </w:rPr>
        <w:t>Daño emergente por pago de grúa y parqueo en patios:</w:t>
      </w:r>
      <w:r w:rsidRPr="00420D9B">
        <w:rPr>
          <w:rFonts w:ascii="Verdana" w:hAnsi="Verdana" w:cs="Arial"/>
        </w:rPr>
        <w:t xml:space="preserve"> se encuentra soportado por factura de venta emitida por la SIETT de Cartago por un valor de $285.600</w:t>
      </w:r>
    </w:p>
    <w:p w14:paraId="34400921" w14:textId="77777777" w:rsidR="00420D9B" w:rsidRPr="00420D9B" w:rsidRDefault="00420D9B" w:rsidP="00420D9B">
      <w:pPr>
        <w:tabs>
          <w:tab w:val="left" w:pos="5626"/>
        </w:tabs>
        <w:spacing w:after="0" w:line="360" w:lineRule="auto"/>
        <w:jc w:val="both"/>
        <w:rPr>
          <w:rFonts w:ascii="Verdana" w:hAnsi="Verdana" w:cs="Arial"/>
        </w:rPr>
      </w:pPr>
    </w:p>
    <w:p w14:paraId="17AAFB07" w14:textId="77777777" w:rsidR="00420D9B" w:rsidRPr="00420D9B" w:rsidRDefault="00420D9B" w:rsidP="00420D9B">
      <w:pPr>
        <w:pStyle w:val="Prrafodelista"/>
        <w:numPr>
          <w:ilvl w:val="0"/>
          <w:numId w:val="16"/>
        </w:numPr>
        <w:tabs>
          <w:tab w:val="left" w:pos="5626"/>
        </w:tabs>
        <w:spacing w:after="0" w:line="360" w:lineRule="auto"/>
        <w:jc w:val="both"/>
        <w:rPr>
          <w:rFonts w:ascii="Verdana" w:hAnsi="Verdana" w:cs="Arial"/>
        </w:rPr>
      </w:pPr>
      <w:r w:rsidRPr="00420D9B">
        <w:rPr>
          <w:rFonts w:ascii="Verdana" w:hAnsi="Verdana" w:cs="Arial"/>
          <w:b/>
        </w:rPr>
        <w:t>Daño emergente por copias del paquete de SOAT:</w:t>
      </w:r>
      <w:r w:rsidRPr="00420D9B">
        <w:rPr>
          <w:rFonts w:ascii="Verdana" w:hAnsi="Verdana" w:cs="Arial"/>
        </w:rPr>
        <w:t xml:space="preserve"> se encuentra soportado por factura de venta emitida por Leyla.com por el valor de $74.650</w:t>
      </w:r>
    </w:p>
    <w:p w14:paraId="156CEC53" w14:textId="77777777" w:rsidR="00420D9B" w:rsidRPr="00420D9B" w:rsidRDefault="00420D9B" w:rsidP="00420D9B">
      <w:pPr>
        <w:tabs>
          <w:tab w:val="left" w:pos="5626"/>
        </w:tabs>
        <w:spacing w:line="360" w:lineRule="auto"/>
        <w:jc w:val="both"/>
        <w:rPr>
          <w:rFonts w:ascii="Verdana" w:hAnsi="Verdana" w:cs="Arial"/>
        </w:rPr>
      </w:pPr>
    </w:p>
    <w:p w14:paraId="00A704BD" w14:textId="747A65C0" w:rsidR="00420D9B" w:rsidRPr="00420D9B" w:rsidRDefault="00420D9B" w:rsidP="00420D9B">
      <w:pPr>
        <w:pStyle w:val="Prrafodelista"/>
        <w:numPr>
          <w:ilvl w:val="0"/>
          <w:numId w:val="16"/>
        </w:numPr>
        <w:tabs>
          <w:tab w:val="left" w:pos="5626"/>
        </w:tabs>
        <w:spacing w:after="200" w:line="360" w:lineRule="auto"/>
        <w:jc w:val="both"/>
        <w:rPr>
          <w:rFonts w:ascii="Verdana" w:hAnsi="Verdana" w:cs="Arial"/>
        </w:rPr>
      </w:pPr>
      <w:r w:rsidRPr="00420D9B">
        <w:rPr>
          <w:rFonts w:ascii="Verdana" w:hAnsi="Verdana" w:cs="Arial"/>
          <w:b/>
        </w:rPr>
        <w:t>Daño emergente por exámenes auditivos:</w:t>
      </w:r>
      <w:r w:rsidRPr="00420D9B">
        <w:rPr>
          <w:rFonts w:ascii="Verdana" w:hAnsi="Verdana" w:cs="Arial"/>
        </w:rPr>
        <w:t xml:space="preserve"> se encuentra probado mediante factura de venta emitida por la médica Lina Fernanda Gómez por el valor de $120.000</w:t>
      </w:r>
    </w:p>
    <w:p w14:paraId="5EF02B7F" w14:textId="169E625A" w:rsidR="00420D9B" w:rsidRPr="00420D9B" w:rsidRDefault="00420D9B" w:rsidP="00420D9B">
      <w:pPr>
        <w:tabs>
          <w:tab w:val="left" w:pos="5626"/>
        </w:tabs>
        <w:spacing w:line="360" w:lineRule="auto"/>
        <w:jc w:val="both"/>
        <w:rPr>
          <w:rFonts w:ascii="Verdana" w:hAnsi="Verdana" w:cs="Arial"/>
        </w:rPr>
      </w:pPr>
      <w:r w:rsidRPr="00420D9B">
        <w:rPr>
          <w:rFonts w:ascii="Verdana" w:hAnsi="Verdana" w:cs="Arial"/>
        </w:rPr>
        <w:t>Lo anterior para un total de $480.000</w:t>
      </w:r>
    </w:p>
    <w:p w14:paraId="552FC3E0" w14:textId="77777777" w:rsidR="00420D9B" w:rsidRPr="00420D9B" w:rsidRDefault="00420D9B" w:rsidP="00420D9B">
      <w:pPr>
        <w:tabs>
          <w:tab w:val="left" w:pos="5626"/>
        </w:tabs>
        <w:spacing w:line="360" w:lineRule="auto"/>
        <w:jc w:val="both"/>
        <w:rPr>
          <w:rFonts w:ascii="Verdana" w:hAnsi="Verdana" w:cs="Arial"/>
        </w:rPr>
      </w:pPr>
    </w:p>
    <w:p w14:paraId="3EC18B81" w14:textId="77777777" w:rsidR="00420D9B" w:rsidRPr="00420D9B" w:rsidRDefault="00420D9B" w:rsidP="00420D9B">
      <w:pPr>
        <w:tabs>
          <w:tab w:val="left" w:pos="5626"/>
        </w:tabs>
        <w:spacing w:line="360" w:lineRule="auto"/>
        <w:jc w:val="both"/>
        <w:rPr>
          <w:rFonts w:ascii="Verdana" w:hAnsi="Verdana" w:cs="Arial"/>
          <w:b/>
        </w:rPr>
      </w:pPr>
      <w:r w:rsidRPr="00420D9B">
        <w:rPr>
          <w:rFonts w:ascii="Verdana" w:hAnsi="Verdana" w:cs="Arial"/>
          <w:b/>
        </w:rPr>
        <w:t>Sumado el daño emergente, el lucro cesante, daño moral y daño a la vida de relación se llegó al total de $58.253.149</w:t>
      </w:r>
    </w:p>
    <w:p w14:paraId="51D1FC8E" w14:textId="77777777" w:rsidR="00515441" w:rsidRPr="00420D9B" w:rsidRDefault="00515441">
      <w:pPr>
        <w:pStyle w:val="Default"/>
        <w:spacing w:line="276" w:lineRule="auto"/>
        <w:jc w:val="both"/>
        <w:rPr>
          <w:rFonts w:ascii="Verdana" w:hAnsi="Verdana"/>
          <w:b/>
          <w:color w:val="auto"/>
          <w:sz w:val="22"/>
          <w:szCs w:val="22"/>
          <w:u w:val="single"/>
        </w:rPr>
      </w:pPr>
    </w:p>
    <w:p w14:paraId="3ADE3975" w14:textId="65E65EDC" w:rsidR="003115E3" w:rsidRPr="00420D9B" w:rsidRDefault="003115E3">
      <w:pPr>
        <w:pStyle w:val="Default"/>
        <w:spacing w:line="276" w:lineRule="auto"/>
        <w:jc w:val="both"/>
        <w:rPr>
          <w:rFonts w:ascii="Verdana" w:hAnsi="Verdana"/>
          <w:b/>
          <w:color w:val="auto"/>
          <w:sz w:val="22"/>
          <w:szCs w:val="22"/>
          <w:u w:val="single"/>
        </w:rPr>
      </w:pPr>
      <w:r w:rsidRPr="00420D9B">
        <w:rPr>
          <w:rFonts w:ascii="Verdana" w:hAnsi="Verdana"/>
          <w:b/>
          <w:color w:val="auto"/>
          <w:sz w:val="22"/>
          <w:szCs w:val="22"/>
          <w:u w:val="single"/>
        </w:rPr>
        <w:t>Análisis frente a la póliza:</w:t>
      </w:r>
    </w:p>
    <w:p w14:paraId="4484DC11" w14:textId="77777777" w:rsidR="003115E3" w:rsidRPr="00420D9B" w:rsidRDefault="003115E3">
      <w:pPr>
        <w:pStyle w:val="Default"/>
        <w:spacing w:line="276" w:lineRule="auto"/>
        <w:jc w:val="both"/>
        <w:rPr>
          <w:rFonts w:ascii="Verdana" w:hAnsi="Verdana"/>
          <w:color w:val="auto"/>
          <w:sz w:val="22"/>
          <w:szCs w:val="22"/>
        </w:rPr>
      </w:pPr>
    </w:p>
    <w:p w14:paraId="0CC62FA3" w14:textId="75F7978B" w:rsidR="00E1493E" w:rsidRPr="00420D9B" w:rsidRDefault="00E1493E" w:rsidP="00C948F0">
      <w:pPr>
        <w:pStyle w:val="Default"/>
        <w:spacing w:line="276" w:lineRule="auto"/>
        <w:jc w:val="both"/>
        <w:rPr>
          <w:rFonts w:ascii="Verdana" w:hAnsi="Verdana"/>
          <w:color w:val="auto"/>
          <w:sz w:val="22"/>
          <w:szCs w:val="22"/>
        </w:rPr>
      </w:pPr>
      <w:r w:rsidRPr="00420D9B">
        <w:rPr>
          <w:rFonts w:ascii="Verdana" w:hAnsi="Verdana"/>
          <w:color w:val="auto"/>
          <w:sz w:val="22"/>
          <w:szCs w:val="22"/>
        </w:rPr>
        <w:t xml:space="preserve">Como se indicó previamente, </w:t>
      </w:r>
      <w:r w:rsidRPr="00420D9B">
        <w:rPr>
          <w:rFonts w:ascii="Verdana" w:hAnsi="Verdana"/>
          <w:bCs/>
          <w:color w:val="auto"/>
          <w:sz w:val="22"/>
          <w:szCs w:val="22"/>
        </w:rPr>
        <w:t xml:space="preserve">se formuló llamamiento en garantía a SBS Seguros Colombia S.A. en representación de </w:t>
      </w:r>
      <w:proofErr w:type="spellStart"/>
      <w:r w:rsidRPr="00420D9B">
        <w:rPr>
          <w:rFonts w:ascii="Verdana" w:hAnsi="Verdana"/>
          <w:color w:val="auto"/>
          <w:sz w:val="22"/>
          <w:szCs w:val="22"/>
        </w:rPr>
        <w:t>E</w:t>
      </w:r>
      <w:r w:rsidR="007534D0" w:rsidRPr="00420D9B">
        <w:rPr>
          <w:rFonts w:ascii="Verdana" w:hAnsi="Verdana"/>
          <w:color w:val="auto"/>
          <w:sz w:val="22"/>
          <w:szCs w:val="22"/>
        </w:rPr>
        <w:t>quirent</w:t>
      </w:r>
      <w:proofErr w:type="spellEnd"/>
      <w:r w:rsidRPr="00420D9B">
        <w:rPr>
          <w:rFonts w:ascii="Verdana" w:hAnsi="Verdana"/>
          <w:color w:val="auto"/>
          <w:sz w:val="22"/>
          <w:szCs w:val="22"/>
        </w:rPr>
        <w:t xml:space="preserve">.; en el cual se solicitó la vinculación </w:t>
      </w:r>
      <w:r w:rsidR="007534D0" w:rsidRPr="00420D9B">
        <w:rPr>
          <w:rFonts w:ascii="Verdana" w:hAnsi="Verdana"/>
          <w:color w:val="auto"/>
          <w:sz w:val="22"/>
          <w:szCs w:val="22"/>
        </w:rPr>
        <w:t>con la póliza de Seguros de Automóviles Comercial No. 1096578</w:t>
      </w:r>
    </w:p>
    <w:p w14:paraId="41A215E5" w14:textId="7AE090B7" w:rsidR="00E1493E" w:rsidRPr="00420D9B" w:rsidRDefault="00E1493E">
      <w:pPr>
        <w:pStyle w:val="Default"/>
        <w:spacing w:line="276" w:lineRule="auto"/>
        <w:jc w:val="both"/>
        <w:rPr>
          <w:rFonts w:ascii="Verdana" w:hAnsi="Verdana"/>
          <w:color w:val="auto"/>
          <w:sz w:val="22"/>
          <w:szCs w:val="22"/>
        </w:rPr>
      </w:pPr>
    </w:p>
    <w:p w14:paraId="5C1823F1" w14:textId="609E5271" w:rsidR="00037156" w:rsidRPr="00420D9B" w:rsidRDefault="00037156" w:rsidP="00C948F0">
      <w:pPr>
        <w:pStyle w:val="Default"/>
        <w:spacing w:line="276" w:lineRule="auto"/>
        <w:jc w:val="both"/>
        <w:rPr>
          <w:rFonts w:ascii="Verdana" w:hAnsi="Verdana"/>
          <w:color w:val="auto"/>
          <w:sz w:val="22"/>
          <w:szCs w:val="22"/>
        </w:rPr>
      </w:pPr>
      <w:r w:rsidRPr="00420D9B">
        <w:rPr>
          <w:rFonts w:ascii="Verdana" w:hAnsi="Verdana"/>
          <w:color w:val="auto"/>
          <w:sz w:val="22"/>
          <w:szCs w:val="22"/>
        </w:rPr>
        <w:t xml:space="preserve">En relación con </w:t>
      </w:r>
      <w:r w:rsidR="007534D0" w:rsidRPr="00420D9B">
        <w:rPr>
          <w:rFonts w:ascii="Verdana" w:hAnsi="Verdana"/>
          <w:color w:val="auto"/>
          <w:sz w:val="22"/>
          <w:szCs w:val="22"/>
        </w:rPr>
        <w:t>esta póliza</w:t>
      </w:r>
      <w:r w:rsidRPr="00420D9B">
        <w:rPr>
          <w:rFonts w:ascii="Verdana" w:hAnsi="Verdana"/>
          <w:color w:val="auto"/>
          <w:sz w:val="22"/>
          <w:szCs w:val="22"/>
        </w:rPr>
        <w:t xml:space="preserve">, es preciso indicar que, </w:t>
      </w:r>
      <w:r w:rsidRPr="00420D9B">
        <w:rPr>
          <w:rFonts w:ascii="Verdana" w:hAnsi="Verdana"/>
          <w:b/>
          <w:color w:val="auto"/>
          <w:sz w:val="22"/>
          <w:szCs w:val="22"/>
          <w:u w:val="single"/>
        </w:rPr>
        <w:t>presta cobertura</w:t>
      </w:r>
      <w:r w:rsidRPr="00420D9B">
        <w:rPr>
          <w:rFonts w:ascii="Verdana" w:hAnsi="Verdana"/>
          <w:color w:val="auto"/>
          <w:sz w:val="22"/>
          <w:szCs w:val="22"/>
          <w:u w:val="single"/>
        </w:rPr>
        <w:t xml:space="preserve"> </w:t>
      </w:r>
      <w:r w:rsidRPr="00420D9B">
        <w:rPr>
          <w:rFonts w:ascii="Verdana" w:hAnsi="Verdana"/>
          <w:b/>
          <w:bCs/>
          <w:color w:val="auto"/>
          <w:sz w:val="22"/>
          <w:szCs w:val="22"/>
          <w:u w:val="single"/>
        </w:rPr>
        <w:t>temporal</w:t>
      </w:r>
      <w:r w:rsidRPr="00420D9B">
        <w:rPr>
          <w:rFonts w:ascii="Verdana" w:hAnsi="Verdana"/>
          <w:color w:val="auto"/>
          <w:sz w:val="22"/>
          <w:szCs w:val="22"/>
        </w:rPr>
        <w:t>, toda vez que esta se pactó en modalidad de OCURRENCIA, con una vigencia comprendida entre el</w:t>
      </w:r>
      <w:r w:rsidR="007534D0" w:rsidRPr="00420D9B">
        <w:rPr>
          <w:rFonts w:ascii="Verdana" w:hAnsi="Verdana"/>
          <w:color w:val="auto"/>
          <w:sz w:val="22"/>
          <w:szCs w:val="22"/>
        </w:rPr>
        <w:t xml:space="preserve"> 01 de julio de 2022 al 01 de julio de 2023</w:t>
      </w:r>
      <w:r w:rsidRPr="00420D9B">
        <w:rPr>
          <w:rFonts w:ascii="Verdana" w:hAnsi="Verdana"/>
          <w:color w:val="auto"/>
          <w:sz w:val="22"/>
          <w:szCs w:val="22"/>
        </w:rPr>
        <w:t>, y el accidente tuvo lugar el</w:t>
      </w:r>
      <w:r w:rsidR="007534D0" w:rsidRPr="00420D9B">
        <w:rPr>
          <w:rFonts w:ascii="Verdana" w:hAnsi="Verdana"/>
          <w:color w:val="auto"/>
          <w:sz w:val="22"/>
          <w:szCs w:val="22"/>
        </w:rPr>
        <w:t>22 de octubre de 2022</w:t>
      </w:r>
      <w:r w:rsidRPr="00420D9B">
        <w:rPr>
          <w:rFonts w:ascii="Verdana" w:hAnsi="Verdana"/>
          <w:color w:val="auto"/>
          <w:sz w:val="22"/>
          <w:szCs w:val="22"/>
        </w:rPr>
        <w:t xml:space="preserve">, por lo que habría ocurrido dentro de la vigencia. Igualmente, </w:t>
      </w:r>
      <w:r w:rsidRPr="00420D9B">
        <w:rPr>
          <w:rFonts w:ascii="Verdana" w:hAnsi="Verdana"/>
          <w:b/>
          <w:bCs/>
          <w:color w:val="auto"/>
          <w:sz w:val="22"/>
          <w:szCs w:val="22"/>
          <w:u w:val="single"/>
        </w:rPr>
        <w:t>presta cobertura material</w:t>
      </w:r>
      <w:r w:rsidRPr="00420D9B">
        <w:rPr>
          <w:rFonts w:ascii="Verdana" w:hAnsi="Verdana"/>
          <w:b/>
          <w:bCs/>
          <w:color w:val="auto"/>
          <w:sz w:val="22"/>
          <w:szCs w:val="22"/>
        </w:rPr>
        <w:t xml:space="preserve"> </w:t>
      </w:r>
      <w:r w:rsidRPr="00420D9B">
        <w:rPr>
          <w:rFonts w:ascii="Verdana" w:hAnsi="Verdana"/>
          <w:color w:val="auto"/>
          <w:sz w:val="22"/>
          <w:szCs w:val="22"/>
        </w:rPr>
        <w:t>toda vez que ampara las lesiones o muerte de un tercero derivada de la responsabilidad civil extracontractual</w:t>
      </w:r>
      <w:r w:rsidR="006C456E" w:rsidRPr="00420D9B">
        <w:rPr>
          <w:rFonts w:ascii="Verdana" w:hAnsi="Verdana"/>
          <w:color w:val="auto"/>
          <w:sz w:val="22"/>
          <w:szCs w:val="22"/>
        </w:rPr>
        <w:t xml:space="preserve"> derivada de la conducción del vehículo asegurado de placas KYX-430</w:t>
      </w:r>
      <w:r w:rsidRPr="00420D9B">
        <w:rPr>
          <w:rFonts w:ascii="Verdana" w:hAnsi="Verdana"/>
          <w:color w:val="auto"/>
          <w:sz w:val="22"/>
          <w:szCs w:val="22"/>
        </w:rPr>
        <w:t>, pretensión que se persigue en la demanda.</w:t>
      </w:r>
    </w:p>
    <w:p w14:paraId="66072BA7" w14:textId="77777777" w:rsidR="00037156" w:rsidRPr="00420D9B" w:rsidRDefault="00037156">
      <w:pPr>
        <w:spacing w:after="0" w:line="276" w:lineRule="auto"/>
        <w:jc w:val="both"/>
        <w:rPr>
          <w:rFonts w:ascii="Verdana" w:hAnsi="Verdana" w:cs="Arial"/>
          <w:u w:val="single"/>
        </w:rPr>
      </w:pPr>
    </w:p>
    <w:p w14:paraId="15CDABEE" w14:textId="6AE24723" w:rsidR="00902132" w:rsidRPr="00420D9B" w:rsidRDefault="005D4EC6">
      <w:pPr>
        <w:spacing w:after="0" w:line="276" w:lineRule="auto"/>
        <w:jc w:val="both"/>
        <w:rPr>
          <w:rFonts w:ascii="Verdana" w:hAnsi="Verdana" w:cs="Arial"/>
        </w:rPr>
      </w:pPr>
      <w:r w:rsidRPr="00420D9B">
        <w:rPr>
          <w:rFonts w:ascii="Verdana" w:hAnsi="Verdana" w:cs="Arial"/>
        </w:rPr>
        <w:t xml:space="preserve">Muchas gracias, </w:t>
      </w:r>
      <w:r w:rsidR="00420D9B" w:rsidRPr="00420D9B">
        <w:rPr>
          <w:rFonts w:ascii="Verdana" w:hAnsi="Verdana" w:cs="Arial"/>
        </w:rPr>
        <w:t>cordialmente</w:t>
      </w:r>
      <w:r w:rsidRPr="00420D9B">
        <w:rPr>
          <w:rFonts w:ascii="Verdana" w:hAnsi="Verdana" w:cs="Arial"/>
        </w:rPr>
        <w:t xml:space="preserve">, </w:t>
      </w:r>
    </w:p>
    <w:p w14:paraId="01BC0EF4" w14:textId="77777777" w:rsidR="00B43896" w:rsidRPr="00420D9B" w:rsidRDefault="00B43896">
      <w:pPr>
        <w:spacing w:after="0" w:line="276" w:lineRule="auto"/>
        <w:jc w:val="both"/>
        <w:rPr>
          <w:rFonts w:ascii="Verdana" w:hAnsi="Verdana" w:cs="Arial"/>
        </w:rPr>
      </w:pPr>
    </w:p>
    <w:sectPr w:rsidR="00B43896" w:rsidRPr="00420D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6CD"/>
    <w:multiLevelType w:val="hybridMultilevel"/>
    <w:tmpl w:val="21EE0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A1C46"/>
    <w:multiLevelType w:val="hybridMultilevel"/>
    <w:tmpl w:val="1A465C92"/>
    <w:lvl w:ilvl="0" w:tplc="B4C0BE2C">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3606B"/>
    <w:multiLevelType w:val="hybridMultilevel"/>
    <w:tmpl w:val="B0647FAE"/>
    <w:lvl w:ilvl="0" w:tplc="7AEC2332">
      <w:start w:val="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286ABF"/>
    <w:multiLevelType w:val="hybridMultilevel"/>
    <w:tmpl w:val="07606A36"/>
    <w:lvl w:ilvl="0" w:tplc="542C8B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C3549C"/>
    <w:multiLevelType w:val="hybridMultilevel"/>
    <w:tmpl w:val="768A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77413"/>
    <w:multiLevelType w:val="hybridMultilevel"/>
    <w:tmpl w:val="33EEA1AC"/>
    <w:lvl w:ilvl="0" w:tplc="3BD6D8A8">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59F7A03"/>
    <w:multiLevelType w:val="multilevel"/>
    <w:tmpl w:val="19645EE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9378C8"/>
    <w:multiLevelType w:val="hybridMultilevel"/>
    <w:tmpl w:val="BE5A1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875B7"/>
    <w:multiLevelType w:val="hybridMultilevel"/>
    <w:tmpl w:val="58B6C1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9F2A2F"/>
    <w:multiLevelType w:val="multilevel"/>
    <w:tmpl w:val="172082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E93E99"/>
    <w:multiLevelType w:val="multilevel"/>
    <w:tmpl w:val="F888004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160" w:hanging="360"/>
      </w:pPr>
      <w:rPr>
        <w:rFonts w:ascii="Verdana" w:eastAsiaTheme="minorHAnsi" w:hAnsi="Verdana"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D32EC"/>
    <w:multiLevelType w:val="multilevel"/>
    <w:tmpl w:val="A776DA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6D6C16"/>
    <w:multiLevelType w:val="multilevel"/>
    <w:tmpl w:val="9BD4C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D37DAA"/>
    <w:multiLevelType w:val="multilevel"/>
    <w:tmpl w:val="4FE8D0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5072F"/>
    <w:multiLevelType w:val="hybridMultilevel"/>
    <w:tmpl w:val="5AAAB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B1609F"/>
    <w:multiLevelType w:val="multilevel"/>
    <w:tmpl w:val="D8E8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15"/>
  </w:num>
  <w:num w:numId="7">
    <w:abstractNumId w:val="6"/>
  </w:num>
  <w:num w:numId="8">
    <w:abstractNumId w:val="10"/>
  </w:num>
  <w:num w:numId="9">
    <w:abstractNumId w:val="12"/>
  </w:num>
  <w:num w:numId="10">
    <w:abstractNumId w:val="13"/>
  </w:num>
  <w:num w:numId="11">
    <w:abstractNumId w:val="9"/>
  </w:num>
  <w:num w:numId="12">
    <w:abstractNumId w:val="11"/>
  </w:num>
  <w:num w:numId="13">
    <w:abstractNumId w:val="8"/>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C6"/>
    <w:rsid w:val="00007900"/>
    <w:rsid w:val="000134FA"/>
    <w:rsid w:val="00020FC1"/>
    <w:rsid w:val="000218B7"/>
    <w:rsid w:val="00027D20"/>
    <w:rsid w:val="00030E32"/>
    <w:rsid w:val="00031C10"/>
    <w:rsid w:val="00037156"/>
    <w:rsid w:val="00051F52"/>
    <w:rsid w:val="000619D7"/>
    <w:rsid w:val="000732FE"/>
    <w:rsid w:val="00083F34"/>
    <w:rsid w:val="0008429A"/>
    <w:rsid w:val="00085615"/>
    <w:rsid w:val="00091149"/>
    <w:rsid w:val="000A42DE"/>
    <w:rsid w:val="000A699D"/>
    <w:rsid w:val="000C6826"/>
    <w:rsid w:val="000C6CBA"/>
    <w:rsid w:val="000C7171"/>
    <w:rsid w:val="000D0AF7"/>
    <w:rsid w:val="001427E4"/>
    <w:rsid w:val="0014714B"/>
    <w:rsid w:val="00160CF1"/>
    <w:rsid w:val="001655A3"/>
    <w:rsid w:val="0017053B"/>
    <w:rsid w:val="001732BD"/>
    <w:rsid w:val="001826AE"/>
    <w:rsid w:val="0019168F"/>
    <w:rsid w:val="001A504E"/>
    <w:rsid w:val="0021424D"/>
    <w:rsid w:val="002172F3"/>
    <w:rsid w:val="002469BE"/>
    <w:rsid w:val="00250E0D"/>
    <w:rsid w:val="00252420"/>
    <w:rsid w:val="002700F2"/>
    <w:rsid w:val="0028289F"/>
    <w:rsid w:val="0028405D"/>
    <w:rsid w:val="002856B3"/>
    <w:rsid w:val="002A0C12"/>
    <w:rsid w:val="002A33B5"/>
    <w:rsid w:val="002A7582"/>
    <w:rsid w:val="002C70B2"/>
    <w:rsid w:val="002D0B1F"/>
    <w:rsid w:val="003115E3"/>
    <w:rsid w:val="00320998"/>
    <w:rsid w:val="0032159C"/>
    <w:rsid w:val="00334F06"/>
    <w:rsid w:val="00336813"/>
    <w:rsid w:val="00340260"/>
    <w:rsid w:val="00347F30"/>
    <w:rsid w:val="00363310"/>
    <w:rsid w:val="0036517B"/>
    <w:rsid w:val="00380433"/>
    <w:rsid w:val="00385F53"/>
    <w:rsid w:val="00386E46"/>
    <w:rsid w:val="00394E23"/>
    <w:rsid w:val="003A6241"/>
    <w:rsid w:val="003B0F6D"/>
    <w:rsid w:val="003B26D0"/>
    <w:rsid w:val="003C4395"/>
    <w:rsid w:val="003D4ABB"/>
    <w:rsid w:val="003D5C84"/>
    <w:rsid w:val="003D7FBF"/>
    <w:rsid w:val="003E1A57"/>
    <w:rsid w:val="0040046A"/>
    <w:rsid w:val="00414280"/>
    <w:rsid w:val="00420D9B"/>
    <w:rsid w:val="00421F3F"/>
    <w:rsid w:val="00422CDB"/>
    <w:rsid w:val="00431D9D"/>
    <w:rsid w:val="00440467"/>
    <w:rsid w:val="0044239F"/>
    <w:rsid w:val="004457A7"/>
    <w:rsid w:val="004549FB"/>
    <w:rsid w:val="00487A83"/>
    <w:rsid w:val="00492B04"/>
    <w:rsid w:val="004947B3"/>
    <w:rsid w:val="00497C91"/>
    <w:rsid w:val="004A419B"/>
    <w:rsid w:val="004A4301"/>
    <w:rsid w:val="004A6921"/>
    <w:rsid w:val="004B0900"/>
    <w:rsid w:val="004C4144"/>
    <w:rsid w:val="004D572B"/>
    <w:rsid w:val="004D652F"/>
    <w:rsid w:val="004E6D62"/>
    <w:rsid w:val="00507A4F"/>
    <w:rsid w:val="00515441"/>
    <w:rsid w:val="0054108C"/>
    <w:rsid w:val="005514B5"/>
    <w:rsid w:val="005543C9"/>
    <w:rsid w:val="00557FC9"/>
    <w:rsid w:val="005611D6"/>
    <w:rsid w:val="00580872"/>
    <w:rsid w:val="00581B36"/>
    <w:rsid w:val="00596BA0"/>
    <w:rsid w:val="005B10A0"/>
    <w:rsid w:val="005B4C8E"/>
    <w:rsid w:val="005C54F8"/>
    <w:rsid w:val="005D1C11"/>
    <w:rsid w:val="005D4EC6"/>
    <w:rsid w:val="005F2338"/>
    <w:rsid w:val="005F7FBE"/>
    <w:rsid w:val="006108EE"/>
    <w:rsid w:val="00621356"/>
    <w:rsid w:val="00630D4B"/>
    <w:rsid w:val="00652B72"/>
    <w:rsid w:val="00665963"/>
    <w:rsid w:val="00677318"/>
    <w:rsid w:val="00695DB2"/>
    <w:rsid w:val="00696AA3"/>
    <w:rsid w:val="006A3FEF"/>
    <w:rsid w:val="006B1C62"/>
    <w:rsid w:val="006C456E"/>
    <w:rsid w:val="006D0C4F"/>
    <w:rsid w:val="006D2DA0"/>
    <w:rsid w:val="006D5683"/>
    <w:rsid w:val="006D675C"/>
    <w:rsid w:val="006E5CFE"/>
    <w:rsid w:val="007344F5"/>
    <w:rsid w:val="007413CB"/>
    <w:rsid w:val="00743029"/>
    <w:rsid w:val="007534D0"/>
    <w:rsid w:val="00762C74"/>
    <w:rsid w:val="0076764C"/>
    <w:rsid w:val="00777D39"/>
    <w:rsid w:val="00784AAB"/>
    <w:rsid w:val="0079148E"/>
    <w:rsid w:val="007A2ABE"/>
    <w:rsid w:val="007B4071"/>
    <w:rsid w:val="007C40C8"/>
    <w:rsid w:val="007C604F"/>
    <w:rsid w:val="007D415F"/>
    <w:rsid w:val="007D552C"/>
    <w:rsid w:val="007E77C1"/>
    <w:rsid w:val="007F1408"/>
    <w:rsid w:val="00814A9F"/>
    <w:rsid w:val="0082059D"/>
    <w:rsid w:val="008373C6"/>
    <w:rsid w:val="00844EA7"/>
    <w:rsid w:val="00865EDA"/>
    <w:rsid w:val="00880F45"/>
    <w:rsid w:val="008953A9"/>
    <w:rsid w:val="008A6840"/>
    <w:rsid w:val="008A6D22"/>
    <w:rsid w:val="008B0AB4"/>
    <w:rsid w:val="008B6B9A"/>
    <w:rsid w:val="008C68CC"/>
    <w:rsid w:val="008E246F"/>
    <w:rsid w:val="008E5708"/>
    <w:rsid w:val="008F52B1"/>
    <w:rsid w:val="008F57EA"/>
    <w:rsid w:val="00902132"/>
    <w:rsid w:val="00906428"/>
    <w:rsid w:val="00913447"/>
    <w:rsid w:val="00944F80"/>
    <w:rsid w:val="00945918"/>
    <w:rsid w:val="00952466"/>
    <w:rsid w:val="00955443"/>
    <w:rsid w:val="00963427"/>
    <w:rsid w:val="009720BE"/>
    <w:rsid w:val="0099330C"/>
    <w:rsid w:val="00994991"/>
    <w:rsid w:val="009A1714"/>
    <w:rsid w:val="009A2BBA"/>
    <w:rsid w:val="009B1904"/>
    <w:rsid w:val="009C15AD"/>
    <w:rsid w:val="009C2395"/>
    <w:rsid w:val="009F098C"/>
    <w:rsid w:val="00A04F4A"/>
    <w:rsid w:val="00A21E37"/>
    <w:rsid w:val="00A23429"/>
    <w:rsid w:val="00A44AA5"/>
    <w:rsid w:val="00A46DBE"/>
    <w:rsid w:val="00A473A2"/>
    <w:rsid w:val="00A51EE1"/>
    <w:rsid w:val="00A630FE"/>
    <w:rsid w:val="00A74DE6"/>
    <w:rsid w:val="00A816C4"/>
    <w:rsid w:val="00AB2E01"/>
    <w:rsid w:val="00AB7DEB"/>
    <w:rsid w:val="00AC0288"/>
    <w:rsid w:val="00AC1C3C"/>
    <w:rsid w:val="00AC720B"/>
    <w:rsid w:val="00AD6730"/>
    <w:rsid w:val="00AF74FE"/>
    <w:rsid w:val="00B13F62"/>
    <w:rsid w:val="00B2512B"/>
    <w:rsid w:val="00B3447E"/>
    <w:rsid w:val="00B43896"/>
    <w:rsid w:val="00B526AB"/>
    <w:rsid w:val="00B56221"/>
    <w:rsid w:val="00B63C66"/>
    <w:rsid w:val="00B851D4"/>
    <w:rsid w:val="00B94402"/>
    <w:rsid w:val="00B94B04"/>
    <w:rsid w:val="00B95993"/>
    <w:rsid w:val="00B95F1C"/>
    <w:rsid w:val="00BA33C8"/>
    <w:rsid w:val="00BB53E8"/>
    <w:rsid w:val="00BC2117"/>
    <w:rsid w:val="00BD11AE"/>
    <w:rsid w:val="00BD334E"/>
    <w:rsid w:val="00BD568B"/>
    <w:rsid w:val="00BD7AA3"/>
    <w:rsid w:val="00BE0046"/>
    <w:rsid w:val="00BF088F"/>
    <w:rsid w:val="00BF1B5E"/>
    <w:rsid w:val="00BF61B5"/>
    <w:rsid w:val="00C03AB8"/>
    <w:rsid w:val="00C10028"/>
    <w:rsid w:val="00C13CB1"/>
    <w:rsid w:val="00C16DB7"/>
    <w:rsid w:val="00C300C0"/>
    <w:rsid w:val="00C35242"/>
    <w:rsid w:val="00C415CB"/>
    <w:rsid w:val="00C64938"/>
    <w:rsid w:val="00C65543"/>
    <w:rsid w:val="00C71B02"/>
    <w:rsid w:val="00C72079"/>
    <w:rsid w:val="00C756D3"/>
    <w:rsid w:val="00C826E7"/>
    <w:rsid w:val="00C85B05"/>
    <w:rsid w:val="00C9369E"/>
    <w:rsid w:val="00C948F0"/>
    <w:rsid w:val="00CA1863"/>
    <w:rsid w:val="00CA534C"/>
    <w:rsid w:val="00CB343A"/>
    <w:rsid w:val="00CD1150"/>
    <w:rsid w:val="00CD4ECD"/>
    <w:rsid w:val="00CD65FE"/>
    <w:rsid w:val="00CF0AFF"/>
    <w:rsid w:val="00D06E95"/>
    <w:rsid w:val="00D335F7"/>
    <w:rsid w:val="00D36074"/>
    <w:rsid w:val="00D36CFB"/>
    <w:rsid w:val="00D506BA"/>
    <w:rsid w:val="00D55509"/>
    <w:rsid w:val="00D55698"/>
    <w:rsid w:val="00D6590C"/>
    <w:rsid w:val="00D847C9"/>
    <w:rsid w:val="00D8755A"/>
    <w:rsid w:val="00D94875"/>
    <w:rsid w:val="00DA5142"/>
    <w:rsid w:val="00DA5985"/>
    <w:rsid w:val="00DC3F58"/>
    <w:rsid w:val="00DD1C95"/>
    <w:rsid w:val="00DE2B4F"/>
    <w:rsid w:val="00DF57D1"/>
    <w:rsid w:val="00E03A94"/>
    <w:rsid w:val="00E1493E"/>
    <w:rsid w:val="00E31D88"/>
    <w:rsid w:val="00E343D4"/>
    <w:rsid w:val="00E36F72"/>
    <w:rsid w:val="00E40356"/>
    <w:rsid w:val="00E479C7"/>
    <w:rsid w:val="00E5438D"/>
    <w:rsid w:val="00E60090"/>
    <w:rsid w:val="00E60C57"/>
    <w:rsid w:val="00E631B2"/>
    <w:rsid w:val="00E764EA"/>
    <w:rsid w:val="00E7780E"/>
    <w:rsid w:val="00E8701C"/>
    <w:rsid w:val="00E9263B"/>
    <w:rsid w:val="00E9635B"/>
    <w:rsid w:val="00EA49FF"/>
    <w:rsid w:val="00EC30A0"/>
    <w:rsid w:val="00ED7CE8"/>
    <w:rsid w:val="00EF0A43"/>
    <w:rsid w:val="00F02207"/>
    <w:rsid w:val="00F06F27"/>
    <w:rsid w:val="00F07F2B"/>
    <w:rsid w:val="00F2128D"/>
    <w:rsid w:val="00F227BC"/>
    <w:rsid w:val="00F45D92"/>
    <w:rsid w:val="00F72AA2"/>
    <w:rsid w:val="00F82B42"/>
    <w:rsid w:val="00F91DD9"/>
    <w:rsid w:val="00F9615D"/>
    <w:rsid w:val="00FA13DA"/>
    <w:rsid w:val="00FA2460"/>
    <w:rsid w:val="00FB650C"/>
    <w:rsid w:val="00FD1F50"/>
    <w:rsid w:val="00FD4F6C"/>
    <w:rsid w:val="00FE1548"/>
    <w:rsid w:val="00FE4002"/>
    <w:rsid w:val="00FF0D5E"/>
    <w:rsid w:val="00FF20D5"/>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3751"/>
  <w15:chartTrackingRefBased/>
  <w15:docId w15:val="{E9634934-5B96-495F-B36F-A68BE07C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62"/>
    <w:rPr>
      <w:lang w:val="es-CO"/>
    </w:rPr>
  </w:style>
  <w:style w:type="paragraph" w:styleId="Ttulo1">
    <w:name w:val="heading 1"/>
    <w:basedOn w:val="Normal"/>
    <w:next w:val="Normal"/>
    <w:link w:val="Ttulo1Car"/>
    <w:uiPriority w:val="9"/>
    <w:qFormat/>
    <w:rsid w:val="003C4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link w:val="Ttulo5Car"/>
    <w:uiPriority w:val="9"/>
    <w:qFormat/>
    <w:rsid w:val="005D4E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D4EC6"/>
    <w:rPr>
      <w:rFonts w:ascii="Times New Roman" w:eastAsia="Times New Roman" w:hAnsi="Times New Roman" w:cs="Times New Roman"/>
      <w:b/>
      <w:bCs/>
      <w:sz w:val="20"/>
      <w:szCs w:val="20"/>
    </w:rPr>
  </w:style>
  <w:style w:type="character" w:customStyle="1" w:styleId="markm75eqcoh4">
    <w:name w:val="markm75eqcoh4"/>
    <w:basedOn w:val="Fuentedeprrafopredeter"/>
    <w:rsid w:val="005D4EC6"/>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4EC6"/>
    <w:pPr>
      <w:ind w:left="720"/>
      <w:contextualSpacing/>
    </w:pPr>
  </w:style>
  <w:style w:type="paragraph" w:customStyle="1" w:styleId="xmsonormal">
    <w:name w:val="x_msonormal"/>
    <w:basedOn w:val="Normal"/>
    <w:rsid w:val="00E7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14B5"/>
    <w:pPr>
      <w:autoSpaceDE w:val="0"/>
      <w:autoSpaceDN w:val="0"/>
      <w:adjustRightInd w:val="0"/>
      <w:spacing w:after="0" w:line="240" w:lineRule="auto"/>
    </w:pPr>
    <w:rPr>
      <w:rFonts w:ascii="Arial" w:hAnsi="Arial" w:cs="Arial"/>
      <w:color w:val="000000"/>
      <w:sz w:val="24"/>
      <w:szCs w:val="24"/>
      <w:lang w:val="es-CO"/>
    </w:rPr>
  </w:style>
  <w:style w:type="character" w:customStyle="1" w:styleId="SinespaciadoCar">
    <w:name w:val="Sin espaciado Car"/>
    <w:link w:val="Sinespaciado"/>
    <w:uiPriority w:val="1"/>
    <w:locked/>
    <w:rsid w:val="005514B5"/>
  </w:style>
  <w:style w:type="paragraph" w:styleId="Sinespaciado">
    <w:name w:val="No Spacing"/>
    <w:link w:val="SinespaciadoCar"/>
    <w:uiPriority w:val="1"/>
    <w:qFormat/>
    <w:rsid w:val="005514B5"/>
    <w:pPr>
      <w:spacing w:after="0" w:line="240" w:lineRule="auto"/>
    </w:pPr>
  </w:style>
  <w:style w:type="character" w:styleId="Refdecomentario">
    <w:name w:val="annotation reference"/>
    <w:basedOn w:val="Fuentedeprrafopredeter"/>
    <w:uiPriority w:val="99"/>
    <w:semiHidden/>
    <w:unhideWhenUsed/>
    <w:rsid w:val="00BF1B5E"/>
    <w:rPr>
      <w:sz w:val="16"/>
      <w:szCs w:val="16"/>
    </w:rPr>
  </w:style>
  <w:style w:type="paragraph" w:styleId="Textocomentario">
    <w:name w:val="annotation text"/>
    <w:basedOn w:val="Normal"/>
    <w:link w:val="TextocomentarioCar"/>
    <w:uiPriority w:val="99"/>
    <w:semiHidden/>
    <w:unhideWhenUsed/>
    <w:rsid w:val="00BF1B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B5E"/>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BF1B5E"/>
    <w:rPr>
      <w:b/>
      <w:bCs/>
    </w:rPr>
  </w:style>
  <w:style w:type="character" w:customStyle="1" w:styleId="AsuntodelcomentarioCar">
    <w:name w:val="Asunto del comentario Car"/>
    <w:basedOn w:val="TextocomentarioCar"/>
    <w:link w:val="Asuntodelcomentario"/>
    <w:uiPriority w:val="99"/>
    <w:semiHidden/>
    <w:rsid w:val="00BF1B5E"/>
    <w:rPr>
      <w:b/>
      <w:bCs/>
      <w:sz w:val="20"/>
      <w:szCs w:val="20"/>
      <w:lang w:val="es-CO"/>
    </w:rPr>
  </w:style>
  <w:style w:type="paragraph" w:styleId="Textodeglobo">
    <w:name w:val="Balloon Text"/>
    <w:basedOn w:val="Normal"/>
    <w:link w:val="TextodegloboCar"/>
    <w:uiPriority w:val="99"/>
    <w:semiHidden/>
    <w:unhideWhenUsed/>
    <w:rsid w:val="00BF1B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B5E"/>
    <w:rPr>
      <w:rFonts w:ascii="Segoe UI" w:hAnsi="Segoe UI" w:cs="Segoe UI"/>
      <w:sz w:val="18"/>
      <w:szCs w:val="18"/>
      <w:lang w:val="es-CO"/>
    </w:rPr>
  </w:style>
  <w:style w:type="paragraph" w:styleId="Revisin">
    <w:name w:val="Revision"/>
    <w:hidden/>
    <w:uiPriority w:val="99"/>
    <w:semiHidden/>
    <w:rsid w:val="00421F3F"/>
    <w:pPr>
      <w:spacing w:after="0" w:line="240" w:lineRule="auto"/>
    </w:pPr>
    <w:rPr>
      <w:lang w:val="es-CO"/>
    </w:rPr>
  </w:style>
  <w:style w:type="paragraph" w:styleId="NormalWeb">
    <w:name w:val="Normal (Web)"/>
    <w:basedOn w:val="Normal"/>
    <w:uiPriority w:val="99"/>
    <w:semiHidden/>
    <w:unhideWhenUsed/>
    <w:rsid w:val="00250E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68r6pxwyl">
    <w:name w:val="mark68r6pxwyl"/>
    <w:basedOn w:val="Fuentedeprrafopredeter"/>
    <w:rsid w:val="00250E0D"/>
  </w:style>
  <w:style w:type="character" w:customStyle="1" w:styleId="Ttulo1Car">
    <w:name w:val="Título 1 Car"/>
    <w:basedOn w:val="Fuentedeprrafopredeter"/>
    <w:link w:val="Ttulo1"/>
    <w:uiPriority w:val="9"/>
    <w:rsid w:val="003C4395"/>
    <w:rPr>
      <w:rFonts w:asciiTheme="majorHAnsi" w:eastAsiaTheme="majorEastAsia" w:hAnsiTheme="majorHAnsi" w:cstheme="majorBidi"/>
      <w:color w:val="2E74B5" w:themeColor="accent1" w:themeShade="BF"/>
      <w:sz w:val="32"/>
      <w:szCs w:val="32"/>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420D9B"/>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2074">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322315944">
      <w:bodyDiv w:val="1"/>
      <w:marLeft w:val="0"/>
      <w:marRight w:val="0"/>
      <w:marTop w:val="0"/>
      <w:marBottom w:val="0"/>
      <w:divBdr>
        <w:top w:val="none" w:sz="0" w:space="0" w:color="auto"/>
        <w:left w:val="none" w:sz="0" w:space="0" w:color="auto"/>
        <w:bottom w:val="none" w:sz="0" w:space="0" w:color="auto"/>
        <w:right w:val="none" w:sz="0" w:space="0" w:color="auto"/>
      </w:divBdr>
    </w:div>
    <w:div w:id="551843971">
      <w:bodyDiv w:val="1"/>
      <w:marLeft w:val="0"/>
      <w:marRight w:val="0"/>
      <w:marTop w:val="0"/>
      <w:marBottom w:val="0"/>
      <w:divBdr>
        <w:top w:val="none" w:sz="0" w:space="0" w:color="auto"/>
        <w:left w:val="none" w:sz="0" w:space="0" w:color="auto"/>
        <w:bottom w:val="none" w:sz="0" w:space="0" w:color="auto"/>
        <w:right w:val="none" w:sz="0" w:space="0" w:color="auto"/>
      </w:divBdr>
    </w:div>
    <w:div w:id="682896135">
      <w:bodyDiv w:val="1"/>
      <w:marLeft w:val="0"/>
      <w:marRight w:val="0"/>
      <w:marTop w:val="0"/>
      <w:marBottom w:val="0"/>
      <w:divBdr>
        <w:top w:val="none" w:sz="0" w:space="0" w:color="auto"/>
        <w:left w:val="none" w:sz="0" w:space="0" w:color="auto"/>
        <w:bottom w:val="none" w:sz="0" w:space="0" w:color="auto"/>
        <w:right w:val="none" w:sz="0" w:space="0" w:color="auto"/>
      </w:divBdr>
    </w:div>
    <w:div w:id="815950062">
      <w:bodyDiv w:val="1"/>
      <w:marLeft w:val="0"/>
      <w:marRight w:val="0"/>
      <w:marTop w:val="0"/>
      <w:marBottom w:val="0"/>
      <w:divBdr>
        <w:top w:val="none" w:sz="0" w:space="0" w:color="auto"/>
        <w:left w:val="none" w:sz="0" w:space="0" w:color="auto"/>
        <w:bottom w:val="none" w:sz="0" w:space="0" w:color="auto"/>
        <w:right w:val="none" w:sz="0" w:space="0" w:color="auto"/>
      </w:divBdr>
      <w:divsChild>
        <w:div w:id="1076511993">
          <w:marLeft w:val="0"/>
          <w:marRight w:val="0"/>
          <w:marTop w:val="0"/>
          <w:marBottom w:val="0"/>
          <w:divBdr>
            <w:top w:val="none" w:sz="0" w:space="0" w:color="auto"/>
            <w:left w:val="none" w:sz="0" w:space="0" w:color="auto"/>
            <w:bottom w:val="none" w:sz="0" w:space="0" w:color="auto"/>
            <w:right w:val="none" w:sz="0" w:space="0" w:color="auto"/>
          </w:divBdr>
        </w:div>
        <w:div w:id="631791698">
          <w:marLeft w:val="0"/>
          <w:marRight w:val="0"/>
          <w:marTop w:val="0"/>
          <w:marBottom w:val="0"/>
          <w:divBdr>
            <w:top w:val="none" w:sz="0" w:space="0" w:color="auto"/>
            <w:left w:val="none" w:sz="0" w:space="0" w:color="auto"/>
            <w:bottom w:val="none" w:sz="0" w:space="0" w:color="auto"/>
            <w:right w:val="none" w:sz="0" w:space="0" w:color="auto"/>
          </w:divBdr>
        </w:div>
        <w:div w:id="1480422717">
          <w:marLeft w:val="0"/>
          <w:marRight w:val="0"/>
          <w:marTop w:val="0"/>
          <w:marBottom w:val="0"/>
          <w:divBdr>
            <w:top w:val="none" w:sz="0" w:space="0" w:color="auto"/>
            <w:left w:val="none" w:sz="0" w:space="0" w:color="auto"/>
            <w:bottom w:val="none" w:sz="0" w:space="0" w:color="auto"/>
            <w:right w:val="none" w:sz="0" w:space="0" w:color="auto"/>
          </w:divBdr>
        </w:div>
        <w:div w:id="1498351155">
          <w:marLeft w:val="0"/>
          <w:marRight w:val="0"/>
          <w:marTop w:val="0"/>
          <w:marBottom w:val="0"/>
          <w:divBdr>
            <w:top w:val="none" w:sz="0" w:space="0" w:color="auto"/>
            <w:left w:val="none" w:sz="0" w:space="0" w:color="auto"/>
            <w:bottom w:val="none" w:sz="0" w:space="0" w:color="auto"/>
            <w:right w:val="none" w:sz="0" w:space="0" w:color="auto"/>
          </w:divBdr>
        </w:div>
        <w:div w:id="1267807093">
          <w:marLeft w:val="0"/>
          <w:marRight w:val="0"/>
          <w:marTop w:val="0"/>
          <w:marBottom w:val="0"/>
          <w:divBdr>
            <w:top w:val="none" w:sz="0" w:space="0" w:color="auto"/>
            <w:left w:val="none" w:sz="0" w:space="0" w:color="auto"/>
            <w:bottom w:val="none" w:sz="0" w:space="0" w:color="auto"/>
            <w:right w:val="none" w:sz="0" w:space="0" w:color="auto"/>
          </w:divBdr>
        </w:div>
        <w:div w:id="776023300">
          <w:marLeft w:val="0"/>
          <w:marRight w:val="0"/>
          <w:marTop w:val="0"/>
          <w:marBottom w:val="0"/>
          <w:divBdr>
            <w:top w:val="none" w:sz="0" w:space="0" w:color="auto"/>
            <w:left w:val="none" w:sz="0" w:space="0" w:color="auto"/>
            <w:bottom w:val="none" w:sz="0" w:space="0" w:color="auto"/>
            <w:right w:val="none" w:sz="0" w:space="0" w:color="auto"/>
          </w:divBdr>
        </w:div>
        <w:div w:id="293952193">
          <w:marLeft w:val="0"/>
          <w:marRight w:val="0"/>
          <w:marTop w:val="0"/>
          <w:marBottom w:val="0"/>
          <w:divBdr>
            <w:top w:val="none" w:sz="0" w:space="0" w:color="auto"/>
            <w:left w:val="none" w:sz="0" w:space="0" w:color="auto"/>
            <w:bottom w:val="none" w:sz="0" w:space="0" w:color="auto"/>
            <w:right w:val="none" w:sz="0" w:space="0" w:color="auto"/>
          </w:divBdr>
        </w:div>
      </w:divsChild>
    </w:div>
    <w:div w:id="870193439">
      <w:bodyDiv w:val="1"/>
      <w:marLeft w:val="0"/>
      <w:marRight w:val="0"/>
      <w:marTop w:val="0"/>
      <w:marBottom w:val="0"/>
      <w:divBdr>
        <w:top w:val="none" w:sz="0" w:space="0" w:color="auto"/>
        <w:left w:val="none" w:sz="0" w:space="0" w:color="auto"/>
        <w:bottom w:val="none" w:sz="0" w:space="0" w:color="auto"/>
        <w:right w:val="none" w:sz="0" w:space="0" w:color="auto"/>
      </w:divBdr>
      <w:divsChild>
        <w:div w:id="804002824">
          <w:marLeft w:val="0"/>
          <w:marRight w:val="0"/>
          <w:marTop w:val="0"/>
          <w:marBottom w:val="0"/>
          <w:divBdr>
            <w:top w:val="none" w:sz="0" w:space="0" w:color="auto"/>
            <w:left w:val="none" w:sz="0" w:space="0" w:color="auto"/>
            <w:bottom w:val="none" w:sz="0" w:space="0" w:color="auto"/>
            <w:right w:val="none" w:sz="0" w:space="0" w:color="auto"/>
          </w:divBdr>
        </w:div>
      </w:divsChild>
    </w:div>
    <w:div w:id="937371226">
      <w:bodyDiv w:val="1"/>
      <w:marLeft w:val="0"/>
      <w:marRight w:val="0"/>
      <w:marTop w:val="0"/>
      <w:marBottom w:val="0"/>
      <w:divBdr>
        <w:top w:val="none" w:sz="0" w:space="0" w:color="auto"/>
        <w:left w:val="none" w:sz="0" w:space="0" w:color="auto"/>
        <w:bottom w:val="none" w:sz="0" w:space="0" w:color="auto"/>
        <w:right w:val="none" w:sz="0" w:space="0" w:color="auto"/>
      </w:divBdr>
    </w:div>
    <w:div w:id="967396074">
      <w:bodyDiv w:val="1"/>
      <w:marLeft w:val="0"/>
      <w:marRight w:val="0"/>
      <w:marTop w:val="0"/>
      <w:marBottom w:val="0"/>
      <w:divBdr>
        <w:top w:val="none" w:sz="0" w:space="0" w:color="auto"/>
        <w:left w:val="none" w:sz="0" w:space="0" w:color="auto"/>
        <w:bottom w:val="none" w:sz="0" w:space="0" w:color="auto"/>
        <w:right w:val="none" w:sz="0" w:space="0" w:color="auto"/>
      </w:divBdr>
    </w:div>
    <w:div w:id="1253389942">
      <w:bodyDiv w:val="1"/>
      <w:marLeft w:val="0"/>
      <w:marRight w:val="0"/>
      <w:marTop w:val="0"/>
      <w:marBottom w:val="0"/>
      <w:divBdr>
        <w:top w:val="none" w:sz="0" w:space="0" w:color="auto"/>
        <w:left w:val="none" w:sz="0" w:space="0" w:color="auto"/>
        <w:bottom w:val="none" w:sz="0" w:space="0" w:color="auto"/>
        <w:right w:val="none" w:sz="0" w:space="0" w:color="auto"/>
      </w:divBdr>
    </w:div>
    <w:div w:id="1360664846">
      <w:bodyDiv w:val="1"/>
      <w:marLeft w:val="0"/>
      <w:marRight w:val="0"/>
      <w:marTop w:val="0"/>
      <w:marBottom w:val="0"/>
      <w:divBdr>
        <w:top w:val="none" w:sz="0" w:space="0" w:color="auto"/>
        <w:left w:val="none" w:sz="0" w:space="0" w:color="auto"/>
        <w:bottom w:val="none" w:sz="0" w:space="0" w:color="auto"/>
        <w:right w:val="none" w:sz="0" w:space="0" w:color="auto"/>
      </w:divBdr>
    </w:div>
    <w:div w:id="1631276891">
      <w:bodyDiv w:val="1"/>
      <w:marLeft w:val="0"/>
      <w:marRight w:val="0"/>
      <w:marTop w:val="0"/>
      <w:marBottom w:val="0"/>
      <w:divBdr>
        <w:top w:val="none" w:sz="0" w:space="0" w:color="auto"/>
        <w:left w:val="none" w:sz="0" w:space="0" w:color="auto"/>
        <w:bottom w:val="none" w:sz="0" w:space="0" w:color="auto"/>
        <w:right w:val="none" w:sz="0" w:space="0" w:color="auto"/>
      </w:divBdr>
    </w:div>
    <w:div w:id="16610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9C4F-B45E-4E1F-8521-0C2F9396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1555</Words>
  <Characters>8864</Characters>
  <Application>Microsoft Office Word</Application>
  <DocSecurity>0</DocSecurity>
  <Lines>73</Lines>
  <Paragraphs>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Total: $27.773.149</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Mz</dc:creator>
  <cp:keywords/>
  <dc:description/>
  <cp:lastModifiedBy>asus</cp:lastModifiedBy>
  <cp:revision>26</cp:revision>
  <dcterms:created xsi:type="dcterms:W3CDTF">2024-01-29T16:35:00Z</dcterms:created>
  <dcterms:modified xsi:type="dcterms:W3CDTF">2024-02-01T16:03:00Z</dcterms:modified>
</cp:coreProperties>
</file>