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ED9B73" w14:textId="764998FC" w:rsidR="009A1E1B" w:rsidRPr="009A1E1B" w:rsidRDefault="005D0617" w:rsidP="009A1E1B">
      <w:pPr>
        <w:jc w:val="both"/>
        <w:rPr>
          <w:rFonts w:ascii="Century Gothic" w:hAnsi="Century Gothic" w:cs="Tahoma"/>
          <w:lang w:val="es-CO"/>
        </w:rPr>
      </w:pPr>
      <w:r>
        <w:rPr>
          <w:rFonts w:ascii="Century Gothic" w:hAnsi="Century Gothic" w:cs="Tahoma"/>
          <w:lang w:val="es-CO"/>
        </w:rPr>
        <w:t>HONORBLE</w:t>
      </w:r>
      <w:r w:rsidR="009A1E1B" w:rsidRPr="009A1E1B">
        <w:rPr>
          <w:rFonts w:ascii="Century Gothic" w:hAnsi="Century Gothic" w:cs="Tahoma"/>
          <w:lang w:val="es-CO"/>
        </w:rPr>
        <w:t>:</w:t>
      </w:r>
    </w:p>
    <w:p w14:paraId="44717613" w14:textId="22237484" w:rsidR="009A1E1B" w:rsidRPr="009A1E1B" w:rsidRDefault="006151E3" w:rsidP="009A1E1B">
      <w:pPr>
        <w:jc w:val="both"/>
        <w:rPr>
          <w:rFonts w:ascii="Century Gothic" w:hAnsi="Century Gothic" w:cs="Tahoma"/>
          <w:b/>
          <w:bCs/>
          <w:i/>
          <w:lang w:val="es-CO"/>
        </w:rPr>
      </w:pPr>
      <w:r>
        <w:rPr>
          <w:rFonts w:ascii="Century Gothic" w:hAnsi="Century Gothic" w:cs="Tahoma"/>
          <w:b/>
          <w:bCs/>
          <w:lang w:val="es-CO"/>
        </w:rPr>
        <w:t xml:space="preserve">TRIBUNAL </w:t>
      </w:r>
      <w:r w:rsidR="00363673">
        <w:rPr>
          <w:rFonts w:ascii="Century Gothic" w:hAnsi="Century Gothic" w:cs="Tahoma"/>
          <w:b/>
          <w:bCs/>
          <w:lang w:val="es-CO"/>
        </w:rPr>
        <w:t xml:space="preserve">ADMINISTRATIVO DEL </w:t>
      </w:r>
      <w:r>
        <w:rPr>
          <w:rFonts w:ascii="Century Gothic" w:hAnsi="Century Gothic" w:cs="Tahoma"/>
          <w:b/>
          <w:bCs/>
          <w:lang w:val="es-CO"/>
        </w:rPr>
        <w:t>VALLE DEL CAUCA</w:t>
      </w:r>
      <w:r w:rsidRPr="009A1E1B">
        <w:rPr>
          <w:rFonts w:ascii="Century Gothic" w:hAnsi="Century Gothic" w:cs="Tahoma"/>
          <w:b/>
          <w:bCs/>
          <w:lang w:val="es-CO"/>
        </w:rPr>
        <w:t xml:space="preserve"> </w:t>
      </w:r>
      <w:r w:rsidR="009A1E1B" w:rsidRPr="009A1E1B">
        <w:rPr>
          <w:rFonts w:ascii="Century Gothic" w:hAnsi="Century Gothic" w:cs="Tahoma"/>
          <w:b/>
          <w:bCs/>
          <w:i/>
          <w:lang w:val="es-CO"/>
        </w:rPr>
        <w:t>(REPARTO)</w:t>
      </w:r>
    </w:p>
    <w:p w14:paraId="501D9374" w14:textId="77777777" w:rsidR="007A71A4" w:rsidRDefault="0067543A" w:rsidP="009A1E1B">
      <w:pPr>
        <w:jc w:val="both"/>
        <w:rPr>
          <w:lang w:val="es-CO"/>
        </w:rPr>
      </w:pPr>
      <w:hyperlink r:id="rId9" w:history="1">
        <w:r w:rsidR="007A71A4" w:rsidRPr="00105422">
          <w:rPr>
            <w:rStyle w:val="Hipervnculo"/>
            <w:lang w:val="es-CO"/>
          </w:rPr>
          <w:t>repartoadtivoscali@cendoj.ramajudicial.gov.co</w:t>
        </w:r>
      </w:hyperlink>
    </w:p>
    <w:p w14:paraId="074C6C25" w14:textId="77777777" w:rsidR="00DD368D" w:rsidRDefault="00DD368D" w:rsidP="009A1E1B">
      <w:pPr>
        <w:jc w:val="both"/>
        <w:rPr>
          <w:rFonts w:ascii="Century Gothic" w:hAnsi="Century Gothic" w:cs="Tahoma"/>
          <w:b/>
          <w:bCs/>
          <w:lang w:val="es-CO"/>
        </w:rPr>
      </w:pPr>
    </w:p>
    <w:p w14:paraId="19AEA1EF" w14:textId="77777777" w:rsidR="009A1E1B" w:rsidRPr="009A1E1B" w:rsidRDefault="009A1E1B" w:rsidP="009A1E1B">
      <w:pPr>
        <w:jc w:val="both"/>
        <w:rPr>
          <w:rFonts w:ascii="Century Gothic" w:hAnsi="Century Gothic" w:cs="Tahoma"/>
          <w:b/>
          <w:bCs/>
          <w:lang w:val="es-CO"/>
        </w:rPr>
      </w:pPr>
      <w:r w:rsidRPr="009A1E1B">
        <w:rPr>
          <w:rFonts w:ascii="Century Gothic" w:hAnsi="Century Gothic" w:cs="Tahoma"/>
          <w:b/>
          <w:bCs/>
          <w:lang w:val="es-CO"/>
        </w:rPr>
        <w:t xml:space="preserve">                       </w:t>
      </w:r>
    </w:p>
    <w:p w14:paraId="5B870AAA" w14:textId="77777777" w:rsidR="009A1E1B" w:rsidRPr="009A1E1B" w:rsidRDefault="000D65DB" w:rsidP="009A1E1B">
      <w:pPr>
        <w:ind w:left="2832" w:hanging="2832"/>
        <w:jc w:val="both"/>
        <w:rPr>
          <w:rFonts w:ascii="Century Gothic" w:hAnsi="Century Gothic" w:cs="Tahoma"/>
        </w:rPr>
      </w:pPr>
      <w:r>
        <w:rPr>
          <w:rFonts w:ascii="Century Gothic" w:hAnsi="Century Gothic" w:cs="Tahoma"/>
          <w:b/>
        </w:rPr>
        <w:t>DEMANDADO</w:t>
      </w:r>
      <w:r w:rsidR="009A1E1B" w:rsidRPr="009A1E1B">
        <w:rPr>
          <w:rFonts w:ascii="Century Gothic" w:hAnsi="Century Gothic" w:cs="Tahoma"/>
          <w:b/>
        </w:rPr>
        <w:t xml:space="preserve">: </w:t>
      </w:r>
      <w:r w:rsidR="009A1E1B" w:rsidRPr="009A1E1B">
        <w:rPr>
          <w:rFonts w:ascii="Century Gothic" w:hAnsi="Century Gothic" w:cs="Tahoma"/>
          <w:b/>
        </w:rPr>
        <w:tab/>
      </w:r>
      <w:r w:rsidR="0002706A">
        <w:rPr>
          <w:rFonts w:ascii="Century Gothic" w:hAnsi="Century Gothic" w:cs="Tahoma"/>
        </w:rPr>
        <w:t>LA NACIÓN-SUPERINTENDENCIA DE SOCIEDADES</w:t>
      </w:r>
    </w:p>
    <w:p w14:paraId="66B1087A" w14:textId="77777777" w:rsidR="009A1E1B" w:rsidRPr="009A1E1B" w:rsidRDefault="000D65DB" w:rsidP="009A1E1B">
      <w:pPr>
        <w:ind w:left="2832" w:hanging="2832"/>
        <w:jc w:val="both"/>
        <w:rPr>
          <w:rFonts w:ascii="Century Gothic" w:hAnsi="Century Gothic" w:cs="Tahoma"/>
        </w:rPr>
      </w:pPr>
      <w:r>
        <w:rPr>
          <w:rFonts w:ascii="Century Gothic" w:hAnsi="Century Gothic" w:cs="Tahoma"/>
          <w:b/>
        </w:rPr>
        <w:t>DEMAND</w:t>
      </w:r>
      <w:r w:rsidR="009A1E1B" w:rsidRPr="009A1E1B">
        <w:rPr>
          <w:rFonts w:ascii="Century Gothic" w:hAnsi="Century Gothic" w:cs="Tahoma"/>
          <w:b/>
        </w:rPr>
        <w:t xml:space="preserve">ANTE: </w:t>
      </w:r>
      <w:r w:rsidR="009A1E1B" w:rsidRPr="009A1E1B">
        <w:rPr>
          <w:rFonts w:ascii="Century Gothic" w:hAnsi="Century Gothic" w:cs="Tahoma"/>
          <w:b/>
        </w:rPr>
        <w:tab/>
      </w:r>
      <w:r w:rsidR="0002706A">
        <w:rPr>
          <w:rFonts w:ascii="Century Gothic" w:hAnsi="Century Gothic" w:cs="Tahoma"/>
        </w:rPr>
        <w:t>CARLOS MANUEL HOYOS VALDERRAMA</w:t>
      </w:r>
    </w:p>
    <w:p w14:paraId="309F1FAA" w14:textId="77777777" w:rsidR="009A1E1B" w:rsidRPr="009A1E1B" w:rsidRDefault="009A1E1B" w:rsidP="009A1E1B">
      <w:pPr>
        <w:ind w:left="2832" w:hanging="2832"/>
        <w:jc w:val="both"/>
        <w:rPr>
          <w:rFonts w:ascii="Century Gothic" w:hAnsi="Century Gothic" w:cs="Tahoma"/>
        </w:rPr>
      </w:pPr>
      <w:r w:rsidRPr="009A1E1B">
        <w:rPr>
          <w:rFonts w:ascii="Century Gothic" w:hAnsi="Century Gothic" w:cs="Tahoma"/>
          <w:b/>
        </w:rPr>
        <w:t xml:space="preserve">CLASE DE PROCESO: </w:t>
      </w:r>
      <w:r w:rsidRPr="009A1E1B">
        <w:rPr>
          <w:rFonts w:ascii="Century Gothic" w:hAnsi="Century Gothic" w:cs="Tahoma"/>
          <w:b/>
        </w:rPr>
        <w:tab/>
      </w:r>
      <w:r w:rsidRPr="009A1E1B">
        <w:rPr>
          <w:rFonts w:ascii="Century Gothic" w:hAnsi="Century Gothic" w:cs="Tahoma"/>
        </w:rPr>
        <w:t xml:space="preserve">MEDIO DE CONTROL DE </w:t>
      </w:r>
      <w:r w:rsidR="0002706A">
        <w:rPr>
          <w:rFonts w:ascii="Century Gothic" w:hAnsi="Century Gothic" w:cs="Tahoma"/>
        </w:rPr>
        <w:t>REPARACIÓN DIRECTA</w:t>
      </w:r>
    </w:p>
    <w:p w14:paraId="638E9373" w14:textId="77777777" w:rsidR="009A1E1B" w:rsidRPr="009A1E1B" w:rsidRDefault="009A1E1B" w:rsidP="009A1E1B">
      <w:pPr>
        <w:ind w:left="2832" w:hanging="2832"/>
        <w:jc w:val="both"/>
        <w:rPr>
          <w:rFonts w:ascii="Century Gothic" w:hAnsi="Century Gothic" w:cs="Tahoma"/>
        </w:rPr>
      </w:pPr>
      <w:r w:rsidRPr="009A1E1B">
        <w:rPr>
          <w:rFonts w:ascii="Century Gothic" w:hAnsi="Century Gothic" w:cs="Tahoma"/>
          <w:b/>
        </w:rPr>
        <w:t xml:space="preserve">ASUNTO: </w:t>
      </w:r>
      <w:r w:rsidRPr="009A1E1B">
        <w:rPr>
          <w:rFonts w:ascii="Century Gothic" w:hAnsi="Century Gothic" w:cs="Tahoma"/>
        </w:rPr>
        <w:tab/>
      </w:r>
      <w:r w:rsidR="000D65DB">
        <w:rPr>
          <w:rFonts w:ascii="Century Gothic" w:hAnsi="Century Gothic" w:cs="Tahoma"/>
        </w:rPr>
        <w:t>ESCRITO DE DEMANDA Y ANEXOS</w:t>
      </w:r>
    </w:p>
    <w:p w14:paraId="6FBB82AF" w14:textId="77777777" w:rsidR="009A1E1B" w:rsidRDefault="009A1E1B" w:rsidP="009A1E1B">
      <w:pPr>
        <w:jc w:val="both"/>
        <w:rPr>
          <w:rFonts w:ascii="Century Gothic" w:hAnsi="Century Gothic" w:cs="Tahoma"/>
          <w:b/>
        </w:rPr>
      </w:pPr>
    </w:p>
    <w:p w14:paraId="6D699A2C" w14:textId="77777777" w:rsidR="00DD368D" w:rsidRPr="009A1E1B" w:rsidRDefault="00DD368D" w:rsidP="009A1E1B">
      <w:pPr>
        <w:jc w:val="both"/>
        <w:rPr>
          <w:rFonts w:ascii="Century Gothic" w:hAnsi="Century Gothic" w:cs="Tahoma"/>
          <w:b/>
        </w:rPr>
      </w:pPr>
    </w:p>
    <w:p w14:paraId="07916099" w14:textId="79D8A67F" w:rsidR="009A1E1B" w:rsidRPr="009A1E1B" w:rsidRDefault="009A1E1B" w:rsidP="0002706A">
      <w:pPr>
        <w:ind w:right="-1"/>
        <w:jc w:val="both"/>
        <w:rPr>
          <w:rFonts w:ascii="Century Gothic" w:hAnsi="Century Gothic" w:cs="Tahoma"/>
          <w:lang w:val="es-CO"/>
        </w:rPr>
      </w:pPr>
      <w:r w:rsidRPr="009A1E1B">
        <w:rPr>
          <w:rFonts w:ascii="Century Gothic" w:hAnsi="Century Gothic" w:cs="Tahoma"/>
          <w:b/>
        </w:rPr>
        <w:t>GUSTAVO ALBERTO HERRERA ÁVILA,</w:t>
      </w:r>
      <w:r w:rsidRPr="009A1E1B">
        <w:rPr>
          <w:rFonts w:ascii="Century Gothic" w:hAnsi="Century Gothic" w:cs="Tahoma"/>
        </w:rPr>
        <w:t xml:space="preserve"> mayor de edad, vecino y residente en la ciudad de Cali, Valle del Cauca, identificado con la cédula de ciudadanía No. 19.395.114 expedida en la ciudad de Bogotá D.C., abogado en ejercicio y portador de la Tarjeta Profesional No. 39.116 del Consejo Superior de la Judicatura, con oficina en la </w:t>
      </w:r>
      <w:r w:rsidR="00EA2EB0">
        <w:rPr>
          <w:rFonts w:ascii="Century Gothic" w:hAnsi="Century Gothic" w:cs="Tahoma"/>
        </w:rPr>
        <w:t>a</w:t>
      </w:r>
      <w:r w:rsidRPr="009A1E1B">
        <w:rPr>
          <w:rFonts w:ascii="Century Gothic" w:hAnsi="Century Gothic" w:cs="Tahoma"/>
        </w:rPr>
        <w:t xml:space="preserve">venida 6 A Bis # 35N – 100 – Centro Empresarial de Chipichape – </w:t>
      </w:r>
      <w:r w:rsidR="00EA2EB0">
        <w:rPr>
          <w:rFonts w:ascii="Century Gothic" w:hAnsi="Century Gothic" w:cs="Tahoma"/>
        </w:rPr>
        <w:t>o</w:t>
      </w:r>
      <w:r w:rsidRPr="009A1E1B">
        <w:rPr>
          <w:rFonts w:ascii="Century Gothic" w:hAnsi="Century Gothic" w:cs="Tahoma"/>
        </w:rPr>
        <w:t xml:space="preserve">ficina 212 de la ciudad de Cali, actuando en el presente proceso en mi calidad de apoderado especial de </w:t>
      </w:r>
      <w:r w:rsidR="0002706A">
        <w:rPr>
          <w:rFonts w:ascii="Century Gothic" w:hAnsi="Century Gothic" w:cs="Tahoma"/>
          <w:b/>
          <w:bCs/>
        </w:rPr>
        <w:t>CARLOS MANUEL HOYOS VALDERRAMA</w:t>
      </w:r>
      <w:r w:rsidRPr="009A1E1B">
        <w:rPr>
          <w:rFonts w:ascii="Century Gothic" w:hAnsi="Century Gothic" w:cs="Tahoma"/>
          <w:b/>
          <w:bCs/>
        </w:rPr>
        <w:t>,</w:t>
      </w:r>
      <w:r w:rsidR="0002706A">
        <w:rPr>
          <w:rFonts w:ascii="Century Gothic" w:hAnsi="Century Gothic" w:cs="Tahoma"/>
        </w:rPr>
        <w:t xml:space="preserve"> identificado</w:t>
      </w:r>
      <w:r w:rsidRPr="009A1E1B">
        <w:rPr>
          <w:rFonts w:ascii="Century Gothic" w:hAnsi="Century Gothic" w:cs="Tahoma"/>
        </w:rPr>
        <w:t xml:space="preserve"> con </w:t>
      </w:r>
      <w:r w:rsidR="0002706A">
        <w:rPr>
          <w:rFonts w:ascii="Century Gothic" w:hAnsi="Century Gothic" w:cs="Tahoma"/>
        </w:rPr>
        <w:t>cédula de ciudadanía No. 16.265.196</w:t>
      </w:r>
      <w:r w:rsidRPr="009A1E1B">
        <w:rPr>
          <w:rFonts w:ascii="Century Gothic" w:hAnsi="Century Gothic" w:cs="Tahoma"/>
          <w:lang w:val="es-CO"/>
        </w:rPr>
        <w:t xml:space="preserve">, conforme se acredita con el poder que se adjunta, por la presente </w:t>
      </w:r>
      <w:r w:rsidR="00C66ED9">
        <w:rPr>
          <w:rFonts w:ascii="Century Gothic" w:hAnsi="Century Gothic" w:cs="Tahoma"/>
          <w:lang w:val="es-CO"/>
        </w:rPr>
        <w:t>instauro</w:t>
      </w:r>
      <w:r w:rsidRPr="009A1E1B">
        <w:rPr>
          <w:rFonts w:ascii="Century Gothic" w:hAnsi="Century Gothic" w:cs="Tahoma"/>
          <w:lang w:val="es-CO"/>
        </w:rPr>
        <w:t xml:space="preserve"> </w:t>
      </w:r>
      <w:r w:rsidR="00C66ED9">
        <w:rPr>
          <w:rFonts w:ascii="Century Gothic" w:hAnsi="Century Gothic" w:cs="Tahoma"/>
          <w:b/>
          <w:lang w:val="es-CO"/>
        </w:rPr>
        <w:t>DEMANDA EN EL MEDIO DE CONTRO</w:t>
      </w:r>
      <w:r w:rsidR="003F161E">
        <w:rPr>
          <w:rFonts w:ascii="Century Gothic" w:hAnsi="Century Gothic" w:cs="Tahoma"/>
          <w:b/>
          <w:lang w:val="es-CO"/>
        </w:rPr>
        <w:t>L</w:t>
      </w:r>
      <w:r w:rsidR="00C66ED9">
        <w:rPr>
          <w:rFonts w:ascii="Century Gothic" w:hAnsi="Century Gothic" w:cs="Tahoma"/>
          <w:b/>
          <w:lang w:val="es-CO"/>
        </w:rPr>
        <w:t xml:space="preserve"> DE REPARACIÓN DIRECTA</w:t>
      </w:r>
      <w:r w:rsidR="0002706A">
        <w:rPr>
          <w:rFonts w:ascii="Century Gothic" w:hAnsi="Century Gothic" w:cs="Tahoma"/>
          <w:lang w:val="es-CO"/>
        </w:rPr>
        <w:t xml:space="preserve">, </w:t>
      </w:r>
      <w:r w:rsidR="006151E3">
        <w:rPr>
          <w:rFonts w:ascii="Century Gothic" w:hAnsi="Century Gothic" w:cs="Tahoma"/>
          <w:lang w:val="es-CO"/>
        </w:rPr>
        <w:t xml:space="preserve">regulado en el artículo 140 del CPACA., </w:t>
      </w:r>
      <w:r w:rsidR="00C66ED9">
        <w:rPr>
          <w:rFonts w:ascii="Century Gothic" w:hAnsi="Century Gothic" w:cs="Tahoma"/>
          <w:lang w:val="es-CO"/>
        </w:rPr>
        <w:t>en contra de</w:t>
      </w:r>
      <w:r w:rsidR="0002706A">
        <w:rPr>
          <w:rFonts w:ascii="Century Gothic" w:hAnsi="Century Gothic" w:cs="Tahoma"/>
          <w:lang w:val="es-CO"/>
        </w:rPr>
        <w:t xml:space="preserve"> </w:t>
      </w:r>
      <w:r w:rsidR="0002706A">
        <w:rPr>
          <w:rFonts w:ascii="Century Gothic" w:hAnsi="Century Gothic" w:cs="Tahoma"/>
          <w:b/>
          <w:lang w:val="es-CO"/>
        </w:rPr>
        <w:t>LA NACIÓN-SUPERINTENDENCIA DE SOCIEDADES</w:t>
      </w:r>
      <w:r w:rsidR="00EE65F8">
        <w:rPr>
          <w:rFonts w:ascii="Century Gothic" w:hAnsi="Century Gothic" w:cs="Tahoma"/>
          <w:b/>
          <w:lang w:val="es-CO"/>
        </w:rPr>
        <w:t xml:space="preserve"> INTENDENCIA REGIONAL CALI</w:t>
      </w:r>
      <w:r w:rsidRPr="009A1E1B">
        <w:rPr>
          <w:rFonts w:ascii="Century Gothic" w:hAnsi="Century Gothic" w:cs="Tahoma"/>
          <w:lang w:val="es-CO"/>
        </w:rPr>
        <w:t xml:space="preserve">, </w:t>
      </w:r>
      <w:r w:rsidR="0002706A" w:rsidRPr="0002706A">
        <w:rPr>
          <w:rFonts w:ascii="Century Gothic" w:hAnsi="Century Gothic" w:cs="Tahoma"/>
          <w:lang w:val="es-CO"/>
        </w:rPr>
        <w:t>co</w:t>
      </w:r>
      <w:r w:rsidR="0002706A">
        <w:rPr>
          <w:rFonts w:ascii="Century Gothic" w:hAnsi="Century Gothic" w:cs="Tahoma"/>
          <w:lang w:val="es-CO"/>
        </w:rPr>
        <w:t xml:space="preserve">n el fin de que </w:t>
      </w:r>
      <w:r w:rsidR="0002706A" w:rsidRPr="0002706A">
        <w:rPr>
          <w:rFonts w:ascii="Century Gothic" w:hAnsi="Century Gothic" w:cs="Tahoma"/>
          <w:lang w:val="es-CO"/>
        </w:rPr>
        <w:t>l</w:t>
      </w:r>
      <w:r w:rsidR="0002706A">
        <w:rPr>
          <w:rFonts w:ascii="Century Gothic" w:hAnsi="Century Gothic" w:cs="Tahoma"/>
          <w:lang w:val="es-CO"/>
        </w:rPr>
        <w:t>a</w:t>
      </w:r>
      <w:r w:rsidR="0002706A" w:rsidRPr="0002706A">
        <w:rPr>
          <w:rFonts w:ascii="Century Gothic" w:hAnsi="Century Gothic" w:cs="Tahoma"/>
          <w:lang w:val="es-CO"/>
        </w:rPr>
        <w:t xml:space="preserve"> </w:t>
      </w:r>
      <w:r w:rsidR="00C66ED9">
        <w:rPr>
          <w:rFonts w:ascii="Century Gothic" w:hAnsi="Century Gothic" w:cs="Tahoma"/>
          <w:lang w:val="es-CO"/>
        </w:rPr>
        <w:t>demandada</w:t>
      </w:r>
      <w:r w:rsidR="0002706A" w:rsidRPr="0002706A">
        <w:rPr>
          <w:rFonts w:ascii="Century Gothic" w:hAnsi="Century Gothic" w:cs="Tahoma"/>
          <w:lang w:val="es-CO"/>
        </w:rPr>
        <w:t xml:space="preserve"> resarza el daño antijurídico y los correspondientes perjuicios causados por Error Judicial generado con el </w:t>
      </w:r>
      <w:r w:rsidR="00EA2EB0">
        <w:rPr>
          <w:rFonts w:ascii="Century Gothic" w:hAnsi="Century Gothic" w:cs="Tahoma"/>
          <w:lang w:val="es-CO"/>
        </w:rPr>
        <w:t>A</w:t>
      </w:r>
      <w:r w:rsidR="004D20D1">
        <w:rPr>
          <w:rFonts w:ascii="Century Gothic" w:hAnsi="Century Gothic" w:cs="Tahoma"/>
          <w:lang w:val="es-CO"/>
        </w:rPr>
        <w:t xml:space="preserve">uto </w:t>
      </w:r>
      <w:r w:rsidR="00FB068E">
        <w:rPr>
          <w:rFonts w:ascii="Century Gothic" w:hAnsi="Century Gothic" w:cs="Tahoma"/>
          <w:lang w:val="es-CO"/>
        </w:rPr>
        <w:t>2022-03-005350, “</w:t>
      </w:r>
      <w:r w:rsidR="00EA2EB0" w:rsidRPr="00C177DB">
        <w:rPr>
          <w:rFonts w:ascii="Century Gothic" w:hAnsi="Century Gothic" w:cs="Tahoma"/>
          <w:i/>
          <w:iCs/>
          <w:lang w:val="es-CO"/>
        </w:rPr>
        <w:t>P</w:t>
      </w:r>
      <w:r w:rsidR="00FB068E" w:rsidRPr="00C177DB">
        <w:rPr>
          <w:rFonts w:ascii="Century Gothic" w:hAnsi="Century Gothic" w:cs="Tahoma"/>
          <w:i/>
          <w:iCs/>
          <w:lang w:val="es-CO"/>
        </w:rPr>
        <w:t>or medio del cual se reconocen los presupuestos de ineficacia parcial de un pago, se ordena al liquidador, no se accede a unas solicitudes y se ordena estarse a lo dispuesto</w:t>
      </w:r>
      <w:r w:rsidR="00FB068E">
        <w:rPr>
          <w:rFonts w:ascii="Century Gothic" w:hAnsi="Century Gothic" w:cs="Tahoma"/>
          <w:lang w:val="es-CO"/>
        </w:rPr>
        <w:t>” del 11</w:t>
      </w:r>
      <w:r w:rsidR="004D20D1">
        <w:rPr>
          <w:rFonts w:ascii="Century Gothic" w:hAnsi="Century Gothic" w:cs="Tahoma"/>
          <w:lang w:val="es-CO"/>
        </w:rPr>
        <w:t xml:space="preserve"> de </w:t>
      </w:r>
      <w:r w:rsidR="00FB068E">
        <w:rPr>
          <w:rFonts w:ascii="Century Gothic" w:hAnsi="Century Gothic" w:cs="Tahoma"/>
          <w:lang w:val="es-CO"/>
        </w:rPr>
        <w:t>mayo</w:t>
      </w:r>
      <w:r w:rsidR="00BA4BFC">
        <w:rPr>
          <w:rFonts w:ascii="Century Gothic" w:hAnsi="Century Gothic" w:cs="Tahoma"/>
          <w:lang w:val="es-CO"/>
        </w:rPr>
        <w:t xml:space="preserve"> de 2022</w:t>
      </w:r>
      <w:r w:rsidR="004D20D1">
        <w:rPr>
          <w:rFonts w:ascii="Century Gothic" w:hAnsi="Century Gothic" w:cs="Tahoma"/>
          <w:lang w:val="es-CO"/>
        </w:rPr>
        <w:t xml:space="preserve">, </w:t>
      </w:r>
      <w:r w:rsidR="0002706A" w:rsidRPr="0002706A">
        <w:rPr>
          <w:rFonts w:ascii="Century Gothic" w:hAnsi="Century Gothic" w:cs="Tahoma"/>
          <w:lang w:val="es-CO"/>
        </w:rPr>
        <w:t xml:space="preserve">dentro del proceso </w:t>
      </w:r>
      <w:r w:rsidR="004D20D1">
        <w:rPr>
          <w:rFonts w:ascii="Century Gothic" w:hAnsi="Century Gothic" w:cs="Tahoma"/>
          <w:lang w:val="es-CO"/>
        </w:rPr>
        <w:t>de liquidación judicial de la sociedad MULTIPOLIMEROS S.A.S.</w:t>
      </w:r>
      <w:r w:rsidR="0002706A" w:rsidRPr="0002706A">
        <w:rPr>
          <w:rFonts w:ascii="Century Gothic" w:hAnsi="Century Gothic" w:cs="Tahoma"/>
          <w:lang w:val="es-CO"/>
        </w:rPr>
        <w:t xml:space="preserve">, </w:t>
      </w:r>
      <w:r w:rsidR="004D20D1">
        <w:rPr>
          <w:rFonts w:ascii="Century Gothic" w:hAnsi="Century Gothic" w:cs="Tahoma"/>
          <w:lang w:val="es-CO"/>
        </w:rPr>
        <w:t xml:space="preserve">identificada con </w:t>
      </w:r>
      <w:proofErr w:type="spellStart"/>
      <w:r w:rsidR="004D20D1">
        <w:rPr>
          <w:rFonts w:ascii="Century Gothic" w:hAnsi="Century Gothic" w:cs="Tahoma"/>
          <w:lang w:val="es-CO"/>
        </w:rPr>
        <w:t>Nit</w:t>
      </w:r>
      <w:proofErr w:type="spellEnd"/>
      <w:r w:rsidR="004D20D1">
        <w:rPr>
          <w:rFonts w:ascii="Century Gothic" w:hAnsi="Century Gothic" w:cs="Tahoma"/>
          <w:lang w:val="es-CO"/>
        </w:rPr>
        <w:t>. 815.001.300</w:t>
      </w:r>
      <w:r w:rsidR="000D2327">
        <w:rPr>
          <w:rFonts w:ascii="Century Gothic" w:hAnsi="Century Gothic" w:cs="Tahoma"/>
          <w:lang w:val="es-CO"/>
        </w:rPr>
        <w:t>-6</w:t>
      </w:r>
      <w:r w:rsidR="004D20D1">
        <w:rPr>
          <w:rFonts w:ascii="Century Gothic" w:hAnsi="Century Gothic" w:cs="Tahoma"/>
          <w:lang w:val="es-CO"/>
        </w:rPr>
        <w:t xml:space="preserve">, </w:t>
      </w:r>
      <w:r w:rsidR="00772448">
        <w:rPr>
          <w:rFonts w:ascii="Century Gothic" w:hAnsi="Century Gothic" w:cs="Tahoma"/>
          <w:lang w:val="es-CO"/>
        </w:rPr>
        <w:t xml:space="preserve">bajo el expediente No. 89699, </w:t>
      </w:r>
      <w:r w:rsidR="0002706A" w:rsidRPr="0002706A">
        <w:rPr>
          <w:rFonts w:ascii="Century Gothic" w:hAnsi="Century Gothic" w:cs="Tahoma"/>
          <w:lang w:val="es-CO"/>
        </w:rPr>
        <w:t>lo cual formulo previas las siguientes consideraciones</w:t>
      </w:r>
      <w:r w:rsidR="004D20D1">
        <w:rPr>
          <w:rFonts w:ascii="Century Gothic" w:hAnsi="Century Gothic" w:cs="Tahoma"/>
          <w:lang w:val="es-CO"/>
        </w:rPr>
        <w:t>:</w:t>
      </w:r>
    </w:p>
    <w:p w14:paraId="6F338C25" w14:textId="77777777" w:rsidR="009A1E1B" w:rsidRDefault="009A1E1B" w:rsidP="009A1E1B">
      <w:pPr>
        <w:ind w:right="-1"/>
        <w:jc w:val="both"/>
        <w:rPr>
          <w:rFonts w:ascii="Century Gothic" w:hAnsi="Century Gothic" w:cs="Tahoma"/>
          <w:lang w:val="es-CO"/>
        </w:rPr>
      </w:pPr>
    </w:p>
    <w:p w14:paraId="3B6BD82E" w14:textId="77777777" w:rsidR="00EA2EB0" w:rsidRPr="009A1E1B" w:rsidRDefault="00EA2EB0" w:rsidP="009A1E1B">
      <w:pPr>
        <w:ind w:right="-1"/>
        <w:jc w:val="both"/>
        <w:rPr>
          <w:rFonts w:ascii="Century Gothic" w:hAnsi="Century Gothic" w:cs="Tahoma"/>
          <w:lang w:val="es-CO"/>
        </w:rPr>
      </w:pPr>
    </w:p>
    <w:p w14:paraId="27945AFC" w14:textId="77777777" w:rsidR="009A1E1B" w:rsidRPr="009A1E1B" w:rsidRDefault="009A1E1B" w:rsidP="009A1E1B">
      <w:pPr>
        <w:jc w:val="both"/>
        <w:rPr>
          <w:rFonts w:ascii="Century Gothic" w:hAnsi="Century Gothic" w:cs="Tahoma"/>
        </w:rPr>
      </w:pPr>
    </w:p>
    <w:p w14:paraId="01732CA0" w14:textId="77777777" w:rsidR="009A1E1B" w:rsidRPr="001E0B1C" w:rsidRDefault="009A1E1B" w:rsidP="00F527BF">
      <w:pPr>
        <w:pStyle w:val="Prrafodelista"/>
        <w:numPr>
          <w:ilvl w:val="0"/>
          <w:numId w:val="1"/>
        </w:numPr>
        <w:jc w:val="center"/>
        <w:rPr>
          <w:rFonts w:ascii="Century Gothic" w:hAnsi="Century Gothic" w:cs="Tahoma"/>
          <w:b/>
          <w:sz w:val="22"/>
          <w:szCs w:val="22"/>
          <w:u w:val="single"/>
        </w:rPr>
      </w:pPr>
      <w:r w:rsidRPr="001E0B1C">
        <w:rPr>
          <w:rFonts w:ascii="Century Gothic" w:hAnsi="Century Gothic" w:cs="Tahoma"/>
          <w:b/>
          <w:sz w:val="22"/>
          <w:szCs w:val="22"/>
          <w:u w:val="single"/>
        </w:rPr>
        <w:t>DESIGNACIÓN DE LAS PARTES Y SUS REPRESENTANTES</w:t>
      </w:r>
    </w:p>
    <w:p w14:paraId="65370B56" w14:textId="77777777" w:rsidR="009A1E1B" w:rsidRPr="009A1E1B" w:rsidRDefault="009A1E1B" w:rsidP="009A1E1B">
      <w:pPr>
        <w:jc w:val="center"/>
        <w:rPr>
          <w:rFonts w:ascii="Century Gothic" w:hAnsi="Century Gothic" w:cs="Tahoma"/>
        </w:rPr>
      </w:pPr>
    </w:p>
    <w:p w14:paraId="0BBACDEB" w14:textId="77777777" w:rsidR="009A1E1B" w:rsidRPr="009A1E1B" w:rsidRDefault="009A1E1B" w:rsidP="00F527BF">
      <w:pPr>
        <w:pStyle w:val="Prrafodelista"/>
        <w:numPr>
          <w:ilvl w:val="0"/>
          <w:numId w:val="2"/>
        </w:numPr>
        <w:jc w:val="both"/>
        <w:rPr>
          <w:rFonts w:ascii="Century Gothic" w:hAnsi="Century Gothic" w:cs="Tahoma"/>
          <w:sz w:val="22"/>
          <w:szCs w:val="22"/>
        </w:rPr>
      </w:pPr>
      <w:r w:rsidRPr="009A1E1B">
        <w:rPr>
          <w:rFonts w:ascii="Century Gothic" w:hAnsi="Century Gothic" w:cs="Tahoma"/>
          <w:b/>
          <w:sz w:val="22"/>
          <w:szCs w:val="22"/>
        </w:rPr>
        <w:t xml:space="preserve">PARTE </w:t>
      </w:r>
      <w:r w:rsidR="0098167B">
        <w:rPr>
          <w:rFonts w:ascii="Century Gothic" w:hAnsi="Century Gothic" w:cs="Tahoma"/>
          <w:b/>
          <w:sz w:val="22"/>
          <w:szCs w:val="22"/>
        </w:rPr>
        <w:t>DEMAND</w:t>
      </w:r>
      <w:r w:rsidRPr="009A1E1B">
        <w:rPr>
          <w:rFonts w:ascii="Century Gothic" w:hAnsi="Century Gothic" w:cs="Tahoma"/>
          <w:b/>
          <w:sz w:val="22"/>
          <w:szCs w:val="22"/>
        </w:rPr>
        <w:t>ANTE:</w:t>
      </w:r>
    </w:p>
    <w:p w14:paraId="187A6486" w14:textId="77777777" w:rsidR="009A1E1B" w:rsidRPr="009A1E1B" w:rsidRDefault="009A1E1B" w:rsidP="009A1E1B">
      <w:pPr>
        <w:jc w:val="both"/>
        <w:rPr>
          <w:rFonts w:ascii="Century Gothic" w:hAnsi="Century Gothic" w:cs="Tahoma"/>
        </w:rPr>
      </w:pPr>
    </w:p>
    <w:p w14:paraId="2A6F2C57" w14:textId="133DFE8E" w:rsidR="009A1E1B" w:rsidRPr="009A1E1B" w:rsidRDefault="009A1E1B" w:rsidP="009A1E1B">
      <w:pPr>
        <w:jc w:val="both"/>
        <w:rPr>
          <w:rFonts w:ascii="Century Gothic" w:hAnsi="Century Gothic" w:cs="Tahoma"/>
          <w:lang w:val="es-CO"/>
        </w:rPr>
      </w:pPr>
      <w:r w:rsidRPr="009A1E1B">
        <w:rPr>
          <w:rFonts w:ascii="Century Gothic" w:hAnsi="Century Gothic" w:cs="Tahoma"/>
        </w:rPr>
        <w:t xml:space="preserve">La integra </w:t>
      </w:r>
      <w:r w:rsidR="004D20D1">
        <w:rPr>
          <w:rFonts w:ascii="Century Gothic" w:hAnsi="Century Gothic" w:cs="Tahoma"/>
          <w:b/>
        </w:rPr>
        <w:t>CARLOS MANUEL HOYOS VALDERRAMA</w:t>
      </w:r>
      <w:r w:rsidRPr="009A1E1B">
        <w:rPr>
          <w:rFonts w:ascii="Century Gothic" w:hAnsi="Century Gothic" w:cs="Tahoma"/>
          <w:b/>
        </w:rPr>
        <w:t xml:space="preserve">, </w:t>
      </w:r>
      <w:r w:rsidRPr="009A1E1B">
        <w:rPr>
          <w:rFonts w:ascii="Century Gothic" w:hAnsi="Century Gothic" w:cs="Tahoma"/>
        </w:rPr>
        <w:t>identificad</w:t>
      </w:r>
      <w:r w:rsidR="003F161E">
        <w:rPr>
          <w:rFonts w:ascii="Century Gothic" w:hAnsi="Century Gothic" w:cs="Tahoma"/>
        </w:rPr>
        <w:t>o</w:t>
      </w:r>
      <w:r w:rsidRPr="009A1E1B">
        <w:rPr>
          <w:rFonts w:ascii="Century Gothic" w:hAnsi="Century Gothic" w:cs="Tahoma"/>
        </w:rPr>
        <w:t xml:space="preserve"> con </w:t>
      </w:r>
      <w:r w:rsidR="004D20D1">
        <w:rPr>
          <w:rFonts w:ascii="Century Gothic" w:hAnsi="Century Gothic" w:cs="Tahoma"/>
        </w:rPr>
        <w:t>cédula de ciudadanía No. 16.265.196</w:t>
      </w:r>
      <w:r w:rsidRPr="009A1E1B">
        <w:rPr>
          <w:rFonts w:ascii="Century Gothic" w:hAnsi="Century Gothic" w:cs="Tahoma"/>
        </w:rPr>
        <w:t xml:space="preserve">, </w:t>
      </w:r>
      <w:r w:rsidRPr="009A1E1B">
        <w:rPr>
          <w:rFonts w:ascii="Century Gothic" w:hAnsi="Century Gothic" w:cs="Tahoma"/>
          <w:lang w:val="es-CO"/>
        </w:rPr>
        <w:t xml:space="preserve">con domicilio principal en la ciudad de </w:t>
      </w:r>
      <w:r w:rsidR="003F161E">
        <w:rPr>
          <w:rFonts w:ascii="Century Gothic" w:hAnsi="Century Gothic" w:cs="Tahoma"/>
          <w:lang w:val="es-CO"/>
        </w:rPr>
        <w:t>Palmira</w:t>
      </w:r>
      <w:r w:rsidR="004D20D1">
        <w:rPr>
          <w:rFonts w:ascii="Century Gothic" w:hAnsi="Century Gothic" w:cs="Tahoma"/>
          <w:lang w:val="es-CO"/>
        </w:rPr>
        <w:t xml:space="preserve">, Valle del Cauca. </w:t>
      </w:r>
      <w:r w:rsidRPr="009A1E1B">
        <w:rPr>
          <w:rFonts w:ascii="Century Gothic" w:hAnsi="Century Gothic" w:cs="Tahoma"/>
          <w:lang w:val="es-CO"/>
        </w:rPr>
        <w:t xml:space="preserve">Tiene registrada como dirección para notificaciones electrónicas el </w:t>
      </w:r>
      <w:r w:rsidRPr="00C177DB">
        <w:rPr>
          <w:rFonts w:ascii="Century Gothic" w:hAnsi="Century Gothic" w:cs="Tahoma"/>
          <w:i/>
          <w:iCs/>
          <w:lang w:val="es-CO"/>
        </w:rPr>
        <w:t>e-mail</w:t>
      </w:r>
      <w:r w:rsidRPr="009A1E1B">
        <w:rPr>
          <w:rFonts w:ascii="Century Gothic" w:hAnsi="Century Gothic" w:cs="Tahoma"/>
          <w:lang w:val="es-CO"/>
        </w:rPr>
        <w:t xml:space="preserve">: </w:t>
      </w:r>
      <w:hyperlink r:id="rId10" w:history="1">
        <w:r w:rsidR="004D20D1" w:rsidRPr="0063272C">
          <w:rPr>
            <w:rStyle w:val="Hipervnculo"/>
            <w:rFonts w:ascii="Century Gothic" w:hAnsi="Century Gothic" w:cs="Tahoma"/>
            <w:lang w:val="es-CO"/>
          </w:rPr>
          <w:t>cmhv1961@icloud.com</w:t>
        </w:r>
      </w:hyperlink>
      <w:r w:rsidRPr="009A1E1B">
        <w:rPr>
          <w:rFonts w:ascii="Century Gothic" w:hAnsi="Century Gothic" w:cs="Tahoma"/>
          <w:lang w:val="es-CO"/>
        </w:rPr>
        <w:t xml:space="preserve"> </w:t>
      </w:r>
    </w:p>
    <w:p w14:paraId="0604E046" w14:textId="77777777" w:rsidR="009A1E1B" w:rsidRDefault="009A1E1B" w:rsidP="009A1E1B">
      <w:pPr>
        <w:jc w:val="both"/>
        <w:rPr>
          <w:rFonts w:ascii="Century Gothic" w:hAnsi="Century Gothic" w:cs="Tahoma"/>
          <w:lang w:val="es-CO"/>
        </w:rPr>
      </w:pPr>
    </w:p>
    <w:p w14:paraId="6367B09D" w14:textId="77777777" w:rsidR="00EA2EB0" w:rsidRPr="009A1E1B" w:rsidRDefault="00EA2EB0" w:rsidP="009A1E1B">
      <w:pPr>
        <w:jc w:val="both"/>
        <w:rPr>
          <w:rFonts w:ascii="Century Gothic" w:hAnsi="Century Gothic" w:cs="Tahoma"/>
          <w:lang w:val="es-CO"/>
        </w:rPr>
      </w:pPr>
    </w:p>
    <w:p w14:paraId="041C88AB" w14:textId="77777777" w:rsidR="009A1E1B" w:rsidRPr="009A1E1B" w:rsidRDefault="009A1E1B" w:rsidP="00F527BF">
      <w:pPr>
        <w:pStyle w:val="Prrafodelista"/>
        <w:numPr>
          <w:ilvl w:val="0"/>
          <w:numId w:val="2"/>
        </w:numPr>
        <w:jc w:val="both"/>
        <w:rPr>
          <w:rFonts w:ascii="Century Gothic" w:hAnsi="Century Gothic" w:cs="Tahoma"/>
          <w:b/>
          <w:sz w:val="22"/>
          <w:szCs w:val="22"/>
        </w:rPr>
      </w:pPr>
      <w:r w:rsidRPr="009A1E1B">
        <w:rPr>
          <w:rFonts w:ascii="Century Gothic" w:hAnsi="Century Gothic" w:cs="Tahoma"/>
          <w:b/>
          <w:sz w:val="22"/>
          <w:szCs w:val="22"/>
        </w:rPr>
        <w:t xml:space="preserve">APODERADO DE LA PARTE </w:t>
      </w:r>
      <w:r w:rsidR="0098167B">
        <w:rPr>
          <w:rFonts w:ascii="Century Gothic" w:hAnsi="Century Gothic" w:cs="Tahoma"/>
          <w:b/>
          <w:sz w:val="22"/>
          <w:szCs w:val="22"/>
        </w:rPr>
        <w:t>DEMAND</w:t>
      </w:r>
      <w:r w:rsidRPr="009A1E1B">
        <w:rPr>
          <w:rFonts w:ascii="Century Gothic" w:hAnsi="Century Gothic" w:cs="Tahoma"/>
          <w:b/>
          <w:sz w:val="22"/>
          <w:szCs w:val="22"/>
        </w:rPr>
        <w:t>ANTE:</w:t>
      </w:r>
    </w:p>
    <w:p w14:paraId="55B3B42E" w14:textId="77777777" w:rsidR="009A1E1B" w:rsidRPr="009A1E1B" w:rsidRDefault="009A1E1B" w:rsidP="009A1E1B">
      <w:pPr>
        <w:jc w:val="both"/>
        <w:rPr>
          <w:rFonts w:ascii="Century Gothic" w:hAnsi="Century Gothic" w:cs="Tahoma"/>
          <w:b/>
        </w:rPr>
      </w:pPr>
    </w:p>
    <w:p w14:paraId="6A141B0E" w14:textId="2AD2249A" w:rsidR="009A1E1B" w:rsidRDefault="009A1E1B" w:rsidP="009A1E1B">
      <w:pPr>
        <w:jc w:val="both"/>
        <w:rPr>
          <w:rFonts w:ascii="Century Gothic" w:hAnsi="Century Gothic" w:cs="Tahoma"/>
          <w:lang w:val="es-CO"/>
        </w:rPr>
      </w:pPr>
      <w:r w:rsidRPr="009A1E1B">
        <w:rPr>
          <w:rFonts w:ascii="Century Gothic" w:hAnsi="Century Gothic" w:cs="Tahoma"/>
          <w:lang w:val="es-CO"/>
        </w:rPr>
        <w:t xml:space="preserve">El suscrito, </w:t>
      </w:r>
      <w:r w:rsidRPr="009A1E1B">
        <w:rPr>
          <w:rFonts w:ascii="Century Gothic" w:hAnsi="Century Gothic" w:cs="Tahoma"/>
          <w:b/>
          <w:lang w:val="es-CO"/>
        </w:rPr>
        <w:t>GUSTAVO ALBERTO HERRERA ÁVILA</w:t>
      </w:r>
      <w:r w:rsidRPr="009A1E1B">
        <w:rPr>
          <w:rFonts w:ascii="Century Gothic" w:hAnsi="Century Gothic" w:cs="Tahoma"/>
          <w:lang w:val="es-CO"/>
        </w:rPr>
        <w:t xml:space="preserve">, mayor de edad, vecino de Cali, identificado con cédula de ciudadanía No. 19.395.114 de Bogotá D.C., abogado en ejercicio, portador de la Tarjeta Profesional No. 39.116 del Consejo Superior de la Judicatura, con dirección de notificaciones físicas en la </w:t>
      </w:r>
      <w:r w:rsidR="00EA2EB0">
        <w:rPr>
          <w:rFonts w:ascii="Century Gothic" w:hAnsi="Century Gothic" w:cs="Tahoma"/>
          <w:lang w:val="es-CO"/>
        </w:rPr>
        <w:t>a</w:t>
      </w:r>
      <w:r w:rsidRPr="009A1E1B">
        <w:rPr>
          <w:rFonts w:ascii="Century Gothic" w:hAnsi="Century Gothic" w:cs="Tahoma"/>
          <w:lang w:val="es-CO"/>
        </w:rPr>
        <w:t xml:space="preserve">venida 6 A bis No. 35N-100, Centro Empresarial Chipichape, </w:t>
      </w:r>
      <w:r w:rsidR="00EA2EB0">
        <w:rPr>
          <w:rFonts w:ascii="Century Gothic" w:hAnsi="Century Gothic" w:cs="Tahoma"/>
          <w:lang w:val="es-CO"/>
        </w:rPr>
        <w:t>o</w:t>
      </w:r>
      <w:r w:rsidRPr="009A1E1B">
        <w:rPr>
          <w:rFonts w:ascii="Century Gothic" w:hAnsi="Century Gothic" w:cs="Tahoma"/>
          <w:lang w:val="es-CO"/>
        </w:rPr>
        <w:t xml:space="preserve">ficina 212 de la ciudad de Cali, y electrónicas al </w:t>
      </w:r>
      <w:r w:rsidRPr="00C177DB">
        <w:rPr>
          <w:rFonts w:ascii="Century Gothic" w:hAnsi="Century Gothic" w:cs="Tahoma"/>
          <w:i/>
          <w:iCs/>
          <w:lang w:val="es-CO"/>
        </w:rPr>
        <w:t>emai</w:t>
      </w:r>
      <w:r w:rsidRPr="009A1E1B">
        <w:rPr>
          <w:rFonts w:ascii="Century Gothic" w:hAnsi="Century Gothic" w:cs="Tahoma"/>
          <w:lang w:val="es-CO"/>
        </w:rPr>
        <w:t xml:space="preserve">l: </w:t>
      </w:r>
      <w:hyperlink r:id="rId11" w:history="1">
        <w:r w:rsidRPr="009A1E1B">
          <w:rPr>
            <w:rStyle w:val="Hipervnculo"/>
            <w:rFonts w:ascii="Century Gothic" w:hAnsi="Century Gothic" w:cs="Tahoma"/>
            <w:lang w:val="es-CO"/>
          </w:rPr>
          <w:t>notificaciones@gha.com.co</w:t>
        </w:r>
      </w:hyperlink>
      <w:r w:rsidRPr="009A1E1B">
        <w:rPr>
          <w:rFonts w:ascii="Century Gothic" w:hAnsi="Century Gothic" w:cs="Tahoma"/>
          <w:lang w:val="es-CO"/>
        </w:rPr>
        <w:t xml:space="preserve"> </w:t>
      </w:r>
    </w:p>
    <w:p w14:paraId="305F976C" w14:textId="77777777" w:rsidR="00EA2EB0" w:rsidRPr="009A1E1B" w:rsidRDefault="00EA2EB0" w:rsidP="009A1E1B">
      <w:pPr>
        <w:jc w:val="both"/>
        <w:rPr>
          <w:rFonts w:ascii="Century Gothic" w:hAnsi="Century Gothic" w:cs="Tahoma"/>
          <w:lang w:val="es-CO"/>
        </w:rPr>
      </w:pPr>
    </w:p>
    <w:p w14:paraId="205ED9D4" w14:textId="77777777" w:rsidR="009A1E1B" w:rsidRPr="009A1E1B" w:rsidRDefault="009A1E1B" w:rsidP="009A1E1B">
      <w:pPr>
        <w:jc w:val="both"/>
        <w:rPr>
          <w:rFonts w:ascii="Century Gothic" w:hAnsi="Century Gothic" w:cs="Tahoma"/>
          <w:lang w:val="es-CO"/>
        </w:rPr>
      </w:pPr>
    </w:p>
    <w:p w14:paraId="71D76983" w14:textId="77777777" w:rsidR="009A1E1B" w:rsidRPr="009A1E1B" w:rsidRDefault="009A1E1B" w:rsidP="00F527BF">
      <w:pPr>
        <w:pStyle w:val="Prrafodelista"/>
        <w:numPr>
          <w:ilvl w:val="0"/>
          <w:numId w:val="2"/>
        </w:numPr>
        <w:jc w:val="both"/>
        <w:rPr>
          <w:rFonts w:ascii="Century Gothic" w:hAnsi="Century Gothic" w:cs="Tahoma"/>
          <w:sz w:val="22"/>
          <w:szCs w:val="22"/>
        </w:rPr>
      </w:pPr>
      <w:r w:rsidRPr="009A1E1B">
        <w:rPr>
          <w:rFonts w:ascii="Century Gothic" w:hAnsi="Century Gothic" w:cs="Tahoma"/>
          <w:b/>
          <w:sz w:val="22"/>
          <w:szCs w:val="22"/>
        </w:rPr>
        <w:t xml:space="preserve">PARTE </w:t>
      </w:r>
      <w:r w:rsidR="0098167B">
        <w:rPr>
          <w:rFonts w:ascii="Century Gothic" w:hAnsi="Century Gothic" w:cs="Tahoma"/>
          <w:b/>
          <w:sz w:val="22"/>
          <w:szCs w:val="22"/>
        </w:rPr>
        <w:t>DEMAND</w:t>
      </w:r>
      <w:r w:rsidRPr="009A1E1B">
        <w:rPr>
          <w:rFonts w:ascii="Century Gothic" w:hAnsi="Century Gothic" w:cs="Tahoma"/>
          <w:b/>
          <w:sz w:val="22"/>
          <w:szCs w:val="22"/>
        </w:rPr>
        <w:t>ADA:</w:t>
      </w:r>
    </w:p>
    <w:p w14:paraId="6FF7BC13" w14:textId="77777777" w:rsidR="009A1E1B" w:rsidRPr="009A1E1B" w:rsidRDefault="009A1E1B" w:rsidP="009A1E1B">
      <w:pPr>
        <w:jc w:val="both"/>
        <w:rPr>
          <w:rFonts w:ascii="Century Gothic" w:hAnsi="Century Gothic" w:cs="Tahoma"/>
        </w:rPr>
      </w:pPr>
    </w:p>
    <w:p w14:paraId="0DF71DEA" w14:textId="5AD300CF"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 xml:space="preserve">La constituye, la </w:t>
      </w:r>
      <w:r w:rsidR="004D20D1">
        <w:rPr>
          <w:rFonts w:ascii="Century Gothic" w:hAnsi="Century Gothic" w:cs="Tahoma"/>
          <w:b/>
        </w:rPr>
        <w:t>NACIÓN-SUPERINTENDENCIA DE SOCIEDADES</w:t>
      </w:r>
      <w:r w:rsidRPr="009A1E1B">
        <w:rPr>
          <w:rFonts w:ascii="Century Gothic" w:hAnsi="Century Gothic" w:cs="Tahoma"/>
          <w:lang w:val="es-CO"/>
        </w:rPr>
        <w:t xml:space="preserve">, representada legalmente por </w:t>
      </w:r>
      <w:r w:rsidR="00336A9F">
        <w:rPr>
          <w:rFonts w:ascii="Century Gothic" w:hAnsi="Century Gothic" w:cs="Tahoma"/>
          <w:lang w:val="es-CO"/>
        </w:rPr>
        <w:t>BILLY ESCOBAR PÉREZ</w:t>
      </w:r>
      <w:r w:rsidR="00772448">
        <w:rPr>
          <w:rFonts w:ascii="Century Gothic" w:hAnsi="Century Gothic" w:cs="Tahoma"/>
          <w:lang w:val="es-CO"/>
        </w:rPr>
        <w:t xml:space="preserve">, </w:t>
      </w:r>
      <w:r w:rsidRPr="009A1E1B">
        <w:rPr>
          <w:rFonts w:ascii="Century Gothic" w:hAnsi="Century Gothic" w:cs="Tahoma"/>
          <w:lang w:val="es-CO"/>
        </w:rPr>
        <w:t xml:space="preserve">o quien haga sus veces, con dirección de notificaciones en la </w:t>
      </w:r>
      <w:r w:rsidR="00772448" w:rsidRPr="00772448">
        <w:rPr>
          <w:rFonts w:ascii="Century Gothic" w:hAnsi="Century Gothic" w:cs="Tahoma"/>
        </w:rPr>
        <w:t>Calle 10 No.</w:t>
      </w:r>
      <w:r w:rsidR="00EA2EB0">
        <w:rPr>
          <w:rFonts w:ascii="Century Gothic" w:hAnsi="Century Gothic" w:cs="Tahoma"/>
        </w:rPr>
        <w:t xml:space="preserve"> </w:t>
      </w:r>
      <w:r w:rsidR="00772448" w:rsidRPr="00772448">
        <w:rPr>
          <w:rFonts w:ascii="Century Gothic" w:hAnsi="Century Gothic" w:cs="Tahoma"/>
        </w:rPr>
        <w:t xml:space="preserve">4-40 </w:t>
      </w:r>
      <w:r w:rsidR="00EA2EB0">
        <w:rPr>
          <w:rFonts w:ascii="Century Gothic" w:hAnsi="Century Gothic" w:cs="Tahoma"/>
        </w:rPr>
        <w:t>p</w:t>
      </w:r>
      <w:r w:rsidR="00772448" w:rsidRPr="00772448">
        <w:rPr>
          <w:rFonts w:ascii="Century Gothic" w:hAnsi="Century Gothic" w:cs="Tahoma"/>
        </w:rPr>
        <w:t>iso 2 Edificio Bolsa de Occidente</w:t>
      </w:r>
      <w:r w:rsidR="00772448">
        <w:rPr>
          <w:rFonts w:ascii="Century Gothic" w:hAnsi="Century Gothic" w:cs="Tahoma"/>
          <w:lang w:val="es-CO"/>
        </w:rPr>
        <w:t xml:space="preserve"> de Cali, Valle del Cauca,</w:t>
      </w:r>
      <w:r w:rsidRPr="009A1E1B">
        <w:rPr>
          <w:rFonts w:ascii="Century Gothic" w:hAnsi="Century Gothic" w:cs="Tahoma"/>
          <w:lang w:val="es-CO"/>
        </w:rPr>
        <w:t xml:space="preserve"> y electrónicas al </w:t>
      </w:r>
      <w:r w:rsidRPr="00C177DB">
        <w:rPr>
          <w:rFonts w:ascii="Century Gothic" w:hAnsi="Century Gothic" w:cs="Tahoma"/>
          <w:i/>
          <w:iCs/>
          <w:lang w:val="es-CO"/>
        </w:rPr>
        <w:t>emai</w:t>
      </w:r>
      <w:r w:rsidRPr="009A1E1B">
        <w:rPr>
          <w:rFonts w:ascii="Century Gothic" w:hAnsi="Century Gothic" w:cs="Tahoma"/>
          <w:lang w:val="es-CO"/>
        </w:rPr>
        <w:t xml:space="preserve">l: </w:t>
      </w:r>
      <w:hyperlink r:id="rId12" w:history="1">
        <w:r w:rsidR="00772448" w:rsidRPr="0063272C">
          <w:rPr>
            <w:rStyle w:val="Hipervnculo"/>
            <w:rFonts w:ascii="Century Gothic" w:hAnsi="Century Gothic" w:cs="Tahoma"/>
            <w:lang w:val="es-CO"/>
          </w:rPr>
          <w:t>notificacionesjudiciales@supersociedades.gov.co</w:t>
        </w:r>
      </w:hyperlink>
      <w:r w:rsidRPr="009A1E1B">
        <w:rPr>
          <w:rFonts w:ascii="Century Gothic" w:hAnsi="Century Gothic" w:cs="Tahoma"/>
          <w:lang w:val="es-CO"/>
        </w:rPr>
        <w:t xml:space="preserve"> ; </w:t>
      </w:r>
      <w:hyperlink r:id="rId13" w:history="1">
        <w:r w:rsidR="00772448" w:rsidRPr="0063272C">
          <w:rPr>
            <w:rStyle w:val="Hipervnculo"/>
            <w:rFonts w:ascii="Century Gothic" w:hAnsi="Century Gothic" w:cs="Tahoma"/>
            <w:lang w:val="es-CO"/>
          </w:rPr>
          <w:t>webmaster@supersociedades.gov.co</w:t>
        </w:r>
      </w:hyperlink>
      <w:r w:rsidRPr="009A1E1B">
        <w:rPr>
          <w:rFonts w:ascii="Century Gothic" w:hAnsi="Century Gothic" w:cs="Tahoma"/>
          <w:lang w:val="es-CO"/>
        </w:rPr>
        <w:t xml:space="preserve"> y </w:t>
      </w:r>
      <w:hyperlink r:id="rId14" w:history="1">
        <w:r w:rsidR="00772448" w:rsidRPr="0063272C">
          <w:rPr>
            <w:rStyle w:val="Hipervnculo"/>
            <w:rFonts w:ascii="Century Gothic" w:hAnsi="Century Gothic" w:cs="Tahoma"/>
            <w:lang w:val="es-CO"/>
          </w:rPr>
          <w:t>pmercantiles@supersociedades.gov.co</w:t>
        </w:r>
      </w:hyperlink>
      <w:r w:rsidRPr="009A1E1B">
        <w:rPr>
          <w:rFonts w:ascii="Century Gothic" w:hAnsi="Century Gothic" w:cs="Tahoma"/>
          <w:lang w:val="es-CO"/>
        </w:rPr>
        <w:t xml:space="preserve"> </w:t>
      </w:r>
    </w:p>
    <w:p w14:paraId="5C435AF8" w14:textId="77777777" w:rsidR="009A1E1B" w:rsidRPr="009A1E1B" w:rsidRDefault="009A1E1B" w:rsidP="009A1E1B">
      <w:pPr>
        <w:jc w:val="both"/>
        <w:rPr>
          <w:rFonts w:ascii="Century Gothic" w:hAnsi="Century Gothic" w:cs="Tahoma"/>
          <w:lang w:val="es-CO"/>
        </w:rPr>
      </w:pPr>
    </w:p>
    <w:p w14:paraId="1F05C871" w14:textId="77777777" w:rsidR="009A1E1B" w:rsidRPr="009A1E1B" w:rsidRDefault="009A1E1B" w:rsidP="009A1E1B">
      <w:pPr>
        <w:jc w:val="both"/>
        <w:rPr>
          <w:rFonts w:ascii="Century Gothic" w:hAnsi="Century Gothic" w:cs="Tahoma"/>
          <w:b/>
          <w:lang w:val="es-CO"/>
        </w:rPr>
      </w:pPr>
    </w:p>
    <w:p w14:paraId="3BE7638E" w14:textId="77777777" w:rsidR="009A1E1B" w:rsidRPr="001E0B1C" w:rsidRDefault="0098167B" w:rsidP="00F527BF">
      <w:pPr>
        <w:pStyle w:val="Prrafodelista"/>
        <w:numPr>
          <w:ilvl w:val="0"/>
          <w:numId w:val="1"/>
        </w:numPr>
        <w:jc w:val="center"/>
        <w:rPr>
          <w:rFonts w:ascii="Century Gothic" w:hAnsi="Century Gothic" w:cs="Tahoma"/>
          <w:b/>
          <w:sz w:val="22"/>
          <w:szCs w:val="22"/>
          <w:u w:val="single"/>
          <w:lang w:val="es-CO"/>
        </w:rPr>
      </w:pPr>
      <w:r>
        <w:rPr>
          <w:rFonts w:ascii="Century Gothic" w:hAnsi="Century Gothic" w:cs="Tahoma"/>
          <w:b/>
          <w:sz w:val="22"/>
          <w:szCs w:val="22"/>
          <w:u w:val="single"/>
          <w:lang w:val="es-CO"/>
        </w:rPr>
        <w:t>OPORTUNIDAD DEL</w:t>
      </w:r>
      <w:r w:rsidR="009A1E1B" w:rsidRPr="001E0B1C">
        <w:rPr>
          <w:rFonts w:ascii="Century Gothic" w:hAnsi="Century Gothic" w:cs="Tahoma"/>
          <w:b/>
          <w:sz w:val="22"/>
          <w:szCs w:val="22"/>
          <w:u w:val="single"/>
          <w:lang w:val="es-CO"/>
        </w:rPr>
        <w:t xml:space="preserve"> </w:t>
      </w:r>
      <w:r>
        <w:rPr>
          <w:rFonts w:ascii="Century Gothic" w:hAnsi="Century Gothic" w:cs="Tahoma"/>
          <w:b/>
          <w:sz w:val="22"/>
          <w:szCs w:val="22"/>
          <w:u w:val="single"/>
          <w:lang w:val="es-CO"/>
        </w:rPr>
        <w:t>MEDIO DE CONTROL - CADUCIDAD</w:t>
      </w:r>
    </w:p>
    <w:p w14:paraId="36E30385" w14:textId="77777777" w:rsidR="009A1E1B" w:rsidRPr="009A1E1B" w:rsidRDefault="009A1E1B" w:rsidP="009A1E1B">
      <w:pPr>
        <w:jc w:val="center"/>
        <w:rPr>
          <w:rFonts w:ascii="Century Gothic" w:hAnsi="Century Gothic" w:cs="Tahoma"/>
          <w:b/>
          <w:lang w:val="es-CO"/>
        </w:rPr>
      </w:pPr>
    </w:p>
    <w:p w14:paraId="3E0AE35A" w14:textId="77777777" w:rsidR="009A1E1B" w:rsidRPr="009A1E1B" w:rsidRDefault="009A1E1B" w:rsidP="009A1E1B">
      <w:pPr>
        <w:jc w:val="both"/>
        <w:rPr>
          <w:rFonts w:ascii="Century Gothic" w:hAnsi="Century Gothic" w:cs="Tahoma"/>
          <w:b/>
        </w:rPr>
      </w:pPr>
      <w:r w:rsidRPr="009A1E1B">
        <w:rPr>
          <w:rFonts w:ascii="Century Gothic" w:hAnsi="Century Gothic" w:cs="Tahoma"/>
          <w:lang w:val="es-CO"/>
        </w:rPr>
        <w:t xml:space="preserve">En este caso particular y concreto, los términos de caducidad se deben contabilizar a partir del día siguiente </w:t>
      </w:r>
      <w:r w:rsidR="00BA4BFC">
        <w:rPr>
          <w:rFonts w:ascii="Century Gothic" w:hAnsi="Century Gothic" w:cs="Tahoma"/>
          <w:u w:val="single"/>
          <w:lang w:val="es-CO"/>
        </w:rPr>
        <w:t>a la acción u omisión</w:t>
      </w:r>
      <w:r w:rsidR="00BA4BFC">
        <w:rPr>
          <w:rFonts w:ascii="Century Gothic" w:hAnsi="Century Gothic" w:cs="Tahoma"/>
          <w:lang w:val="es-CO"/>
        </w:rPr>
        <w:t xml:space="preserve"> causante del daño</w:t>
      </w:r>
      <w:r w:rsidRPr="009A1E1B">
        <w:rPr>
          <w:rFonts w:ascii="Century Gothic" w:hAnsi="Century Gothic" w:cs="Tahoma"/>
          <w:lang w:val="es-CO"/>
        </w:rPr>
        <w:t xml:space="preserve"> por </w:t>
      </w:r>
      <w:r w:rsidR="00AB6016">
        <w:rPr>
          <w:rFonts w:ascii="Century Gothic" w:hAnsi="Century Gothic" w:cs="Tahoma"/>
          <w:lang w:val="es-CO"/>
        </w:rPr>
        <w:t>LA NACIÓN-SUPERINTENDENCIA DE SOCIEDADES.</w:t>
      </w:r>
    </w:p>
    <w:p w14:paraId="42C0CBF6" w14:textId="77777777"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 xml:space="preserve"> </w:t>
      </w:r>
    </w:p>
    <w:p w14:paraId="795D7527" w14:textId="6BD2EF5F" w:rsidR="009A1E1B" w:rsidRDefault="009A1E1B" w:rsidP="009A1E1B">
      <w:pPr>
        <w:jc w:val="both"/>
        <w:rPr>
          <w:rFonts w:ascii="Century Gothic" w:hAnsi="Century Gothic" w:cs="Tahoma"/>
          <w:lang w:val="es-CO"/>
        </w:rPr>
      </w:pPr>
      <w:r w:rsidRPr="009A1E1B">
        <w:rPr>
          <w:rFonts w:ascii="Century Gothic" w:hAnsi="Century Gothic" w:cs="Tahoma"/>
          <w:lang w:val="es-CO"/>
        </w:rPr>
        <w:t xml:space="preserve">Así las cosas, es pertinente precisar que la </w:t>
      </w:r>
      <w:r w:rsidR="00D72258">
        <w:rPr>
          <w:rFonts w:ascii="Century Gothic" w:hAnsi="Century Gothic" w:cs="Tahoma"/>
          <w:lang w:val="es-CO"/>
        </w:rPr>
        <w:t>causa del daño deviene</w:t>
      </w:r>
      <w:r w:rsidRPr="009A1E1B">
        <w:rPr>
          <w:rFonts w:ascii="Century Gothic" w:hAnsi="Century Gothic" w:cs="Tahoma"/>
          <w:lang w:val="es-CO"/>
        </w:rPr>
        <w:t xml:space="preserve"> del </w:t>
      </w:r>
      <w:r w:rsidR="003E7464">
        <w:rPr>
          <w:rFonts w:ascii="Century Gothic" w:hAnsi="Century Gothic" w:cs="Tahoma"/>
          <w:lang w:val="es-CO"/>
        </w:rPr>
        <w:t xml:space="preserve">Auto No. 2022-03-005350, </w:t>
      </w:r>
      <w:r w:rsidR="003E7464" w:rsidRPr="00DF11DD">
        <w:rPr>
          <w:rFonts w:ascii="Century Gothic" w:hAnsi="Century Gothic" w:cs="Tahoma"/>
          <w:i/>
          <w:lang w:val="es-CO"/>
        </w:rPr>
        <w:t>“por medio del cual se reconocen los presupuestos de ineficacia parcial de un pago, se ordena al liquidador, no se accede a unas solicitudes y se ordena estarse a lo dispuesto”</w:t>
      </w:r>
      <w:r w:rsidR="003E7464">
        <w:rPr>
          <w:rFonts w:ascii="Century Gothic" w:hAnsi="Century Gothic" w:cs="Tahoma"/>
          <w:lang w:val="es-CO"/>
        </w:rPr>
        <w:t xml:space="preserve"> del 11 de mayo de 2022</w:t>
      </w:r>
      <w:r w:rsidR="00AB6016">
        <w:rPr>
          <w:rFonts w:ascii="Century Gothic" w:hAnsi="Century Gothic" w:cs="Tahoma"/>
        </w:rPr>
        <w:t>,</w:t>
      </w:r>
      <w:r w:rsidR="00D72258">
        <w:rPr>
          <w:rFonts w:ascii="Century Gothic" w:hAnsi="Century Gothic" w:cs="Tahoma"/>
          <w:lang w:val="es-CO"/>
        </w:rPr>
        <w:t xml:space="preserve"> por el que la convocada dejó de tramitar como incidente la remoción y sustitución del liquidador ADOLFO RODRÍGUEZ GANTIVA, y </w:t>
      </w:r>
      <w:r w:rsidR="000D2327">
        <w:rPr>
          <w:rFonts w:ascii="Century Gothic" w:hAnsi="Century Gothic" w:cs="Tahoma"/>
          <w:lang w:val="es-CO"/>
        </w:rPr>
        <w:t xml:space="preserve">lo </w:t>
      </w:r>
      <w:r w:rsidR="00D72258">
        <w:rPr>
          <w:rFonts w:ascii="Century Gothic" w:hAnsi="Century Gothic" w:cs="Tahoma"/>
          <w:lang w:val="es-CO"/>
        </w:rPr>
        <w:t xml:space="preserve">resolvió por autos. </w:t>
      </w:r>
      <w:r w:rsidRPr="009A1E1B">
        <w:rPr>
          <w:rFonts w:ascii="Century Gothic" w:hAnsi="Century Gothic" w:cs="Tahoma"/>
          <w:lang w:val="es-CO"/>
        </w:rPr>
        <w:t xml:space="preserve">Por esta razón, se puede esclarecer que me encuentro dentro del término de ley para </w:t>
      </w:r>
      <w:r w:rsidR="00DF11DD">
        <w:rPr>
          <w:rFonts w:ascii="Century Gothic" w:hAnsi="Century Gothic" w:cs="Tahoma"/>
          <w:lang w:val="es-CO"/>
        </w:rPr>
        <w:t>instaurar el medio de control de reparación directa</w:t>
      </w:r>
      <w:r w:rsidRPr="009A1E1B">
        <w:rPr>
          <w:rFonts w:ascii="Century Gothic" w:hAnsi="Century Gothic" w:cs="Tahoma"/>
          <w:lang w:val="es-CO"/>
        </w:rPr>
        <w:t xml:space="preserve">, como quiera que los términos </w:t>
      </w:r>
      <w:r w:rsidR="00AB6016">
        <w:rPr>
          <w:rFonts w:ascii="Century Gothic" w:hAnsi="Century Gothic" w:cs="Tahoma"/>
          <w:lang w:val="es-CO"/>
        </w:rPr>
        <w:t>de</w:t>
      </w:r>
      <w:r w:rsidR="003E7464">
        <w:rPr>
          <w:rFonts w:ascii="Century Gothic" w:hAnsi="Century Gothic" w:cs="Tahoma"/>
          <w:lang w:val="es-CO"/>
        </w:rPr>
        <w:t xml:space="preserve"> caducidad </w:t>
      </w:r>
      <w:r w:rsidR="00DF11DD" w:rsidRPr="00F117A8">
        <w:rPr>
          <w:rFonts w:ascii="Century Gothic" w:hAnsi="Century Gothic" w:cs="Tahoma"/>
          <w:b/>
          <w:u w:val="single"/>
          <w:lang w:val="es-CO"/>
        </w:rPr>
        <w:t>en principio</w:t>
      </w:r>
      <w:r w:rsidR="00DF11DD">
        <w:rPr>
          <w:rFonts w:ascii="Century Gothic" w:hAnsi="Century Gothic" w:cs="Tahoma"/>
          <w:lang w:val="es-CO"/>
        </w:rPr>
        <w:t>, corrieron</w:t>
      </w:r>
      <w:r w:rsidR="003E7464">
        <w:rPr>
          <w:rFonts w:ascii="Century Gothic" w:hAnsi="Century Gothic" w:cs="Tahoma"/>
          <w:lang w:val="es-CO"/>
        </w:rPr>
        <w:t xml:space="preserve"> desde el día 12</w:t>
      </w:r>
      <w:r w:rsidRPr="009A1E1B">
        <w:rPr>
          <w:rFonts w:ascii="Century Gothic" w:hAnsi="Century Gothic" w:cs="Tahoma"/>
          <w:lang w:val="es-CO"/>
        </w:rPr>
        <w:t xml:space="preserve"> de </w:t>
      </w:r>
      <w:r w:rsidR="003E7464">
        <w:rPr>
          <w:rFonts w:ascii="Century Gothic" w:hAnsi="Century Gothic" w:cs="Tahoma"/>
          <w:lang w:val="es-CO"/>
        </w:rPr>
        <w:t>mayo</w:t>
      </w:r>
      <w:r w:rsidR="00D72258">
        <w:rPr>
          <w:rFonts w:ascii="Century Gothic" w:hAnsi="Century Gothic" w:cs="Tahoma"/>
          <w:lang w:val="es-CO"/>
        </w:rPr>
        <w:t xml:space="preserve"> de 2022</w:t>
      </w:r>
      <w:r w:rsidR="003E7464">
        <w:rPr>
          <w:rFonts w:ascii="Century Gothic" w:hAnsi="Century Gothic" w:cs="Tahoma"/>
          <w:lang w:val="es-CO"/>
        </w:rPr>
        <w:t xml:space="preserve"> y hasta el día 12</w:t>
      </w:r>
      <w:r w:rsidR="00AB6016">
        <w:rPr>
          <w:rFonts w:ascii="Century Gothic" w:hAnsi="Century Gothic" w:cs="Tahoma"/>
          <w:lang w:val="es-CO"/>
        </w:rPr>
        <w:t xml:space="preserve"> de </w:t>
      </w:r>
      <w:r w:rsidR="003E7464">
        <w:rPr>
          <w:rFonts w:ascii="Century Gothic" w:hAnsi="Century Gothic" w:cs="Tahoma"/>
          <w:lang w:val="es-CO"/>
        </w:rPr>
        <w:t>mayo</w:t>
      </w:r>
      <w:r w:rsidR="00AB6016">
        <w:rPr>
          <w:rFonts w:ascii="Century Gothic" w:hAnsi="Century Gothic" w:cs="Tahoma"/>
          <w:lang w:val="es-CO"/>
        </w:rPr>
        <w:t xml:space="preserve"> de 202</w:t>
      </w:r>
      <w:r w:rsidR="00D72258">
        <w:rPr>
          <w:rFonts w:ascii="Century Gothic" w:hAnsi="Century Gothic" w:cs="Tahoma"/>
          <w:lang w:val="es-CO"/>
        </w:rPr>
        <w:t>4</w:t>
      </w:r>
      <w:r w:rsidRPr="009A1E1B">
        <w:rPr>
          <w:rFonts w:ascii="Century Gothic" w:hAnsi="Century Gothic" w:cs="Tahoma"/>
          <w:lang w:val="es-CO"/>
        </w:rPr>
        <w:t>, tal como lo establece el ar</w:t>
      </w:r>
      <w:r w:rsidR="00BA4BFC">
        <w:rPr>
          <w:rFonts w:ascii="Century Gothic" w:hAnsi="Century Gothic" w:cs="Tahoma"/>
          <w:lang w:val="es-CO"/>
        </w:rPr>
        <w:t>tículo 164, numeral 2, literal i</w:t>
      </w:r>
      <w:r w:rsidRPr="009A1E1B">
        <w:rPr>
          <w:rFonts w:ascii="Century Gothic" w:hAnsi="Century Gothic" w:cs="Tahoma"/>
          <w:lang w:val="es-CO"/>
        </w:rPr>
        <w:t xml:space="preserve">) de la </w:t>
      </w:r>
      <w:r w:rsidR="00EA2EB0">
        <w:rPr>
          <w:rFonts w:ascii="Century Gothic" w:hAnsi="Century Gothic" w:cs="Tahoma"/>
          <w:lang w:val="es-CO"/>
        </w:rPr>
        <w:t>L</w:t>
      </w:r>
      <w:r w:rsidRPr="009A1E1B">
        <w:rPr>
          <w:rFonts w:ascii="Century Gothic" w:hAnsi="Century Gothic" w:cs="Tahoma"/>
          <w:lang w:val="es-CO"/>
        </w:rPr>
        <w:t>ey 1437 de 2011 (CPACA).</w:t>
      </w:r>
    </w:p>
    <w:p w14:paraId="116462BD" w14:textId="77777777" w:rsidR="00DF11DD" w:rsidRDefault="00DF11DD" w:rsidP="009A1E1B">
      <w:pPr>
        <w:jc w:val="both"/>
        <w:rPr>
          <w:rFonts w:ascii="Century Gothic" w:hAnsi="Century Gothic" w:cs="Tahoma"/>
          <w:lang w:val="es-CO"/>
        </w:rPr>
      </w:pPr>
    </w:p>
    <w:p w14:paraId="532CB304" w14:textId="00EF15F4" w:rsidR="00DF11DD" w:rsidRDefault="00DF11DD" w:rsidP="009A1E1B">
      <w:pPr>
        <w:jc w:val="both"/>
        <w:rPr>
          <w:rFonts w:ascii="Century Gothic" w:hAnsi="Century Gothic" w:cs="Tahoma"/>
          <w:lang w:val="es-CO"/>
        </w:rPr>
      </w:pPr>
      <w:r>
        <w:rPr>
          <w:rFonts w:ascii="Century Gothic" w:hAnsi="Century Gothic" w:cs="Tahoma"/>
          <w:lang w:val="es-CO"/>
        </w:rPr>
        <w:t>No obstante</w:t>
      </w:r>
      <w:r w:rsidR="00F117A8">
        <w:rPr>
          <w:rFonts w:ascii="Century Gothic" w:hAnsi="Century Gothic" w:cs="Tahoma"/>
          <w:lang w:val="es-CO"/>
        </w:rPr>
        <w:t>, y</w:t>
      </w:r>
      <w:r>
        <w:rPr>
          <w:rFonts w:ascii="Century Gothic" w:hAnsi="Century Gothic" w:cs="Tahoma"/>
          <w:lang w:val="es-CO"/>
        </w:rPr>
        <w:t xml:space="preserve"> atendiendo que el día 29 de diciembre de 2023 se radicó ante la Procuraduría Judicial Para Asuntos Administrativos de Cali, solicitud de conciliación extrajudicial, lo términos se interrumpieron desde tal fecha y hasta el día 12 de febrero de 2024, es decir, por un periodo de 45 días, por lo que entonces el término para que se configure la caducidad ya no sería el 12 de mayo de 2024, sino, el 26 de junio de 2024</w:t>
      </w:r>
      <w:r w:rsidR="003068B8">
        <w:rPr>
          <w:rFonts w:ascii="Century Gothic" w:hAnsi="Century Gothic" w:cs="Tahoma"/>
          <w:lang w:val="es-CO"/>
        </w:rPr>
        <w:t>.</w:t>
      </w:r>
    </w:p>
    <w:p w14:paraId="74DC8FCB" w14:textId="77777777" w:rsidR="00DF11DD" w:rsidRDefault="00DF11DD" w:rsidP="009A1E1B">
      <w:pPr>
        <w:jc w:val="both"/>
        <w:rPr>
          <w:rFonts w:ascii="Century Gothic" w:hAnsi="Century Gothic" w:cs="Tahoma"/>
          <w:lang w:val="es-CO"/>
        </w:rPr>
      </w:pPr>
    </w:p>
    <w:p w14:paraId="39F847B2" w14:textId="1F13DB0A" w:rsidR="00EA2EB0" w:rsidRDefault="00DF11DD" w:rsidP="00C177DB">
      <w:pPr>
        <w:ind w:right="701"/>
        <w:jc w:val="both"/>
        <w:rPr>
          <w:rFonts w:ascii="Century Gothic" w:hAnsi="Century Gothic" w:cs="Tahoma"/>
          <w:lang w:val="es-CO"/>
        </w:rPr>
      </w:pPr>
      <w:r>
        <w:rPr>
          <w:rFonts w:ascii="Century Gothic" w:hAnsi="Century Gothic" w:cs="Tahoma"/>
          <w:lang w:val="es-CO"/>
        </w:rPr>
        <w:t>Al respecto el artículo 56 de la Ley 2220 de 2022, establece que el término de la caducidad de la acción o medio de control se suspende a partir de la fecha en que se interpone la solicitud de conciliación extrajudicial, veamos:</w:t>
      </w:r>
      <w:r w:rsidR="00EA2EB0" w:rsidRPr="00EA2EB0">
        <w:rPr>
          <w:rFonts w:ascii="Century Gothic" w:hAnsi="Century Gothic" w:cs="Tahoma"/>
          <w:lang w:val="es-CO"/>
        </w:rPr>
        <w:t xml:space="preserve"> </w:t>
      </w:r>
      <w:r w:rsidR="00EA2EB0">
        <w:rPr>
          <w:rFonts w:ascii="Century Gothic" w:hAnsi="Century Gothic" w:cs="Tahoma"/>
          <w:lang w:val="es-CO"/>
        </w:rPr>
        <w:t>“</w:t>
      </w:r>
      <w:r w:rsidR="00EA2EB0" w:rsidRPr="00D51828">
        <w:rPr>
          <w:rFonts w:ascii="Century Gothic" w:hAnsi="Century Gothic" w:cs="Tahoma"/>
          <w:lang w:val="es-CO"/>
        </w:rPr>
        <w:t>La presentación de la solicitud de conciliación extrajudicial en derecho suspende el término de prescripción o de caducidad, según el caso, hasta que suscriba el acta de conciliación, se expidan las constancias establecidas en la presente ley o hasta que se venza el término de tres (3) meses, o la prórroga a que se refiere el artículo 60 de esta ley, lo que ocurra primero.</w:t>
      </w:r>
      <w:r w:rsidR="00EA2EB0">
        <w:rPr>
          <w:rFonts w:ascii="Century Gothic" w:hAnsi="Century Gothic" w:cs="Tahoma"/>
          <w:lang w:val="es-CO"/>
        </w:rPr>
        <w:t xml:space="preserve"> </w:t>
      </w:r>
      <w:r w:rsidR="00EA2EB0" w:rsidRPr="00D51828">
        <w:rPr>
          <w:rFonts w:ascii="Century Gothic" w:hAnsi="Century Gothic" w:cs="Tahoma"/>
          <w:lang w:val="es-CO"/>
        </w:rPr>
        <w:t>Esta suspensión operará por una sola vez y será improrrogable.</w:t>
      </w:r>
      <w:r w:rsidR="00EA2EB0">
        <w:rPr>
          <w:rFonts w:ascii="Century Gothic" w:hAnsi="Century Gothic" w:cs="Tahoma"/>
          <w:lang w:val="es-CO"/>
        </w:rPr>
        <w:t>”</w:t>
      </w:r>
    </w:p>
    <w:p w14:paraId="331FA775" w14:textId="77777777" w:rsidR="00DF11DD" w:rsidRDefault="00DF11DD" w:rsidP="00DF11DD">
      <w:pPr>
        <w:jc w:val="both"/>
        <w:rPr>
          <w:rFonts w:ascii="Century Gothic" w:hAnsi="Century Gothic" w:cs="Tahoma"/>
          <w:lang w:val="es-CO"/>
        </w:rPr>
      </w:pPr>
    </w:p>
    <w:p w14:paraId="11002FB9" w14:textId="77777777" w:rsidR="00DF11DD" w:rsidRDefault="00DF11DD" w:rsidP="00DF11DD">
      <w:pPr>
        <w:jc w:val="both"/>
        <w:rPr>
          <w:rFonts w:ascii="Century Gothic" w:hAnsi="Century Gothic" w:cs="Tahoma"/>
          <w:lang w:val="es-CO"/>
        </w:rPr>
      </w:pPr>
    </w:p>
    <w:p w14:paraId="4F3392CA" w14:textId="77777777" w:rsidR="00DF11DD" w:rsidRDefault="00DF11DD" w:rsidP="00DF11DD">
      <w:pPr>
        <w:jc w:val="both"/>
        <w:rPr>
          <w:rFonts w:ascii="Century Gothic" w:hAnsi="Century Gothic" w:cs="Tahoma"/>
          <w:lang w:val="es-CO"/>
        </w:rPr>
      </w:pPr>
      <w:r>
        <w:rPr>
          <w:rFonts w:ascii="Century Gothic" w:hAnsi="Century Gothic" w:cs="Tahoma"/>
          <w:lang w:val="es-CO"/>
        </w:rPr>
        <w:t>De la norma transcrita, se puede extraer que la suspensión del término de caducidad del medio de control cesará cuando se concrete uno de los siguientes supuestos de hecho:</w:t>
      </w:r>
    </w:p>
    <w:p w14:paraId="08932D46" w14:textId="77777777" w:rsidR="00DF11DD" w:rsidRDefault="00DF11DD" w:rsidP="00DF11DD">
      <w:pPr>
        <w:jc w:val="both"/>
        <w:rPr>
          <w:rFonts w:ascii="Century Gothic" w:hAnsi="Century Gothic" w:cs="Tahoma"/>
          <w:lang w:val="es-CO"/>
        </w:rPr>
      </w:pPr>
    </w:p>
    <w:p w14:paraId="113C7A66" w14:textId="77777777" w:rsidR="00DF11DD" w:rsidRPr="00FE232C" w:rsidRDefault="00DF11DD" w:rsidP="00DF11DD">
      <w:pPr>
        <w:jc w:val="both"/>
        <w:rPr>
          <w:rFonts w:ascii="Century Gothic" w:hAnsi="Century Gothic" w:cs="Tahoma"/>
          <w:lang w:val="es-CO"/>
        </w:rPr>
      </w:pPr>
      <w:r w:rsidRPr="00FE232C">
        <w:rPr>
          <w:rFonts w:ascii="Century Gothic" w:hAnsi="Century Gothic" w:cs="Tahoma"/>
          <w:b/>
          <w:bCs/>
          <w:lang w:val="es-CO"/>
        </w:rPr>
        <w:t xml:space="preserve">1.- </w:t>
      </w:r>
      <w:r w:rsidRPr="00FE232C">
        <w:rPr>
          <w:rFonts w:ascii="Century Gothic" w:hAnsi="Century Gothic" w:cs="Tahoma"/>
          <w:lang w:val="es-CO"/>
        </w:rPr>
        <w:t>Hasta que se dé el acuerdo conciliatorio;</w:t>
      </w:r>
    </w:p>
    <w:p w14:paraId="583055B9" w14:textId="77777777" w:rsidR="00DF11DD" w:rsidRPr="00FE232C" w:rsidRDefault="00DF11DD" w:rsidP="00DF11DD">
      <w:pPr>
        <w:jc w:val="both"/>
        <w:rPr>
          <w:rFonts w:ascii="Century Gothic" w:hAnsi="Century Gothic" w:cs="Tahoma"/>
          <w:lang w:val="es-CO"/>
        </w:rPr>
      </w:pPr>
      <w:r w:rsidRPr="00FE232C">
        <w:rPr>
          <w:rFonts w:ascii="Century Gothic" w:hAnsi="Century Gothic" w:cs="Tahoma"/>
          <w:b/>
          <w:bCs/>
          <w:lang w:val="es-CO"/>
        </w:rPr>
        <w:t xml:space="preserve">2.- </w:t>
      </w:r>
      <w:r w:rsidRPr="00FE232C">
        <w:rPr>
          <w:rFonts w:ascii="Century Gothic" w:hAnsi="Century Gothic" w:cs="Tahoma"/>
          <w:lang w:val="es-CO"/>
        </w:rPr>
        <w:t>Hasta que se registre el acta de conciliación cuando dicho trámite se requiera por</w:t>
      </w:r>
      <w:r>
        <w:rPr>
          <w:rFonts w:ascii="Century Gothic" w:hAnsi="Century Gothic" w:cs="Tahoma"/>
          <w:lang w:val="es-CO"/>
        </w:rPr>
        <w:t xml:space="preserve"> </w:t>
      </w:r>
      <w:r w:rsidRPr="00FE232C">
        <w:rPr>
          <w:rFonts w:ascii="Century Gothic" w:hAnsi="Century Gothic" w:cs="Tahoma"/>
          <w:lang w:val="es-CO"/>
        </w:rPr>
        <w:t>mandato de la ley;</w:t>
      </w:r>
    </w:p>
    <w:p w14:paraId="51557CA9" w14:textId="77777777" w:rsidR="00DF11DD" w:rsidRPr="00FE232C" w:rsidRDefault="00DF11DD" w:rsidP="00DF11DD">
      <w:pPr>
        <w:jc w:val="both"/>
        <w:rPr>
          <w:rFonts w:ascii="Century Gothic" w:hAnsi="Century Gothic" w:cs="Tahoma"/>
          <w:lang w:val="es-CO"/>
        </w:rPr>
      </w:pPr>
      <w:r w:rsidRPr="00FE232C">
        <w:rPr>
          <w:rFonts w:ascii="Century Gothic" w:hAnsi="Century Gothic" w:cs="Tahoma"/>
          <w:b/>
          <w:bCs/>
          <w:lang w:val="es-CO"/>
        </w:rPr>
        <w:t xml:space="preserve">3.- </w:t>
      </w:r>
      <w:r w:rsidRPr="00FE232C">
        <w:rPr>
          <w:rFonts w:ascii="Century Gothic" w:hAnsi="Century Gothic" w:cs="Tahoma"/>
          <w:lang w:val="es-CO"/>
        </w:rPr>
        <w:t>Una vez que se expidan las constancias a las que se refiere el artículo 2 de la</w:t>
      </w:r>
      <w:r>
        <w:rPr>
          <w:rFonts w:ascii="Century Gothic" w:hAnsi="Century Gothic" w:cs="Tahoma"/>
          <w:lang w:val="es-CO"/>
        </w:rPr>
        <w:t xml:space="preserve"> </w:t>
      </w:r>
      <w:r w:rsidRPr="00FE232C">
        <w:rPr>
          <w:rFonts w:ascii="Century Gothic" w:hAnsi="Century Gothic" w:cs="Tahoma"/>
          <w:lang w:val="es-CO"/>
        </w:rPr>
        <w:t>mencionada ley;</w:t>
      </w:r>
    </w:p>
    <w:p w14:paraId="579C5328" w14:textId="77777777" w:rsidR="00DF11DD" w:rsidRDefault="00DF11DD" w:rsidP="00DF11DD">
      <w:pPr>
        <w:jc w:val="both"/>
        <w:rPr>
          <w:rFonts w:ascii="Century Gothic" w:hAnsi="Century Gothic" w:cs="Tahoma"/>
          <w:lang w:val="es-CO"/>
        </w:rPr>
      </w:pPr>
      <w:r w:rsidRPr="00FE232C">
        <w:rPr>
          <w:rFonts w:ascii="Century Gothic" w:hAnsi="Century Gothic" w:cs="Tahoma"/>
          <w:b/>
          <w:bCs/>
          <w:lang w:val="es-CO"/>
        </w:rPr>
        <w:t xml:space="preserve">4.- </w:t>
      </w:r>
      <w:r w:rsidRPr="00FE232C">
        <w:rPr>
          <w:rFonts w:ascii="Century Gothic" w:hAnsi="Century Gothic" w:cs="Tahoma"/>
          <w:lang w:val="es-CO"/>
        </w:rPr>
        <w:t>Hasta que se venza el término de tres meses, el cual es el tiempo en que debe</w:t>
      </w:r>
      <w:r>
        <w:rPr>
          <w:rFonts w:ascii="Century Gothic" w:hAnsi="Century Gothic" w:cs="Tahoma"/>
          <w:lang w:val="es-CO"/>
        </w:rPr>
        <w:t xml:space="preserve"> </w:t>
      </w:r>
      <w:r w:rsidRPr="00FE232C">
        <w:rPr>
          <w:rFonts w:ascii="Century Gothic" w:hAnsi="Century Gothic" w:cs="Tahoma"/>
          <w:lang w:val="es-CO"/>
        </w:rPr>
        <w:t>surtirse la conciliación, contados a partir de la presentación de la solicitud.</w:t>
      </w:r>
    </w:p>
    <w:p w14:paraId="232F17B9" w14:textId="77777777" w:rsidR="00DF11DD" w:rsidRDefault="00DF11DD" w:rsidP="00DF11DD">
      <w:pPr>
        <w:jc w:val="both"/>
        <w:rPr>
          <w:rFonts w:ascii="Century Gothic" w:hAnsi="Century Gothic" w:cs="Tahoma"/>
          <w:lang w:val="es-CO"/>
        </w:rPr>
      </w:pPr>
    </w:p>
    <w:p w14:paraId="60ADE727" w14:textId="7F9A3DD3" w:rsidR="00DF11DD" w:rsidRPr="00D51828" w:rsidRDefault="00DF11DD" w:rsidP="00DF11DD">
      <w:pPr>
        <w:jc w:val="both"/>
        <w:rPr>
          <w:rFonts w:ascii="Century Gothic" w:hAnsi="Century Gothic" w:cs="Tahoma"/>
          <w:lang w:val="es-CO"/>
        </w:rPr>
      </w:pPr>
      <w:r>
        <w:rPr>
          <w:rFonts w:ascii="Century Gothic" w:hAnsi="Century Gothic" w:cs="Tahoma"/>
          <w:lang w:val="es-CO"/>
        </w:rPr>
        <w:t>En conclusión</w:t>
      </w:r>
      <w:r w:rsidRPr="00FE232C">
        <w:rPr>
          <w:rFonts w:ascii="Century Gothic" w:hAnsi="Century Gothic" w:cs="Tahoma"/>
          <w:lang w:val="es-CO"/>
        </w:rPr>
        <w:t xml:space="preserve">, </w:t>
      </w:r>
      <w:r w:rsidR="00B77EC4">
        <w:rPr>
          <w:rFonts w:ascii="Century Gothic" w:hAnsi="Century Gothic" w:cs="Tahoma"/>
          <w:lang w:val="es-CO"/>
        </w:rPr>
        <w:t xml:space="preserve">y como el acta de conciliación prejudicial se expidió el 12 de febrero de 2024, </w:t>
      </w:r>
      <w:r w:rsidRPr="00FE232C">
        <w:rPr>
          <w:rFonts w:ascii="Century Gothic" w:hAnsi="Century Gothic" w:cs="Tahoma"/>
          <w:lang w:val="es-CO"/>
        </w:rPr>
        <w:t>se tiene que a la presente fecha nos encontramos dentro de la</w:t>
      </w:r>
      <w:r>
        <w:rPr>
          <w:rFonts w:ascii="Century Gothic" w:hAnsi="Century Gothic" w:cs="Tahoma"/>
          <w:lang w:val="es-CO"/>
        </w:rPr>
        <w:t xml:space="preserve"> </w:t>
      </w:r>
      <w:r w:rsidRPr="00FE232C">
        <w:rPr>
          <w:rFonts w:ascii="Century Gothic" w:hAnsi="Century Gothic" w:cs="Tahoma"/>
          <w:lang w:val="es-CO"/>
        </w:rPr>
        <w:t xml:space="preserve">oportunidad legal para formular el medio de control de </w:t>
      </w:r>
      <w:r w:rsidR="0093245B">
        <w:rPr>
          <w:rFonts w:ascii="Century Gothic" w:hAnsi="Century Gothic" w:cs="Tahoma"/>
          <w:lang w:val="es-CO"/>
        </w:rPr>
        <w:t>reparación directa</w:t>
      </w:r>
      <w:r w:rsidRPr="00FE232C">
        <w:rPr>
          <w:rFonts w:ascii="Century Gothic" w:hAnsi="Century Gothic" w:cs="Tahoma"/>
          <w:lang w:val="es-CO"/>
        </w:rPr>
        <w:t xml:space="preserve">, tal </w:t>
      </w:r>
      <w:r w:rsidR="0093245B">
        <w:rPr>
          <w:rFonts w:ascii="Century Gothic" w:hAnsi="Century Gothic" w:cs="Tahoma"/>
          <w:lang w:val="es-CO"/>
        </w:rPr>
        <w:t>como lo establece el artículo 1</w:t>
      </w:r>
      <w:r w:rsidRPr="00FE232C">
        <w:rPr>
          <w:rFonts w:ascii="Century Gothic" w:hAnsi="Century Gothic" w:cs="Tahoma"/>
          <w:lang w:val="es-CO"/>
        </w:rPr>
        <w:t>4</w:t>
      </w:r>
      <w:r w:rsidR="0093245B">
        <w:rPr>
          <w:rFonts w:ascii="Century Gothic" w:hAnsi="Century Gothic" w:cs="Tahoma"/>
          <w:lang w:val="es-CO"/>
        </w:rPr>
        <w:t>0 y 164 numeral 2, literal i</w:t>
      </w:r>
      <w:r w:rsidRPr="00FE232C">
        <w:rPr>
          <w:rFonts w:ascii="Century Gothic" w:hAnsi="Century Gothic" w:cs="Tahoma"/>
          <w:lang w:val="es-CO"/>
        </w:rPr>
        <w:t>) de la ley 1437 de</w:t>
      </w:r>
      <w:r>
        <w:rPr>
          <w:rFonts w:ascii="Century Gothic" w:hAnsi="Century Gothic" w:cs="Tahoma"/>
          <w:lang w:val="es-CO"/>
        </w:rPr>
        <w:t xml:space="preserve"> </w:t>
      </w:r>
      <w:r w:rsidRPr="00FE232C">
        <w:rPr>
          <w:rFonts w:ascii="Century Gothic" w:hAnsi="Century Gothic" w:cs="Tahoma"/>
          <w:lang w:val="es-CO"/>
        </w:rPr>
        <w:t>2011 (CPACA).</w:t>
      </w:r>
    </w:p>
    <w:p w14:paraId="0A899FEF" w14:textId="77777777" w:rsidR="00DF11DD" w:rsidRDefault="00DF11DD" w:rsidP="009A1E1B">
      <w:pPr>
        <w:jc w:val="both"/>
        <w:rPr>
          <w:rFonts w:ascii="Century Gothic" w:hAnsi="Century Gothic" w:cs="Tahoma"/>
          <w:lang w:val="es-CO"/>
        </w:rPr>
      </w:pPr>
    </w:p>
    <w:p w14:paraId="316080E9" w14:textId="77777777" w:rsidR="00EA2EB0" w:rsidRPr="009A1E1B" w:rsidRDefault="00EA2EB0" w:rsidP="009A1E1B">
      <w:pPr>
        <w:jc w:val="both"/>
        <w:rPr>
          <w:rFonts w:ascii="Century Gothic" w:hAnsi="Century Gothic" w:cs="Tahoma"/>
          <w:lang w:val="es-CO"/>
        </w:rPr>
      </w:pPr>
    </w:p>
    <w:p w14:paraId="5CC9425A" w14:textId="77777777" w:rsidR="009A1E1B" w:rsidRPr="009A1E1B" w:rsidRDefault="009A1E1B" w:rsidP="009A1E1B">
      <w:pPr>
        <w:jc w:val="both"/>
        <w:rPr>
          <w:rFonts w:ascii="Century Gothic" w:hAnsi="Century Gothic" w:cs="Tahoma"/>
          <w:lang w:val="es-CO"/>
        </w:rPr>
      </w:pPr>
    </w:p>
    <w:p w14:paraId="30036F2E" w14:textId="77777777" w:rsidR="009A1E1B" w:rsidRPr="001E0B1C" w:rsidRDefault="009A1E1B" w:rsidP="00F527BF">
      <w:pPr>
        <w:pStyle w:val="Prrafodelista"/>
        <w:numPr>
          <w:ilvl w:val="0"/>
          <w:numId w:val="1"/>
        </w:numPr>
        <w:jc w:val="center"/>
        <w:rPr>
          <w:rFonts w:ascii="Century Gothic" w:hAnsi="Century Gothic" w:cs="Tahoma"/>
          <w:b/>
          <w:sz w:val="22"/>
          <w:szCs w:val="22"/>
          <w:u w:val="single"/>
          <w:lang w:val="es-CO"/>
        </w:rPr>
      </w:pPr>
      <w:r w:rsidRPr="001E0B1C">
        <w:rPr>
          <w:rFonts w:ascii="Century Gothic" w:hAnsi="Century Gothic" w:cs="Tahoma"/>
          <w:b/>
          <w:sz w:val="22"/>
          <w:szCs w:val="22"/>
          <w:u w:val="single"/>
          <w:lang w:val="es-CO"/>
        </w:rPr>
        <w:t>HECHOS QUE SIRVEN DE FUNDAMENTO A LAS PRETENSIONES</w:t>
      </w:r>
    </w:p>
    <w:p w14:paraId="0ECD148D" w14:textId="3943DBA2" w:rsidR="009A1E1B" w:rsidRPr="009A1E1B" w:rsidRDefault="009A1E1B" w:rsidP="009A1E1B">
      <w:pPr>
        <w:jc w:val="center"/>
        <w:rPr>
          <w:rFonts w:ascii="Century Gothic" w:hAnsi="Century Gothic" w:cs="Tahoma"/>
          <w:i/>
          <w:iCs/>
          <w:lang w:val="es-CO"/>
        </w:rPr>
      </w:pPr>
    </w:p>
    <w:p w14:paraId="6C9A1AB8" w14:textId="77777777" w:rsidR="009A1E1B" w:rsidRPr="009A1E1B" w:rsidRDefault="009A1E1B" w:rsidP="009A1E1B">
      <w:pPr>
        <w:jc w:val="center"/>
        <w:rPr>
          <w:rFonts w:ascii="Century Gothic" w:hAnsi="Century Gothic" w:cs="Tahoma"/>
          <w:i/>
          <w:iCs/>
          <w:lang w:val="es-CO"/>
        </w:rPr>
      </w:pPr>
    </w:p>
    <w:p w14:paraId="6EFFF934" w14:textId="77777777" w:rsidR="002D1C2A"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PRIMERO: </w:t>
      </w:r>
      <w:r w:rsidR="002D1C2A">
        <w:rPr>
          <w:rFonts w:ascii="Century Gothic" w:hAnsi="Century Gothic" w:cs="Tahoma"/>
          <w:bCs/>
          <w:lang w:val="es-CO"/>
        </w:rPr>
        <w:t xml:space="preserve">Que mediante Escritura Pública No. 4.335 del 23 de diciembre de 1997, se creó la sociedad MULTIPOLIMEROS S.A.S., identificada con </w:t>
      </w:r>
      <w:proofErr w:type="spellStart"/>
      <w:r w:rsidR="002D1C2A">
        <w:rPr>
          <w:rFonts w:ascii="Century Gothic" w:hAnsi="Century Gothic" w:cs="Tahoma"/>
          <w:bCs/>
          <w:lang w:val="es-CO"/>
        </w:rPr>
        <w:t>Nit</w:t>
      </w:r>
      <w:proofErr w:type="spellEnd"/>
      <w:r w:rsidR="002D1C2A">
        <w:rPr>
          <w:rFonts w:ascii="Century Gothic" w:hAnsi="Century Gothic" w:cs="Tahoma"/>
          <w:bCs/>
          <w:lang w:val="es-CO"/>
        </w:rPr>
        <w:t>. 815.001-300-6, la cual registró matrícula mercantil No. 507474.</w:t>
      </w:r>
    </w:p>
    <w:p w14:paraId="6D08438A" w14:textId="77777777" w:rsidR="002D1C2A" w:rsidRDefault="002D1C2A" w:rsidP="009A1E1B">
      <w:pPr>
        <w:jc w:val="both"/>
        <w:rPr>
          <w:rFonts w:ascii="Century Gothic" w:hAnsi="Century Gothic" w:cs="Tahoma"/>
          <w:bCs/>
          <w:lang w:val="es-CO"/>
        </w:rPr>
      </w:pPr>
    </w:p>
    <w:p w14:paraId="7113E484" w14:textId="77777777" w:rsidR="002D1C2A" w:rsidRPr="002D1C2A" w:rsidRDefault="002D1C2A" w:rsidP="009A1E1B">
      <w:pPr>
        <w:jc w:val="both"/>
        <w:rPr>
          <w:rFonts w:ascii="Century Gothic" w:hAnsi="Century Gothic" w:cs="Tahoma"/>
          <w:bCs/>
          <w:lang w:val="es-CO"/>
        </w:rPr>
      </w:pPr>
      <w:r>
        <w:rPr>
          <w:rFonts w:ascii="Century Gothic" w:hAnsi="Century Gothic" w:cs="Tahoma"/>
          <w:b/>
          <w:bCs/>
          <w:lang w:val="es-CO"/>
        </w:rPr>
        <w:t xml:space="preserve">SEGUNDO: </w:t>
      </w:r>
      <w:r w:rsidR="00CB702C">
        <w:rPr>
          <w:rFonts w:ascii="Century Gothic" w:hAnsi="Century Gothic" w:cs="Tahoma"/>
          <w:bCs/>
          <w:lang w:val="es-CO"/>
        </w:rPr>
        <w:t>Que la sociedad MULTIPOLIMEROS S.A.S., se encontraba conformada por JOSE LUIS HOYOS VALDERRAMA (19.8%); MANUEL JOSÉ HOYOS BUENO (14%); CARLOS MANUEL HOYOS VALDERRAMA (9.2%); COMERCIALIZADORA H2 EMPACK S.A.S. (6.5%) y LHG CAPITAL S.A.S. (50.5%).</w:t>
      </w:r>
    </w:p>
    <w:p w14:paraId="23327EA3" w14:textId="77777777" w:rsidR="002D1C2A" w:rsidRDefault="002D1C2A" w:rsidP="009A1E1B">
      <w:pPr>
        <w:jc w:val="both"/>
        <w:rPr>
          <w:rFonts w:ascii="Century Gothic" w:hAnsi="Century Gothic" w:cs="Tahoma"/>
          <w:b/>
          <w:bCs/>
          <w:lang w:val="es-CO"/>
        </w:rPr>
      </w:pPr>
    </w:p>
    <w:p w14:paraId="2A4CE588" w14:textId="7906C51A" w:rsidR="00BC5526" w:rsidRPr="00BC5526" w:rsidRDefault="00CB702C" w:rsidP="009A1E1B">
      <w:pPr>
        <w:jc w:val="both"/>
        <w:rPr>
          <w:rFonts w:ascii="Century Gothic" w:hAnsi="Century Gothic" w:cs="Tahoma"/>
          <w:lang w:val="es-CO"/>
        </w:rPr>
      </w:pPr>
      <w:r>
        <w:rPr>
          <w:rFonts w:ascii="Century Gothic" w:hAnsi="Century Gothic" w:cs="Tahoma"/>
          <w:b/>
          <w:lang w:val="es-CO"/>
        </w:rPr>
        <w:t xml:space="preserve">TERCERO: </w:t>
      </w:r>
      <w:r w:rsidR="00BC5526">
        <w:rPr>
          <w:rFonts w:ascii="Century Gothic" w:hAnsi="Century Gothic" w:cs="Tahoma"/>
          <w:lang w:val="es-CO"/>
        </w:rPr>
        <w:t xml:space="preserve">Que el día 14 de enero de 2019, bajo el número de radicación 2019-03-000281, mi poderdante elevó ante la demandada solicitud de investigación administrativa a la sociedad </w:t>
      </w:r>
      <w:proofErr w:type="spellStart"/>
      <w:r w:rsidR="00BC5526">
        <w:rPr>
          <w:rFonts w:ascii="Century Gothic" w:hAnsi="Century Gothic" w:cs="Tahoma"/>
          <w:lang w:val="es-CO"/>
        </w:rPr>
        <w:t>Multipolímeros</w:t>
      </w:r>
      <w:proofErr w:type="spellEnd"/>
      <w:r w:rsidR="00BC5526">
        <w:rPr>
          <w:rFonts w:ascii="Century Gothic" w:hAnsi="Century Gothic" w:cs="Tahoma"/>
          <w:lang w:val="es-CO"/>
        </w:rPr>
        <w:t xml:space="preserve"> S.A.S., siendo que dicho despacho por medio de credencial 620-001258 del 30 de abril de 2019, ordenó practicar una toma de información en la sociedad en mención, actuación que se realizó el día 2 de mayo de 2019, y en la cual se pudo constatar que la sociedad no desarrollaba el objeto social, toda vez que la operación de la empresa se encontró totalmente paralizada a partir del 15 de marzo de 2019, como fue aceptado por el </w:t>
      </w:r>
      <w:r w:rsidR="00803497">
        <w:rPr>
          <w:rFonts w:ascii="Century Gothic" w:hAnsi="Century Gothic" w:cs="Tahoma"/>
          <w:lang w:val="es-CO"/>
        </w:rPr>
        <w:t xml:space="preserve">ex </w:t>
      </w:r>
      <w:r w:rsidR="00BC5526">
        <w:rPr>
          <w:rFonts w:ascii="Century Gothic" w:hAnsi="Century Gothic" w:cs="Tahoma"/>
          <w:lang w:val="es-CO"/>
        </w:rPr>
        <w:t>representante legal José Luis Hoyos Valderrama, hecho verificable en el documento con radicado No. 2019-03-006554 contenido en el link del expediente digital compartido por la pasiva.</w:t>
      </w:r>
    </w:p>
    <w:p w14:paraId="38E31B03" w14:textId="77777777" w:rsidR="00BC5526" w:rsidRDefault="00BC5526" w:rsidP="009A1E1B">
      <w:pPr>
        <w:jc w:val="both"/>
        <w:rPr>
          <w:rFonts w:ascii="Century Gothic" w:hAnsi="Century Gothic" w:cs="Tahoma"/>
          <w:b/>
          <w:lang w:val="es-CO"/>
        </w:rPr>
      </w:pPr>
    </w:p>
    <w:p w14:paraId="6330EF3B" w14:textId="2199B605" w:rsidR="009A1E1B" w:rsidRPr="009A1E1B" w:rsidRDefault="00D95924" w:rsidP="009A1E1B">
      <w:pPr>
        <w:jc w:val="both"/>
        <w:rPr>
          <w:rFonts w:ascii="Century Gothic" w:hAnsi="Century Gothic" w:cs="Tahoma"/>
          <w:lang w:val="es-CO"/>
        </w:rPr>
      </w:pPr>
      <w:r>
        <w:rPr>
          <w:rFonts w:ascii="Century Gothic" w:hAnsi="Century Gothic" w:cs="Tahoma"/>
          <w:b/>
          <w:lang w:val="es-CO"/>
        </w:rPr>
        <w:t xml:space="preserve">CUARTO: </w:t>
      </w:r>
      <w:r w:rsidR="000D2327">
        <w:rPr>
          <w:rFonts w:ascii="Century Gothic" w:hAnsi="Century Gothic" w:cs="Tahoma"/>
          <w:lang w:val="es-CO"/>
        </w:rPr>
        <w:t xml:space="preserve">Que el día 30 de abril de 2019, mediante documento con radicado 2019-03-006089, el señor JOSÉ LUIS HOYOS VALDERRAMA, identificado con cédula de ciudadanía No. 16.269.643, en su calidad de representante legal de la sociedad MULTIPOLIMEROS S.A.S., con </w:t>
      </w:r>
      <w:proofErr w:type="spellStart"/>
      <w:r w:rsidR="000D2327">
        <w:rPr>
          <w:rFonts w:ascii="Century Gothic" w:hAnsi="Century Gothic" w:cs="Tahoma"/>
          <w:lang w:val="es-CO"/>
        </w:rPr>
        <w:t>Nit</w:t>
      </w:r>
      <w:proofErr w:type="spellEnd"/>
      <w:r w:rsidR="000D2327">
        <w:rPr>
          <w:rFonts w:ascii="Century Gothic" w:hAnsi="Century Gothic" w:cs="Tahoma"/>
          <w:lang w:val="es-CO"/>
        </w:rPr>
        <w:t xml:space="preserve">. 815.001.300-6, elevó ante la Superintendencia de Sociedades, solicitud de apertura de proceso de liquidación judicial, atendiendo a </w:t>
      </w:r>
      <w:r w:rsidR="00825517">
        <w:rPr>
          <w:rFonts w:ascii="Century Gothic" w:hAnsi="Century Gothic" w:cs="Tahoma"/>
          <w:lang w:val="es-CO"/>
        </w:rPr>
        <w:t>pérdidas</w:t>
      </w:r>
      <w:r w:rsidR="000D2327">
        <w:rPr>
          <w:rFonts w:ascii="Century Gothic" w:hAnsi="Century Gothic" w:cs="Tahoma"/>
          <w:lang w:val="es-CO"/>
        </w:rPr>
        <w:t xml:space="preserve"> patrimoniales aproximadas al 74.58%</w:t>
      </w:r>
      <w:r w:rsidR="00825517">
        <w:rPr>
          <w:rFonts w:ascii="Century Gothic" w:hAnsi="Century Gothic" w:cs="Tahoma"/>
          <w:lang w:val="es-CO"/>
        </w:rPr>
        <w:t>, sin posibilidades de obtener nuevos recursos de sus accionistas o terceros para solventar la situación financiera.</w:t>
      </w:r>
    </w:p>
    <w:p w14:paraId="6756973A" w14:textId="77777777" w:rsidR="009A1E1B" w:rsidRPr="009A1E1B" w:rsidRDefault="009A1E1B" w:rsidP="009A1E1B">
      <w:pPr>
        <w:jc w:val="both"/>
        <w:rPr>
          <w:rFonts w:ascii="Century Gothic" w:hAnsi="Century Gothic" w:cs="Tahoma"/>
          <w:lang w:val="es-CO"/>
        </w:rPr>
      </w:pPr>
    </w:p>
    <w:p w14:paraId="7FF48261" w14:textId="62525C25" w:rsidR="009A1E1B" w:rsidRPr="00DA1E5F" w:rsidRDefault="00D95924" w:rsidP="009A1E1B">
      <w:pPr>
        <w:jc w:val="both"/>
        <w:rPr>
          <w:rFonts w:ascii="Century Gothic" w:hAnsi="Century Gothic" w:cs="Tahoma"/>
          <w:bCs/>
          <w:i/>
          <w:lang w:val="es-CO"/>
        </w:rPr>
      </w:pPr>
      <w:r>
        <w:rPr>
          <w:rFonts w:ascii="Century Gothic" w:hAnsi="Century Gothic" w:cs="Tahoma"/>
          <w:b/>
          <w:bCs/>
          <w:lang w:val="es-CO"/>
        </w:rPr>
        <w:t>QUINTO</w:t>
      </w:r>
      <w:r w:rsidR="009A1E1B" w:rsidRPr="009A1E1B">
        <w:rPr>
          <w:rFonts w:ascii="Century Gothic" w:hAnsi="Century Gothic" w:cs="Tahoma"/>
          <w:b/>
          <w:bCs/>
          <w:lang w:val="es-CO"/>
        </w:rPr>
        <w:t xml:space="preserve">: </w:t>
      </w:r>
      <w:r w:rsidR="00825517">
        <w:rPr>
          <w:rFonts w:ascii="Century Gothic" w:hAnsi="Century Gothic" w:cs="Tahoma"/>
          <w:bCs/>
          <w:lang w:val="es-CO"/>
        </w:rPr>
        <w:t>Que el día 16 de mayo de 2019, mediante Auto No. 2019-03-007419, la Superintendencia de Sociedades-Intendencia Regional Cali, resolvió dar apertura al proceso de liquidación judicial de los bienes que conformaron el patrimonio social de MULTIPOLIMEROS S.A.S., que entre otras decisiones, designó como liquidador del proceso al señor ADOLFO RODRÍGUEZ GANTIVA, identificado con la cédula de ciudadanía No. 16.604.700</w:t>
      </w:r>
      <w:r w:rsidR="00007CA9">
        <w:rPr>
          <w:rFonts w:ascii="Century Gothic" w:hAnsi="Century Gothic" w:cs="Tahoma"/>
          <w:bCs/>
          <w:lang w:val="es-CO"/>
        </w:rPr>
        <w:t>, dentro del expediente No. 89699</w:t>
      </w:r>
      <w:r w:rsidR="00825517">
        <w:rPr>
          <w:rFonts w:ascii="Century Gothic" w:hAnsi="Century Gothic" w:cs="Tahoma"/>
          <w:bCs/>
          <w:lang w:val="es-CO"/>
        </w:rPr>
        <w:t xml:space="preserve">. </w:t>
      </w:r>
      <w:r w:rsidR="00DA1E5F">
        <w:rPr>
          <w:rFonts w:ascii="Century Gothic" w:hAnsi="Century Gothic" w:cs="Tahoma"/>
          <w:bCs/>
          <w:i/>
          <w:lang w:val="es-CO"/>
        </w:rPr>
        <w:t>(</w:t>
      </w:r>
      <w:r w:rsidR="00F27EF1">
        <w:rPr>
          <w:rFonts w:ascii="Century Gothic" w:hAnsi="Century Gothic" w:cs="Tahoma"/>
          <w:bCs/>
          <w:i/>
          <w:u w:val="single"/>
          <w:lang w:val="es-CO"/>
        </w:rPr>
        <w:t xml:space="preserve">Nota: </w:t>
      </w:r>
      <w:r w:rsidR="00DA1E5F" w:rsidRPr="00DA1E5F">
        <w:rPr>
          <w:rFonts w:ascii="Century Gothic" w:hAnsi="Century Gothic" w:cs="Tahoma"/>
          <w:bCs/>
          <w:i/>
          <w:u w:val="single"/>
          <w:lang w:val="es-CO"/>
        </w:rPr>
        <w:t>El Auto de apertura se encuentra contenido dentro del documento con número 2019-01-260511-000 del expediente digital compartido por la demandada</w:t>
      </w:r>
      <w:r w:rsidR="00803497">
        <w:rPr>
          <w:rFonts w:ascii="Century Gothic" w:hAnsi="Century Gothic" w:cs="Tahoma"/>
          <w:bCs/>
          <w:i/>
          <w:u w:val="single"/>
          <w:lang w:val="es-CO"/>
        </w:rPr>
        <w:t>-Acápite de pruebas de este escrito</w:t>
      </w:r>
      <w:r w:rsidR="00DA1E5F">
        <w:rPr>
          <w:rFonts w:ascii="Century Gothic" w:hAnsi="Century Gothic" w:cs="Tahoma"/>
          <w:bCs/>
          <w:i/>
          <w:lang w:val="es-CO"/>
        </w:rPr>
        <w:t>)</w:t>
      </w:r>
    </w:p>
    <w:p w14:paraId="3E12051F" w14:textId="77777777" w:rsidR="00B94DFA" w:rsidRPr="009A1E1B" w:rsidRDefault="00B94DFA" w:rsidP="009A1E1B">
      <w:pPr>
        <w:jc w:val="both"/>
        <w:rPr>
          <w:rFonts w:ascii="Century Gothic" w:hAnsi="Century Gothic" w:cs="Tahoma"/>
          <w:b/>
          <w:bCs/>
          <w:lang w:val="es-CO"/>
        </w:rPr>
      </w:pPr>
    </w:p>
    <w:p w14:paraId="0251C46C" w14:textId="1635F81D" w:rsidR="009A1E1B" w:rsidRPr="009A1E1B" w:rsidRDefault="00D95924" w:rsidP="009A1E1B">
      <w:pPr>
        <w:jc w:val="both"/>
        <w:rPr>
          <w:rFonts w:ascii="Century Gothic" w:hAnsi="Century Gothic" w:cs="Tahoma"/>
          <w:lang w:val="es-CO"/>
        </w:rPr>
      </w:pPr>
      <w:r>
        <w:rPr>
          <w:rFonts w:ascii="Century Gothic" w:hAnsi="Century Gothic" w:cs="Tahoma"/>
          <w:b/>
          <w:bCs/>
          <w:lang w:val="es-CO"/>
        </w:rPr>
        <w:t>SEXTO</w:t>
      </w:r>
      <w:r w:rsidR="009A1E1B" w:rsidRPr="009A1E1B">
        <w:rPr>
          <w:rFonts w:ascii="Century Gothic" w:hAnsi="Century Gothic" w:cs="Tahoma"/>
          <w:b/>
          <w:bCs/>
          <w:lang w:val="es-CO"/>
        </w:rPr>
        <w:t xml:space="preserve">: </w:t>
      </w:r>
      <w:r w:rsidR="00825517">
        <w:rPr>
          <w:rFonts w:ascii="Century Gothic" w:hAnsi="Century Gothic" w:cs="Tahoma"/>
          <w:lang w:val="es-CO"/>
        </w:rPr>
        <w:t xml:space="preserve">Que </w:t>
      </w:r>
      <w:r w:rsidR="00D300E9">
        <w:rPr>
          <w:rFonts w:ascii="Century Gothic" w:hAnsi="Century Gothic" w:cs="Tahoma"/>
          <w:lang w:val="es-CO"/>
        </w:rPr>
        <w:t xml:space="preserve">el </w:t>
      </w:r>
      <w:r w:rsidR="00825517">
        <w:rPr>
          <w:rFonts w:ascii="Century Gothic" w:hAnsi="Century Gothic" w:cs="Tahoma"/>
          <w:lang w:val="es-CO"/>
        </w:rPr>
        <w:t xml:space="preserve">5 de junio de 2019, mediante </w:t>
      </w:r>
      <w:r w:rsidR="00EA2EB0">
        <w:rPr>
          <w:rFonts w:ascii="Century Gothic" w:hAnsi="Century Gothic" w:cs="Tahoma"/>
          <w:lang w:val="es-CO"/>
        </w:rPr>
        <w:t>O</w:t>
      </w:r>
      <w:r w:rsidR="00825517">
        <w:rPr>
          <w:rFonts w:ascii="Century Gothic" w:hAnsi="Century Gothic" w:cs="Tahoma"/>
          <w:lang w:val="es-CO"/>
        </w:rPr>
        <w:t xml:space="preserve">ficio No. 2019-03-008362, la convocada citó al señor </w:t>
      </w:r>
      <w:r w:rsidR="00825517">
        <w:rPr>
          <w:rFonts w:ascii="Century Gothic" w:hAnsi="Century Gothic" w:cs="Tahoma"/>
          <w:bCs/>
          <w:lang w:val="es-CO"/>
        </w:rPr>
        <w:t xml:space="preserve">ADOLFO RODRÍGUEZ GANTIVA, </w:t>
      </w:r>
      <w:r w:rsidR="00840763">
        <w:rPr>
          <w:rFonts w:ascii="Century Gothic" w:hAnsi="Century Gothic" w:cs="Tahoma"/>
          <w:bCs/>
          <w:lang w:val="es-CO"/>
        </w:rPr>
        <w:t>para que proceda a tomar posesión de la designación hecha como liquidador.</w:t>
      </w:r>
    </w:p>
    <w:p w14:paraId="15E90DF2" w14:textId="77777777" w:rsidR="009A1E1B" w:rsidRPr="009A1E1B" w:rsidRDefault="009A1E1B" w:rsidP="009A1E1B">
      <w:pPr>
        <w:jc w:val="both"/>
        <w:rPr>
          <w:rFonts w:ascii="Century Gothic" w:hAnsi="Century Gothic" w:cs="Tahoma"/>
          <w:b/>
          <w:bCs/>
          <w:lang w:val="es-CO"/>
        </w:rPr>
      </w:pPr>
    </w:p>
    <w:p w14:paraId="28C8C4ED" w14:textId="53EF7F92" w:rsidR="009A1E1B" w:rsidRPr="009A1E1B" w:rsidRDefault="00D95924" w:rsidP="009A1E1B">
      <w:pPr>
        <w:jc w:val="both"/>
        <w:rPr>
          <w:rFonts w:ascii="Century Gothic" w:hAnsi="Century Gothic" w:cs="Tahoma"/>
          <w:bCs/>
          <w:lang w:val="es-CO"/>
        </w:rPr>
      </w:pPr>
      <w:r>
        <w:rPr>
          <w:rFonts w:ascii="Century Gothic" w:hAnsi="Century Gothic" w:cs="Tahoma"/>
          <w:b/>
          <w:bCs/>
          <w:lang w:val="es-CO"/>
        </w:rPr>
        <w:t>SÉPTIMO</w:t>
      </w:r>
      <w:r w:rsidR="009A1E1B" w:rsidRPr="009A1E1B">
        <w:rPr>
          <w:rFonts w:ascii="Century Gothic" w:hAnsi="Century Gothic" w:cs="Tahoma"/>
          <w:b/>
          <w:bCs/>
          <w:lang w:val="es-CO"/>
        </w:rPr>
        <w:t xml:space="preserve">: </w:t>
      </w:r>
      <w:r w:rsidR="00840763">
        <w:rPr>
          <w:rFonts w:ascii="Century Gothic" w:hAnsi="Century Gothic" w:cs="Tahoma"/>
          <w:bCs/>
          <w:lang w:val="es-CO"/>
        </w:rPr>
        <w:t xml:space="preserve">Que el día 11 de junio de 2019, mediante documento con radicado No. 2019-03-006684, el señor ADOLFO RODRÍGUEZ GANTIVA, tomó posesión de su cargo </w:t>
      </w:r>
      <w:r w:rsidR="00803497">
        <w:rPr>
          <w:rFonts w:ascii="Century Gothic" w:hAnsi="Century Gothic" w:cs="Tahoma"/>
          <w:bCs/>
          <w:lang w:val="es-CO"/>
        </w:rPr>
        <w:t>de</w:t>
      </w:r>
      <w:r w:rsidR="00840763">
        <w:rPr>
          <w:rFonts w:ascii="Century Gothic" w:hAnsi="Century Gothic" w:cs="Tahoma"/>
          <w:bCs/>
          <w:lang w:val="es-CO"/>
        </w:rPr>
        <w:t xml:space="preserve"> liquidador, como consta en el acta de posesión adjunta</w:t>
      </w:r>
      <w:r w:rsidR="009A1E1B" w:rsidRPr="009A1E1B">
        <w:rPr>
          <w:rFonts w:ascii="Century Gothic" w:hAnsi="Century Gothic" w:cs="Tahoma"/>
          <w:bCs/>
          <w:lang w:val="es-CO"/>
        </w:rPr>
        <w:t>.</w:t>
      </w:r>
    </w:p>
    <w:p w14:paraId="39377192" w14:textId="77777777" w:rsidR="009A1E1B" w:rsidRPr="009A1E1B" w:rsidRDefault="009A1E1B" w:rsidP="009A1E1B">
      <w:pPr>
        <w:jc w:val="both"/>
        <w:rPr>
          <w:rFonts w:ascii="Century Gothic" w:hAnsi="Century Gothic" w:cs="Tahoma"/>
          <w:b/>
          <w:bCs/>
          <w:lang w:val="es-CO"/>
        </w:rPr>
      </w:pPr>
    </w:p>
    <w:p w14:paraId="1F0CADBB" w14:textId="28572A7C" w:rsidR="009A1E1B" w:rsidRPr="009A1E1B" w:rsidRDefault="00D95924" w:rsidP="009A1E1B">
      <w:pPr>
        <w:jc w:val="both"/>
        <w:rPr>
          <w:rFonts w:ascii="Century Gothic" w:hAnsi="Century Gothic" w:cs="Tahoma"/>
          <w:bCs/>
          <w:lang w:val="es-CO"/>
        </w:rPr>
      </w:pPr>
      <w:r>
        <w:rPr>
          <w:rFonts w:ascii="Century Gothic" w:hAnsi="Century Gothic" w:cs="Tahoma"/>
          <w:b/>
          <w:bCs/>
          <w:lang w:val="es-CO"/>
        </w:rPr>
        <w:t>OCTAVO</w:t>
      </w:r>
      <w:r w:rsidR="009A1E1B" w:rsidRPr="009A1E1B">
        <w:rPr>
          <w:rFonts w:ascii="Century Gothic" w:hAnsi="Century Gothic" w:cs="Tahoma"/>
          <w:b/>
          <w:bCs/>
          <w:lang w:val="es-CO"/>
        </w:rPr>
        <w:t xml:space="preserve">: </w:t>
      </w:r>
      <w:r w:rsidR="009A1E1B" w:rsidRPr="009A1E1B">
        <w:rPr>
          <w:rFonts w:ascii="Century Gothic" w:hAnsi="Century Gothic" w:cs="Tahoma"/>
          <w:bCs/>
          <w:lang w:val="es-CO"/>
        </w:rPr>
        <w:t xml:space="preserve">Que </w:t>
      </w:r>
      <w:r w:rsidR="00007CA9">
        <w:rPr>
          <w:rFonts w:ascii="Century Gothic" w:hAnsi="Century Gothic" w:cs="Tahoma"/>
          <w:bCs/>
          <w:lang w:val="es-CO"/>
        </w:rPr>
        <w:t xml:space="preserve">el día 9 de julio de 2019, mediante documento con radicado No. 2019-03-010859, el señor ADOLFO RODRIGUEZ GANTIVA, allegó a la </w:t>
      </w:r>
      <w:r w:rsidR="006F4DD1">
        <w:rPr>
          <w:rFonts w:ascii="Century Gothic" w:hAnsi="Century Gothic" w:cs="Tahoma"/>
          <w:bCs/>
          <w:lang w:val="es-CO"/>
        </w:rPr>
        <w:t>demandada</w:t>
      </w:r>
      <w:r w:rsidR="00007CA9">
        <w:rPr>
          <w:rFonts w:ascii="Century Gothic" w:hAnsi="Century Gothic" w:cs="Tahoma"/>
          <w:bCs/>
          <w:lang w:val="es-CO"/>
        </w:rPr>
        <w:t xml:space="preserve"> informe de gestión por el exrepresentante legal de MUILTIPOLIMEROS S.A.S., mismo que el liquidador aseveró no cumplía con las disposiciones de los artículos 36, 37 y 47 de la Ley 222 de 1995.</w:t>
      </w:r>
    </w:p>
    <w:p w14:paraId="4471A18B" w14:textId="77777777" w:rsidR="009A1E1B" w:rsidRPr="009A1E1B" w:rsidRDefault="009A1E1B" w:rsidP="009A1E1B">
      <w:pPr>
        <w:jc w:val="both"/>
        <w:rPr>
          <w:rFonts w:ascii="Century Gothic" w:hAnsi="Century Gothic" w:cs="Tahoma"/>
          <w:b/>
          <w:bCs/>
          <w:lang w:val="es-CO"/>
        </w:rPr>
      </w:pPr>
    </w:p>
    <w:p w14:paraId="564F3DB1" w14:textId="5D76F096" w:rsidR="009A1E1B" w:rsidRPr="009A1E1B" w:rsidRDefault="00D95924" w:rsidP="009A1E1B">
      <w:pPr>
        <w:jc w:val="both"/>
        <w:rPr>
          <w:rFonts w:ascii="Century Gothic" w:hAnsi="Century Gothic" w:cs="Tahoma"/>
          <w:lang w:val="es-CO"/>
        </w:rPr>
      </w:pPr>
      <w:r>
        <w:rPr>
          <w:rFonts w:ascii="Century Gothic" w:hAnsi="Century Gothic" w:cs="Tahoma"/>
          <w:b/>
          <w:bCs/>
          <w:lang w:val="es-CO"/>
        </w:rPr>
        <w:t>NOVENO</w:t>
      </w:r>
      <w:r w:rsidR="009A1E1B" w:rsidRPr="009A1E1B">
        <w:rPr>
          <w:rFonts w:ascii="Century Gothic" w:hAnsi="Century Gothic" w:cs="Tahoma"/>
          <w:b/>
          <w:bCs/>
          <w:lang w:val="es-CO"/>
        </w:rPr>
        <w:t xml:space="preserve">: </w:t>
      </w:r>
      <w:r w:rsidR="00007CA9">
        <w:rPr>
          <w:rFonts w:ascii="Century Gothic" w:hAnsi="Century Gothic" w:cs="Tahoma"/>
          <w:lang w:val="es-CO"/>
        </w:rPr>
        <w:t>Que el día 10 de julio de 2019, mediante Auto No. 2019-03-010902, la Superintendencia de Sociedades – Intendencia Regional Cali, fijó fecha y hora para diligencia de secuestro de bienes muebles y aprehensión de libros de la sociedad MUTIPOLIMEROS S.A.S., diligencia fijada para los días 17 y 19 de julio de 2019.</w:t>
      </w:r>
    </w:p>
    <w:p w14:paraId="38FE943B" w14:textId="77777777" w:rsidR="009A1E1B" w:rsidRPr="009A1E1B" w:rsidRDefault="009A1E1B" w:rsidP="009A1E1B">
      <w:pPr>
        <w:jc w:val="both"/>
        <w:rPr>
          <w:rFonts w:ascii="Century Gothic" w:hAnsi="Century Gothic" w:cs="Tahoma"/>
          <w:b/>
          <w:bCs/>
          <w:lang w:val="es-CO"/>
        </w:rPr>
      </w:pPr>
    </w:p>
    <w:p w14:paraId="1989689D" w14:textId="45D135E2" w:rsidR="009A1E1B" w:rsidRPr="009A1E1B" w:rsidRDefault="00D95924" w:rsidP="009A1E1B">
      <w:pPr>
        <w:jc w:val="both"/>
        <w:rPr>
          <w:rFonts w:ascii="Century Gothic" w:hAnsi="Century Gothic" w:cs="Tahoma"/>
          <w:lang w:val="es-CO"/>
        </w:rPr>
      </w:pPr>
      <w:r>
        <w:rPr>
          <w:rFonts w:ascii="Century Gothic" w:hAnsi="Century Gothic" w:cs="Tahoma"/>
          <w:b/>
          <w:lang w:val="es-CO"/>
        </w:rPr>
        <w:t>DÉCIMO</w:t>
      </w:r>
      <w:r w:rsidR="009A1E1B" w:rsidRPr="009A1E1B">
        <w:rPr>
          <w:rFonts w:ascii="Century Gothic" w:hAnsi="Century Gothic" w:cs="Tahoma"/>
          <w:b/>
          <w:lang w:val="es-CO"/>
        </w:rPr>
        <w:t xml:space="preserve">: </w:t>
      </w:r>
      <w:r w:rsidR="009A1E1B" w:rsidRPr="009A1E1B">
        <w:rPr>
          <w:rFonts w:ascii="Century Gothic" w:hAnsi="Century Gothic" w:cs="Tahoma"/>
          <w:lang w:val="es-CO"/>
        </w:rPr>
        <w:t xml:space="preserve">Que </w:t>
      </w:r>
      <w:r w:rsidR="00007CA9">
        <w:rPr>
          <w:rFonts w:ascii="Century Gothic" w:hAnsi="Century Gothic" w:cs="Tahoma"/>
          <w:lang w:val="es-CO"/>
        </w:rPr>
        <w:t>el día 19 de julio de 2019, mediante documento con radicado No. 2019-03-</w:t>
      </w:r>
      <w:r w:rsidR="00007CA9">
        <w:rPr>
          <w:rFonts w:ascii="Century Gothic" w:hAnsi="Century Gothic" w:cs="Tahoma"/>
          <w:lang w:val="es-CO"/>
        </w:rPr>
        <w:lastRenderedPageBreak/>
        <w:t>011443, el señor ADOLFO RODRIGUEZ GANTIVA, informa a la convocada sobre el inventario de bienes entregado por el señor JOSÉ LUIS HOYOS VALDERRAMA, en su calidad de exrepresentante legal de MULTIPOLIMEROS S.A.S.</w:t>
      </w:r>
      <w:r w:rsidR="00B056E8">
        <w:rPr>
          <w:rFonts w:ascii="Century Gothic" w:hAnsi="Century Gothic" w:cs="Tahoma"/>
          <w:lang w:val="es-CO"/>
        </w:rPr>
        <w:t>, entre los días 17 y 19 de julio del mismo año.</w:t>
      </w:r>
    </w:p>
    <w:p w14:paraId="477F05F5" w14:textId="77777777" w:rsidR="009A1E1B" w:rsidRPr="009A1E1B" w:rsidRDefault="009A1E1B" w:rsidP="009A1E1B">
      <w:pPr>
        <w:jc w:val="both"/>
        <w:rPr>
          <w:rFonts w:ascii="Century Gothic" w:hAnsi="Century Gothic" w:cs="Tahoma"/>
          <w:lang w:val="es-CO"/>
        </w:rPr>
      </w:pPr>
    </w:p>
    <w:p w14:paraId="6F14674F" w14:textId="060D0A8D" w:rsidR="009A1E1B" w:rsidRPr="009A1E1B" w:rsidRDefault="00CB702C" w:rsidP="009A1E1B">
      <w:pPr>
        <w:jc w:val="both"/>
        <w:rPr>
          <w:rFonts w:ascii="Century Gothic" w:hAnsi="Century Gothic" w:cs="Tahoma"/>
          <w:lang w:val="es-CO"/>
        </w:rPr>
      </w:pPr>
      <w:r>
        <w:rPr>
          <w:rFonts w:ascii="Century Gothic" w:hAnsi="Century Gothic" w:cs="Tahoma"/>
          <w:b/>
          <w:lang w:val="es-CO"/>
        </w:rPr>
        <w:t>DÉCIMO</w:t>
      </w:r>
      <w:r w:rsidR="00D95924">
        <w:rPr>
          <w:rFonts w:ascii="Century Gothic" w:hAnsi="Century Gothic" w:cs="Tahoma"/>
          <w:b/>
          <w:lang w:val="es-CO"/>
        </w:rPr>
        <w:t xml:space="preserve"> PRIMERO</w:t>
      </w:r>
      <w:r w:rsidR="009A1E1B" w:rsidRPr="009A1E1B">
        <w:rPr>
          <w:rFonts w:ascii="Century Gothic" w:hAnsi="Century Gothic" w:cs="Tahoma"/>
          <w:b/>
          <w:lang w:val="es-CO"/>
        </w:rPr>
        <w:t xml:space="preserve">: </w:t>
      </w:r>
      <w:r w:rsidR="009A1E1B" w:rsidRPr="009A1E1B">
        <w:rPr>
          <w:rFonts w:ascii="Century Gothic" w:hAnsi="Century Gothic" w:cs="Tahoma"/>
          <w:lang w:val="es-CO"/>
        </w:rPr>
        <w:t xml:space="preserve">Que el </w:t>
      </w:r>
      <w:r w:rsidR="00B056E8">
        <w:rPr>
          <w:rFonts w:ascii="Century Gothic" w:hAnsi="Century Gothic" w:cs="Tahoma"/>
          <w:lang w:val="es-CO"/>
        </w:rPr>
        <w:t>día 25 de julio de 2019, mediante Auto No. 2019-03-011683, la Superintendencia de Sociedades-Intendencia Regional Cali, procedió a fijar nueva fecha y hora para diligencia de secuestro de bienes muebles y aprehensión de libros de la sociedad MULTIPOLIMEROS S.A.S., ya que los funcionarios designados no pudieron adelantar la misma, fijando para tal propósito el día 26 de julio de 2019, data en la que se llevó a cabo lo señalado y que se terminó el día 5 de agosto hogaño conforme se avizora en acta con radicado No. 2019-03-011765.</w:t>
      </w:r>
    </w:p>
    <w:p w14:paraId="7CCC43B2" w14:textId="77777777" w:rsidR="009A1E1B" w:rsidRPr="009A1E1B" w:rsidRDefault="009A1E1B" w:rsidP="009A1E1B">
      <w:pPr>
        <w:jc w:val="both"/>
        <w:rPr>
          <w:rFonts w:ascii="Century Gothic" w:hAnsi="Century Gothic" w:cs="Tahoma"/>
          <w:lang w:val="es-CO"/>
        </w:rPr>
      </w:pPr>
    </w:p>
    <w:p w14:paraId="434E0990" w14:textId="55402367" w:rsidR="009A1E1B" w:rsidRDefault="00CB702C" w:rsidP="009A1E1B">
      <w:pPr>
        <w:jc w:val="both"/>
        <w:rPr>
          <w:rFonts w:ascii="Century Gothic" w:hAnsi="Century Gothic" w:cs="Tahoma"/>
          <w:lang w:val="es-CO"/>
        </w:rPr>
      </w:pPr>
      <w:r>
        <w:rPr>
          <w:rFonts w:ascii="Century Gothic" w:hAnsi="Century Gothic" w:cs="Tahoma"/>
          <w:b/>
          <w:lang w:val="es-CO"/>
        </w:rPr>
        <w:t xml:space="preserve">DÉCIMO </w:t>
      </w:r>
      <w:r w:rsidR="00D95924">
        <w:rPr>
          <w:rFonts w:ascii="Century Gothic" w:hAnsi="Century Gothic" w:cs="Tahoma"/>
          <w:b/>
          <w:lang w:val="es-CO"/>
        </w:rPr>
        <w:t>SEGUNDO</w:t>
      </w:r>
      <w:r w:rsidR="009A1E1B" w:rsidRPr="009A1E1B">
        <w:rPr>
          <w:rFonts w:ascii="Century Gothic" w:hAnsi="Century Gothic" w:cs="Tahoma"/>
          <w:b/>
          <w:lang w:val="es-CO"/>
        </w:rPr>
        <w:t xml:space="preserve">: </w:t>
      </w:r>
      <w:r w:rsidR="009A1E1B" w:rsidRPr="009A1E1B">
        <w:rPr>
          <w:rFonts w:ascii="Century Gothic" w:hAnsi="Century Gothic" w:cs="Tahoma"/>
          <w:lang w:val="es-CO"/>
        </w:rPr>
        <w:t xml:space="preserve">Que el día </w:t>
      </w:r>
      <w:r w:rsidR="00CF5EDE">
        <w:rPr>
          <w:rFonts w:ascii="Century Gothic" w:hAnsi="Century Gothic" w:cs="Tahoma"/>
          <w:lang w:val="es-CO"/>
        </w:rPr>
        <w:t>2 de agosto de 2019, mediante documento con radicado No. 2019-03-012242, el señor ADOLFO RODRIGUEZ GANTIVA, presentó a la convocada informe de gestión elaborado por el exrepresentante legal de MULTIPOLIMEROS S.A.S., siendo que en las notas de los estados financieros individuales frente a la propiedad, planta y equipo, con corte a 31 de mayo de 2019</w:t>
      </w:r>
      <w:r w:rsidR="000A5457">
        <w:rPr>
          <w:rFonts w:ascii="Century Gothic" w:hAnsi="Century Gothic" w:cs="Tahoma"/>
          <w:lang w:val="es-CO"/>
        </w:rPr>
        <w:t xml:space="preserve"> se relacionó</w:t>
      </w:r>
      <w:r w:rsidR="00CF5EDE">
        <w:rPr>
          <w:rFonts w:ascii="Century Gothic" w:hAnsi="Century Gothic" w:cs="Tahoma"/>
          <w:lang w:val="es-CO"/>
        </w:rPr>
        <w:t>:</w:t>
      </w:r>
    </w:p>
    <w:p w14:paraId="23D1A392" w14:textId="77777777" w:rsidR="00CF5EDE" w:rsidRDefault="00CF5EDE" w:rsidP="009A1E1B">
      <w:pPr>
        <w:jc w:val="both"/>
        <w:rPr>
          <w:rFonts w:ascii="Century Gothic" w:hAnsi="Century Gothic" w:cs="Tahoma"/>
          <w:lang w:val="es-CO"/>
        </w:rPr>
      </w:pPr>
    </w:p>
    <w:p w14:paraId="3C7CCBBD" w14:textId="77777777" w:rsidR="00CF5EDE" w:rsidRPr="009A1E1B" w:rsidRDefault="00CF5EDE" w:rsidP="00CF5EDE">
      <w:pPr>
        <w:jc w:val="center"/>
        <w:rPr>
          <w:rFonts w:ascii="Century Gothic" w:hAnsi="Century Gothic" w:cs="Tahoma"/>
          <w:lang w:val="es-CO"/>
        </w:rPr>
      </w:pPr>
      <w:r>
        <w:rPr>
          <w:noProof/>
          <w:lang w:val="es-CO" w:eastAsia="es-CO"/>
        </w:rPr>
        <w:drawing>
          <wp:inline distT="0" distB="0" distL="0" distR="0" wp14:anchorId="658F5C37" wp14:editId="247BCB6C">
            <wp:extent cx="4848446" cy="3694054"/>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3691" t="25679" r="54818" b="13529"/>
                    <a:stretch/>
                  </pic:blipFill>
                  <pic:spPr bwMode="auto">
                    <a:xfrm>
                      <a:off x="0" y="0"/>
                      <a:ext cx="4864845" cy="3706548"/>
                    </a:xfrm>
                    <a:prstGeom prst="rect">
                      <a:avLst/>
                    </a:prstGeom>
                    <a:ln>
                      <a:noFill/>
                    </a:ln>
                    <a:extLst>
                      <a:ext uri="{53640926-AAD7-44D8-BBD7-CCE9431645EC}">
                        <a14:shadowObscured xmlns:a14="http://schemas.microsoft.com/office/drawing/2010/main"/>
                      </a:ext>
                    </a:extLst>
                  </pic:spPr>
                </pic:pic>
              </a:graphicData>
            </a:graphic>
          </wp:inline>
        </w:drawing>
      </w:r>
    </w:p>
    <w:p w14:paraId="1AA0F83D" w14:textId="77777777" w:rsidR="009A1E1B" w:rsidRPr="009A1E1B" w:rsidRDefault="009A1E1B" w:rsidP="009A1E1B">
      <w:pPr>
        <w:jc w:val="both"/>
        <w:rPr>
          <w:rFonts w:ascii="Century Gothic" w:hAnsi="Century Gothic" w:cs="Tahoma"/>
          <w:lang w:val="es-CO"/>
        </w:rPr>
      </w:pPr>
    </w:p>
    <w:p w14:paraId="2C600930" w14:textId="6CBEBE07" w:rsidR="009A1E1B" w:rsidRDefault="009A1E1B" w:rsidP="009A1E1B">
      <w:pPr>
        <w:jc w:val="both"/>
        <w:rPr>
          <w:rFonts w:ascii="Century Gothic" w:hAnsi="Century Gothic" w:cs="Tahoma"/>
          <w:lang w:val="es-CO"/>
        </w:rPr>
      </w:pPr>
      <w:r w:rsidRPr="009A1E1B">
        <w:rPr>
          <w:rFonts w:ascii="Century Gothic" w:hAnsi="Century Gothic" w:cs="Tahoma"/>
          <w:b/>
          <w:lang w:val="es-CO"/>
        </w:rPr>
        <w:t>DÉCIMO</w:t>
      </w:r>
      <w:r w:rsidR="00CB702C">
        <w:rPr>
          <w:rFonts w:ascii="Century Gothic" w:hAnsi="Century Gothic" w:cs="Tahoma"/>
          <w:b/>
          <w:lang w:val="es-CO"/>
        </w:rPr>
        <w:t xml:space="preserve"> </w:t>
      </w:r>
      <w:r w:rsidR="00D95924">
        <w:rPr>
          <w:rFonts w:ascii="Century Gothic" w:hAnsi="Century Gothic" w:cs="Tahoma"/>
          <w:b/>
          <w:lang w:val="es-CO"/>
        </w:rPr>
        <w:t>TERCERO</w:t>
      </w:r>
      <w:r w:rsidRPr="009A1E1B">
        <w:rPr>
          <w:rFonts w:ascii="Century Gothic" w:hAnsi="Century Gothic" w:cs="Tahoma"/>
          <w:b/>
          <w:lang w:val="es-CO"/>
        </w:rPr>
        <w:t xml:space="preserve">: </w:t>
      </w:r>
      <w:r w:rsidR="00414FC7">
        <w:rPr>
          <w:rFonts w:ascii="Century Gothic" w:hAnsi="Century Gothic" w:cs="Tahoma"/>
          <w:lang w:val="es-CO"/>
        </w:rPr>
        <w:t xml:space="preserve">Que el día 13 de agosto de 2019, mediante documento con radicado No. 2019-03-012648, el señor ADOLFO RODRIGUEZ GANTIVA, </w:t>
      </w:r>
      <w:r w:rsidR="007B27E4">
        <w:rPr>
          <w:rFonts w:ascii="Century Gothic" w:hAnsi="Century Gothic" w:cs="Tahoma"/>
          <w:lang w:val="es-CO"/>
        </w:rPr>
        <w:t xml:space="preserve">puso en conocimiento de la Superintendencia de Sociedades – Intendencia Regional Cali, denuncia formulada por el delito de hurto ante la Fiscalía General de la Nación, con ocasión a hechos vandálicos del día 5 de agosto de 2019, donde fue hurtada de la bodega </w:t>
      </w:r>
      <w:r w:rsidR="006F4DD1">
        <w:rPr>
          <w:rFonts w:ascii="Century Gothic" w:hAnsi="Century Gothic" w:cs="Tahoma"/>
          <w:lang w:val="es-CO"/>
        </w:rPr>
        <w:t>en que</w:t>
      </w:r>
      <w:r w:rsidR="007B27E4">
        <w:rPr>
          <w:rFonts w:ascii="Century Gothic" w:hAnsi="Century Gothic" w:cs="Tahoma"/>
          <w:lang w:val="es-CO"/>
        </w:rPr>
        <w:t xml:space="preserve"> funcionaba MULTIPOLIMEROS S.A.S., una prensa hidráulica valorada en $2.000.000 M/Cte., conforme describe la denuncia, así:</w:t>
      </w:r>
    </w:p>
    <w:p w14:paraId="7B4D45C9" w14:textId="77777777" w:rsidR="007B27E4" w:rsidRDefault="007B27E4" w:rsidP="009A1E1B">
      <w:pPr>
        <w:jc w:val="both"/>
        <w:rPr>
          <w:rFonts w:ascii="Century Gothic" w:hAnsi="Century Gothic" w:cs="Tahoma"/>
          <w:lang w:val="es-CO"/>
        </w:rPr>
      </w:pPr>
    </w:p>
    <w:p w14:paraId="5E7B1792" w14:textId="77777777" w:rsidR="007B27E4" w:rsidRPr="009A1E1B" w:rsidRDefault="007B27E4" w:rsidP="007B27E4">
      <w:pPr>
        <w:jc w:val="center"/>
        <w:rPr>
          <w:rFonts w:ascii="Century Gothic" w:hAnsi="Century Gothic" w:cs="Tahoma"/>
          <w:b/>
          <w:lang w:val="es-CO"/>
        </w:rPr>
      </w:pPr>
      <w:r>
        <w:rPr>
          <w:noProof/>
          <w:lang w:val="es-CO" w:eastAsia="es-CO"/>
        </w:rPr>
        <w:drawing>
          <wp:inline distT="0" distB="0" distL="0" distR="0" wp14:anchorId="50F384D3" wp14:editId="5AF7B477">
            <wp:extent cx="5805377" cy="1392866"/>
            <wp:effectExtent l="0" t="0" r="508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24799" t="47734" r="24583" b="30816"/>
                    <a:stretch/>
                  </pic:blipFill>
                  <pic:spPr bwMode="auto">
                    <a:xfrm>
                      <a:off x="0" y="0"/>
                      <a:ext cx="5819324" cy="1396212"/>
                    </a:xfrm>
                    <a:prstGeom prst="rect">
                      <a:avLst/>
                    </a:prstGeom>
                    <a:ln>
                      <a:noFill/>
                    </a:ln>
                    <a:extLst>
                      <a:ext uri="{53640926-AAD7-44D8-BBD7-CCE9431645EC}">
                        <a14:shadowObscured xmlns:a14="http://schemas.microsoft.com/office/drawing/2010/main"/>
                      </a:ext>
                    </a:extLst>
                  </pic:spPr>
                </pic:pic>
              </a:graphicData>
            </a:graphic>
          </wp:inline>
        </w:drawing>
      </w:r>
    </w:p>
    <w:p w14:paraId="33441714" w14:textId="77777777" w:rsidR="009A1E1B" w:rsidRPr="009A1E1B" w:rsidRDefault="009A1E1B" w:rsidP="009A1E1B">
      <w:pPr>
        <w:jc w:val="both"/>
        <w:rPr>
          <w:rFonts w:ascii="Century Gothic" w:hAnsi="Century Gothic" w:cs="Tahoma"/>
          <w:b/>
          <w:bCs/>
          <w:lang w:val="es-CO"/>
        </w:rPr>
      </w:pPr>
    </w:p>
    <w:p w14:paraId="56362857" w14:textId="2A9C8C14" w:rsidR="009A1E1B" w:rsidRPr="009A1E1B" w:rsidRDefault="009A1E1B" w:rsidP="009A1E1B">
      <w:pPr>
        <w:jc w:val="both"/>
        <w:rPr>
          <w:rFonts w:ascii="Century Gothic" w:hAnsi="Century Gothic" w:cs="Tahoma"/>
          <w:lang w:val="es-CO"/>
        </w:rPr>
      </w:pPr>
      <w:r w:rsidRPr="009A1E1B">
        <w:rPr>
          <w:rFonts w:ascii="Century Gothic" w:hAnsi="Century Gothic" w:cs="Tahoma"/>
          <w:b/>
          <w:lang w:val="es-CO"/>
        </w:rPr>
        <w:t xml:space="preserve">DÉCIMO </w:t>
      </w:r>
      <w:r w:rsidR="00D95924">
        <w:rPr>
          <w:rFonts w:ascii="Century Gothic" w:hAnsi="Century Gothic" w:cs="Tahoma"/>
          <w:b/>
          <w:lang w:val="es-CO"/>
        </w:rPr>
        <w:t>CUARTO</w:t>
      </w:r>
      <w:r w:rsidRPr="009A1E1B">
        <w:rPr>
          <w:rFonts w:ascii="Century Gothic" w:hAnsi="Century Gothic" w:cs="Tahoma"/>
          <w:b/>
          <w:lang w:val="es-CO"/>
        </w:rPr>
        <w:t xml:space="preserve">: </w:t>
      </w:r>
      <w:r w:rsidRPr="009A1E1B">
        <w:rPr>
          <w:rFonts w:ascii="Century Gothic" w:hAnsi="Century Gothic" w:cs="Tahoma"/>
          <w:lang w:val="es-CO"/>
        </w:rPr>
        <w:t xml:space="preserve">El día </w:t>
      </w:r>
      <w:r w:rsidR="00CB702C">
        <w:rPr>
          <w:rFonts w:ascii="Century Gothic" w:hAnsi="Century Gothic" w:cs="Tahoma"/>
          <w:lang w:val="es-CO"/>
        </w:rPr>
        <w:t xml:space="preserve">20 de agosto de 2019, mediante documento con radicado No. 2019-03-012858, mi representado elevó ante la convocada escrito en el que puso en conocimiento lo que denominó “aparentes conductas irregulares llevadas a cabo por la apoderada judicial de MULTIPOLIMEROS S.A.S. (en liquidación judicial), José Luis Hoyos Valderrama y otros”, </w:t>
      </w:r>
      <w:r w:rsidR="00870009">
        <w:rPr>
          <w:rFonts w:ascii="Century Gothic" w:hAnsi="Century Gothic" w:cs="Tahoma"/>
          <w:lang w:val="es-CO"/>
        </w:rPr>
        <w:t xml:space="preserve">como lo son: Irregularidades en el cobro de cartera; irregularidades en inventario al faltar máquinas de línea de zuncho y productos marca </w:t>
      </w:r>
      <w:proofErr w:type="spellStart"/>
      <w:r w:rsidR="00870009">
        <w:rPr>
          <w:rFonts w:ascii="Century Gothic" w:hAnsi="Century Gothic" w:cs="Tahoma"/>
          <w:lang w:val="es-CO"/>
        </w:rPr>
        <w:t>highpack</w:t>
      </w:r>
      <w:proofErr w:type="spellEnd"/>
      <w:r w:rsidR="00870009">
        <w:rPr>
          <w:rFonts w:ascii="Century Gothic" w:hAnsi="Century Gothic" w:cs="Tahoma"/>
          <w:lang w:val="es-CO"/>
        </w:rPr>
        <w:t xml:space="preserve">, </w:t>
      </w:r>
      <w:proofErr w:type="spellStart"/>
      <w:r w:rsidR="00870009">
        <w:rPr>
          <w:rFonts w:ascii="Century Gothic" w:hAnsi="Century Gothic" w:cs="Tahoma"/>
          <w:lang w:val="es-CO"/>
        </w:rPr>
        <w:t>highpack</w:t>
      </w:r>
      <w:proofErr w:type="spellEnd"/>
      <w:r w:rsidR="00870009">
        <w:rPr>
          <w:rFonts w:ascii="Century Gothic" w:hAnsi="Century Gothic" w:cs="Tahoma"/>
          <w:lang w:val="es-CO"/>
        </w:rPr>
        <w:t xml:space="preserve"> </w:t>
      </w:r>
      <w:proofErr w:type="spellStart"/>
      <w:r w:rsidR="00870009">
        <w:rPr>
          <w:rFonts w:ascii="Century Gothic" w:hAnsi="Century Gothic" w:cs="Tahoma"/>
          <w:lang w:val="es-CO"/>
        </w:rPr>
        <w:t>flez</w:t>
      </w:r>
      <w:proofErr w:type="spellEnd"/>
      <w:r w:rsidR="00870009">
        <w:rPr>
          <w:rFonts w:ascii="Century Gothic" w:hAnsi="Century Gothic" w:cs="Tahoma"/>
          <w:lang w:val="es-CO"/>
        </w:rPr>
        <w:t xml:space="preserve"> y </w:t>
      </w:r>
      <w:proofErr w:type="spellStart"/>
      <w:r w:rsidR="00870009">
        <w:rPr>
          <w:rFonts w:ascii="Century Gothic" w:hAnsi="Century Gothic" w:cs="Tahoma"/>
          <w:lang w:val="es-CO"/>
        </w:rPr>
        <w:t>highpack</w:t>
      </w:r>
      <w:proofErr w:type="spellEnd"/>
      <w:r w:rsidR="00870009">
        <w:rPr>
          <w:rFonts w:ascii="Century Gothic" w:hAnsi="Century Gothic" w:cs="Tahoma"/>
          <w:lang w:val="es-CO"/>
        </w:rPr>
        <w:t xml:space="preserve"> </w:t>
      </w:r>
      <w:proofErr w:type="spellStart"/>
      <w:r w:rsidR="00870009">
        <w:rPr>
          <w:rFonts w:ascii="Century Gothic" w:hAnsi="Century Gothic" w:cs="Tahoma"/>
          <w:lang w:val="es-CO"/>
        </w:rPr>
        <w:t>store</w:t>
      </w:r>
      <w:proofErr w:type="spellEnd"/>
      <w:r w:rsidR="00870009">
        <w:rPr>
          <w:rFonts w:ascii="Century Gothic" w:hAnsi="Century Gothic" w:cs="Tahoma"/>
          <w:lang w:val="es-CO"/>
        </w:rPr>
        <w:t xml:space="preserve">, así como la ausencia de compra de dos máquinas de producción con Gases de Occidente. Con este oficio mi mandante solicitó que la </w:t>
      </w:r>
      <w:proofErr w:type="spellStart"/>
      <w:r w:rsidR="00870009">
        <w:rPr>
          <w:rFonts w:ascii="Century Gothic" w:hAnsi="Century Gothic" w:cs="Tahoma"/>
          <w:lang w:val="es-CO"/>
        </w:rPr>
        <w:t>Supersociedades</w:t>
      </w:r>
      <w:proofErr w:type="spellEnd"/>
      <w:r w:rsidR="00870009">
        <w:rPr>
          <w:rFonts w:ascii="Century Gothic" w:hAnsi="Century Gothic" w:cs="Tahoma"/>
          <w:lang w:val="es-CO"/>
        </w:rPr>
        <w:t xml:space="preserve"> inicia</w:t>
      </w:r>
      <w:r w:rsidR="000A5457">
        <w:rPr>
          <w:rFonts w:ascii="Century Gothic" w:hAnsi="Century Gothic" w:cs="Tahoma"/>
          <w:lang w:val="es-CO"/>
        </w:rPr>
        <w:t>ra</w:t>
      </w:r>
      <w:r w:rsidR="00870009">
        <w:rPr>
          <w:rFonts w:ascii="Century Gothic" w:hAnsi="Century Gothic" w:cs="Tahoma"/>
          <w:lang w:val="es-CO"/>
        </w:rPr>
        <w:t xml:space="preserve"> investigaciones para evitar que se desvíen o afecten recursos de la sociedad en liquidación judicial.</w:t>
      </w:r>
    </w:p>
    <w:p w14:paraId="76B675C8" w14:textId="77777777" w:rsidR="009A1E1B" w:rsidRPr="009A1E1B" w:rsidRDefault="009A1E1B" w:rsidP="009A1E1B">
      <w:pPr>
        <w:jc w:val="both"/>
        <w:rPr>
          <w:rFonts w:ascii="Century Gothic" w:hAnsi="Century Gothic" w:cs="Tahoma"/>
          <w:b/>
          <w:bCs/>
          <w:lang w:val="es-CO"/>
        </w:rPr>
      </w:pPr>
    </w:p>
    <w:p w14:paraId="50D1743D" w14:textId="464E9E7B" w:rsidR="009A1E1B" w:rsidRPr="009A1E1B" w:rsidRDefault="009A1E1B" w:rsidP="009A1E1B">
      <w:pPr>
        <w:jc w:val="both"/>
        <w:rPr>
          <w:rFonts w:ascii="Century Gothic" w:hAnsi="Century Gothic" w:cs="Tahoma"/>
          <w:lang w:val="es-CO"/>
        </w:rPr>
      </w:pPr>
      <w:r w:rsidRPr="009A1E1B">
        <w:rPr>
          <w:rFonts w:ascii="Century Gothic" w:hAnsi="Century Gothic" w:cs="Tahoma"/>
          <w:b/>
          <w:lang w:val="es-CO"/>
        </w:rPr>
        <w:t xml:space="preserve">DÉCIMO </w:t>
      </w:r>
      <w:r w:rsidR="00D95924">
        <w:rPr>
          <w:rFonts w:ascii="Century Gothic" w:hAnsi="Century Gothic" w:cs="Tahoma"/>
          <w:b/>
          <w:lang w:val="es-CO"/>
        </w:rPr>
        <w:t>QUINTO</w:t>
      </w:r>
      <w:r w:rsidRPr="009A1E1B">
        <w:rPr>
          <w:rFonts w:ascii="Century Gothic" w:hAnsi="Century Gothic" w:cs="Tahoma"/>
          <w:b/>
          <w:lang w:val="es-CO"/>
        </w:rPr>
        <w:t xml:space="preserve">: </w:t>
      </w:r>
      <w:r w:rsidR="00D76BB0">
        <w:rPr>
          <w:rFonts w:ascii="Century Gothic" w:hAnsi="Century Gothic" w:cs="Tahoma"/>
          <w:lang w:val="es-CO"/>
        </w:rPr>
        <w:t>Que el día 6 de septiembre de 2019, mediante Auto No. 2019-03-013574, la Superintendencia de Sociedades, puso en conocimiento del señor ADOLFO RODRIGUEZ GANTIVA, el memorial contentivo de las irregularidades advertidas por mi poderdante el día 20 de agosto de 2019.</w:t>
      </w:r>
    </w:p>
    <w:p w14:paraId="0E65284C" w14:textId="77777777" w:rsidR="009A1E1B" w:rsidRPr="009A1E1B" w:rsidRDefault="009A1E1B" w:rsidP="009A1E1B">
      <w:pPr>
        <w:jc w:val="both"/>
        <w:rPr>
          <w:rFonts w:ascii="Century Gothic" w:hAnsi="Century Gothic" w:cs="Tahoma"/>
          <w:lang w:val="es-CO"/>
        </w:rPr>
      </w:pPr>
    </w:p>
    <w:p w14:paraId="59C7A0CF" w14:textId="3A7CDD21"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DÉCIMO </w:t>
      </w:r>
      <w:r w:rsidR="00D95924">
        <w:rPr>
          <w:rFonts w:ascii="Century Gothic" w:hAnsi="Century Gothic" w:cs="Tahoma"/>
          <w:b/>
          <w:bCs/>
          <w:lang w:val="es-CO"/>
        </w:rPr>
        <w:t>SEXTO</w:t>
      </w:r>
      <w:r w:rsidRPr="009A1E1B">
        <w:rPr>
          <w:rFonts w:ascii="Century Gothic" w:hAnsi="Century Gothic" w:cs="Tahoma"/>
          <w:b/>
          <w:bCs/>
          <w:lang w:val="es-CO"/>
        </w:rPr>
        <w:t xml:space="preserve">: </w:t>
      </w:r>
      <w:r w:rsidR="00D76BB0">
        <w:rPr>
          <w:rFonts w:ascii="Century Gothic" w:hAnsi="Century Gothic" w:cs="Tahoma"/>
          <w:lang w:val="es-CO"/>
        </w:rPr>
        <w:t xml:space="preserve">Que el día 12 de septiembre de 2019, el señor RODRIGUEZ GANTIVA, mediante documento con radicado No. 2019-03-013844, informó a la </w:t>
      </w:r>
      <w:proofErr w:type="spellStart"/>
      <w:r w:rsidR="00D76BB0">
        <w:rPr>
          <w:rFonts w:ascii="Century Gothic" w:hAnsi="Century Gothic" w:cs="Tahoma"/>
          <w:lang w:val="es-CO"/>
        </w:rPr>
        <w:t>Supersociedades</w:t>
      </w:r>
      <w:proofErr w:type="spellEnd"/>
      <w:r w:rsidR="00D76BB0">
        <w:rPr>
          <w:rFonts w:ascii="Century Gothic" w:hAnsi="Century Gothic" w:cs="Tahoma"/>
          <w:lang w:val="es-CO"/>
        </w:rPr>
        <w:t>, que a raíz de revisión a la contabilidad de MULTIPOLIMEROS S.A.S., entregada por el exrepresentante legal (José Luis Hoyos), y según certificación de la Dra. Olga Lucía Briceño López, se evidencia información incoherente en el programa contable, en algunos módulos especialmente en activos fijos y contabilidad financiera donde hay diferencias que ascienden a la suma de $1.651.824.862 M/Cte., siendo que el señor RODRIGUEZ, afirmó que entablaría las acciones judiciales correspondientes.</w:t>
      </w:r>
      <w:r w:rsidR="00F87905">
        <w:rPr>
          <w:rFonts w:ascii="Century Gothic" w:hAnsi="Century Gothic" w:cs="Tahoma"/>
          <w:lang w:val="es-CO"/>
        </w:rPr>
        <w:t xml:space="preserve"> A lo anterior el liquidador dio alcance mediante documento con radicado No. 2019-02-013900, aportando certificación contable.</w:t>
      </w:r>
    </w:p>
    <w:p w14:paraId="5A70FDB0" w14:textId="77777777" w:rsidR="009A1E1B" w:rsidRPr="009A1E1B" w:rsidRDefault="009A1E1B" w:rsidP="009A1E1B">
      <w:pPr>
        <w:jc w:val="both"/>
        <w:rPr>
          <w:rFonts w:ascii="Century Gothic" w:hAnsi="Century Gothic" w:cs="Tahoma"/>
          <w:b/>
          <w:bCs/>
          <w:lang w:val="es-CO"/>
        </w:rPr>
      </w:pPr>
    </w:p>
    <w:p w14:paraId="3BC136A2" w14:textId="4DD7A7E2" w:rsid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DÉCIMO </w:t>
      </w:r>
      <w:r w:rsidR="00D95924">
        <w:rPr>
          <w:rFonts w:ascii="Century Gothic" w:hAnsi="Century Gothic" w:cs="Tahoma"/>
          <w:b/>
          <w:bCs/>
          <w:lang w:val="es-CO"/>
        </w:rPr>
        <w:t>SÉPTIMO</w:t>
      </w:r>
      <w:r w:rsidRPr="009A1E1B">
        <w:rPr>
          <w:rFonts w:ascii="Century Gothic" w:hAnsi="Century Gothic" w:cs="Tahoma"/>
          <w:b/>
          <w:bCs/>
          <w:lang w:val="es-CO"/>
        </w:rPr>
        <w:t xml:space="preserve">: </w:t>
      </w:r>
      <w:r w:rsidR="00F87905">
        <w:rPr>
          <w:rFonts w:ascii="Century Gothic" w:hAnsi="Century Gothic" w:cs="Tahoma"/>
          <w:bCs/>
          <w:lang w:val="es-CO"/>
        </w:rPr>
        <w:t>Que el día 7 de octubre de 2019, el señor RODRIGUEZ GANTIVA, mediante documento con radicado No. 2019-03-015079, presentó ante la convocada, escrito de informe de gestión y contable, en el cual adjuntó notas a los estados financieros al 31 de agosto de 2019, donde en la nota 2 frente a propiedad, planta y equipo relaciona:</w:t>
      </w:r>
    </w:p>
    <w:p w14:paraId="7E59BBB1" w14:textId="77777777" w:rsidR="00F87905" w:rsidRDefault="00F87905" w:rsidP="009A1E1B">
      <w:pPr>
        <w:jc w:val="both"/>
        <w:rPr>
          <w:rFonts w:ascii="Century Gothic" w:hAnsi="Century Gothic" w:cs="Tahoma"/>
          <w:bCs/>
          <w:lang w:val="es-CO"/>
        </w:rPr>
      </w:pPr>
    </w:p>
    <w:p w14:paraId="53826325" w14:textId="77777777" w:rsidR="00F87905" w:rsidRPr="009A1E1B" w:rsidRDefault="00F87905" w:rsidP="00F87905">
      <w:pPr>
        <w:jc w:val="center"/>
        <w:rPr>
          <w:rFonts w:ascii="Century Gothic" w:hAnsi="Century Gothic" w:cs="Tahoma"/>
          <w:lang w:val="es-CO"/>
        </w:rPr>
      </w:pPr>
      <w:r>
        <w:rPr>
          <w:noProof/>
          <w:lang w:val="es-CO" w:eastAsia="es-CO"/>
        </w:rPr>
        <w:drawing>
          <wp:inline distT="0" distB="0" distL="0" distR="0" wp14:anchorId="67F48CFC" wp14:editId="109948D3">
            <wp:extent cx="4209852" cy="2771775"/>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37539" t="33232" r="36982" b="32629"/>
                    <a:stretch/>
                  </pic:blipFill>
                  <pic:spPr bwMode="auto">
                    <a:xfrm>
                      <a:off x="0" y="0"/>
                      <a:ext cx="4239757" cy="2791464"/>
                    </a:xfrm>
                    <a:prstGeom prst="rect">
                      <a:avLst/>
                    </a:prstGeom>
                    <a:ln>
                      <a:noFill/>
                    </a:ln>
                    <a:extLst>
                      <a:ext uri="{53640926-AAD7-44D8-BBD7-CCE9431645EC}">
                        <a14:shadowObscured xmlns:a14="http://schemas.microsoft.com/office/drawing/2010/main"/>
                      </a:ext>
                    </a:extLst>
                  </pic:spPr>
                </pic:pic>
              </a:graphicData>
            </a:graphic>
          </wp:inline>
        </w:drawing>
      </w:r>
    </w:p>
    <w:p w14:paraId="4C22675F" w14:textId="77777777" w:rsidR="009A1E1B" w:rsidRPr="009A1E1B" w:rsidRDefault="009A1E1B" w:rsidP="009A1E1B">
      <w:pPr>
        <w:jc w:val="both"/>
        <w:rPr>
          <w:rFonts w:ascii="Century Gothic" w:hAnsi="Century Gothic" w:cs="Tahoma"/>
          <w:lang w:val="es-CO"/>
        </w:rPr>
      </w:pPr>
    </w:p>
    <w:p w14:paraId="5EE474B0" w14:textId="57247267" w:rsidR="009A1E1B" w:rsidRDefault="009A1E1B" w:rsidP="009A1E1B">
      <w:pPr>
        <w:jc w:val="both"/>
        <w:rPr>
          <w:rFonts w:ascii="Century Gothic" w:hAnsi="Century Gothic" w:cs="Tahoma"/>
          <w:lang w:val="es-CO"/>
        </w:rPr>
      </w:pPr>
      <w:r w:rsidRPr="009A1E1B">
        <w:rPr>
          <w:rFonts w:ascii="Century Gothic" w:hAnsi="Century Gothic" w:cs="Tahoma"/>
          <w:b/>
          <w:lang w:val="es-CO"/>
        </w:rPr>
        <w:t>DÉCIMO</w:t>
      </w:r>
      <w:r w:rsidR="00CB702C">
        <w:rPr>
          <w:rFonts w:ascii="Century Gothic" w:hAnsi="Century Gothic" w:cs="Tahoma"/>
          <w:b/>
          <w:lang w:val="es-CO"/>
        </w:rPr>
        <w:t xml:space="preserve"> </w:t>
      </w:r>
      <w:r w:rsidR="00D95924">
        <w:rPr>
          <w:rFonts w:ascii="Century Gothic" w:hAnsi="Century Gothic" w:cs="Tahoma"/>
          <w:b/>
          <w:lang w:val="es-CO"/>
        </w:rPr>
        <w:t>OCTAVO</w:t>
      </w:r>
      <w:r w:rsidRPr="009A1E1B">
        <w:rPr>
          <w:rFonts w:ascii="Century Gothic" w:hAnsi="Century Gothic" w:cs="Tahoma"/>
          <w:b/>
          <w:lang w:val="es-CO"/>
        </w:rPr>
        <w:t xml:space="preserve">: </w:t>
      </w:r>
      <w:r w:rsidRPr="009A1E1B">
        <w:rPr>
          <w:rFonts w:ascii="Century Gothic" w:hAnsi="Century Gothic" w:cs="Tahoma"/>
          <w:lang w:val="es-CO"/>
        </w:rPr>
        <w:t xml:space="preserve">Que </w:t>
      </w:r>
      <w:r w:rsidR="006B29A9">
        <w:rPr>
          <w:rFonts w:ascii="Century Gothic" w:hAnsi="Century Gothic" w:cs="Tahoma"/>
          <w:lang w:val="es-CO"/>
        </w:rPr>
        <w:t xml:space="preserve">el día 9 de octubre de 2019, mediante documento con radicado No. 2019-03-015339, el señor RODRIGUEZ GANTIVA, informó a la </w:t>
      </w:r>
      <w:proofErr w:type="spellStart"/>
      <w:r w:rsidR="006B29A9">
        <w:rPr>
          <w:rFonts w:ascii="Century Gothic" w:hAnsi="Century Gothic" w:cs="Tahoma"/>
          <w:lang w:val="es-CO"/>
        </w:rPr>
        <w:t>Supersociedades</w:t>
      </w:r>
      <w:proofErr w:type="spellEnd"/>
      <w:r w:rsidR="006B29A9">
        <w:rPr>
          <w:rFonts w:ascii="Century Gothic" w:hAnsi="Century Gothic" w:cs="Tahoma"/>
          <w:lang w:val="es-CO"/>
        </w:rPr>
        <w:t xml:space="preserve"> que formuló ante la Fiscalía General de la Nación, denuncia por hurto, a raíz de los hechos acaecidos el día 30 de septiembre de 2019, cuando de las bodegas de MULTIPOLIMEROS S.A.S., fueron sustraídas de forma violenta 12 moldes elaborados en fundición de aluminio; 20 bultos de pigmento; 3 monitores; 3 CPU; Herramientas varias de talle; 1 </w:t>
      </w:r>
      <w:r w:rsidR="006B29A9">
        <w:rPr>
          <w:rFonts w:ascii="Century Gothic" w:hAnsi="Century Gothic" w:cs="Tahoma"/>
          <w:lang w:val="es-CO"/>
        </w:rPr>
        <w:lastRenderedPageBreak/>
        <w:t>licuadora y 1 pulidora, bienes que hacían parte del inventario de la sociedad, y que estaban valorados aproximadamente por $10.000.000 M/Cte., siendo que se cita el aparte de la denuncia, así:</w:t>
      </w:r>
    </w:p>
    <w:p w14:paraId="7D5D6138" w14:textId="77777777" w:rsidR="006B29A9" w:rsidRDefault="006B29A9" w:rsidP="009A1E1B">
      <w:pPr>
        <w:jc w:val="both"/>
        <w:rPr>
          <w:rFonts w:ascii="Century Gothic" w:hAnsi="Century Gothic" w:cs="Tahoma"/>
          <w:lang w:val="es-CO"/>
        </w:rPr>
      </w:pPr>
    </w:p>
    <w:p w14:paraId="0267A705" w14:textId="77777777" w:rsidR="006B29A9" w:rsidRDefault="006B29A9" w:rsidP="006B29A9">
      <w:pPr>
        <w:jc w:val="center"/>
        <w:rPr>
          <w:rFonts w:ascii="Century Gothic" w:hAnsi="Century Gothic" w:cs="Tahoma"/>
          <w:bCs/>
          <w:lang w:val="es-CO"/>
        </w:rPr>
      </w:pPr>
      <w:r>
        <w:rPr>
          <w:noProof/>
          <w:lang w:val="es-CO" w:eastAsia="es-CO"/>
        </w:rPr>
        <w:drawing>
          <wp:inline distT="0" distB="0" distL="0" distR="0" wp14:anchorId="239CBDEA" wp14:editId="11E15EDD">
            <wp:extent cx="5759300" cy="17145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3780" t="40786" r="26961" b="33233"/>
                    <a:stretch/>
                  </pic:blipFill>
                  <pic:spPr bwMode="auto">
                    <a:xfrm>
                      <a:off x="0" y="0"/>
                      <a:ext cx="5777167" cy="1719819"/>
                    </a:xfrm>
                    <a:prstGeom prst="rect">
                      <a:avLst/>
                    </a:prstGeom>
                    <a:ln>
                      <a:noFill/>
                    </a:ln>
                    <a:extLst>
                      <a:ext uri="{53640926-AAD7-44D8-BBD7-CCE9431645EC}">
                        <a14:shadowObscured xmlns:a14="http://schemas.microsoft.com/office/drawing/2010/main"/>
                      </a:ext>
                    </a:extLst>
                  </pic:spPr>
                </pic:pic>
              </a:graphicData>
            </a:graphic>
          </wp:inline>
        </w:drawing>
      </w:r>
    </w:p>
    <w:p w14:paraId="5D7F2017" w14:textId="77777777" w:rsidR="006B29A9" w:rsidRPr="009A1E1B" w:rsidRDefault="006B29A9" w:rsidP="006B29A9">
      <w:pPr>
        <w:jc w:val="center"/>
        <w:rPr>
          <w:rFonts w:ascii="Century Gothic" w:hAnsi="Century Gothic" w:cs="Tahoma"/>
          <w:bCs/>
          <w:lang w:val="es-CO"/>
        </w:rPr>
      </w:pPr>
      <w:r>
        <w:rPr>
          <w:noProof/>
          <w:lang w:val="es-CO" w:eastAsia="es-CO"/>
        </w:rPr>
        <w:drawing>
          <wp:inline distT="0" distB="0" distL="0" distR="0" wp14:anchorId="4846E4E0" wp14:editId="68D45D68">
            <wp:extent cx="5724525" cy="661750"/>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3780" t="36858" r="27131" b="54078"/>
                    <a:stretch/>
                  </pic:blipFill>
                  <pic:spPr bwMode="auto">
                    <a:xfrm>
                      <a:off x="0" y="0"/>
                      <a:ext cx="5893961" cy="681337"/>
                    </a:xfrm>
                    <a:prstGeom prst="rect">
                      <a:avLst/>
                    </a:prstGeom>
                    <a:ln>
                      <a:noFill/>
                    </a:ln>
                    <a:extLst>
                      <a:ext uri="{53640926-AAD7-44D8-BBD7-CCE9431645EC}">
                        <a14:shadowObscured xmlns:a14="http://schemas.microsoft.com/office/drawing/2010/main"/>
                      </a:ext>
                    </a:extLst>
                  </pic:spPr>
                </pic:pic>
              </a:graphicData>
            </a:graphic>
          </wp:inline>
        </w:drawing>
      </w:r>
    </w:p>
    <w:p w14:paraId="70FEF1D0" w14:textId="77777777" w:rsidR="009A1E1B" w:rsidRPr="009A1E1B" w:rsidRDefault="009A1E1B" w:rsidP="009A1E1B">
      <w:pPr>
        <w:jc w:val="both"/>
        <w:rPr>
          <w:rFonts w:ascii="Century Gothic" w:hAnsi="Century Gothic" w:cs="Tahoma"/>
          <w:b/>
          <w:bCs/>
          <w:lang w:val="es-CO"/>
        </w:rPr>
      </w:pPr>
    </w:p>
    <w:p w14:paraId="7F8FB923" w14:textId="7CC30769" w:rsidR="009A1E1B" w:rsidRPr="009A1E1B" w:rsidRDefault="009A1E1B" w:rsidP="009A1E1B">
      <w:pPr>
        <w:jc w:val="both"/>
        <w:rPr>
          <w:rFonts w:ascii="Century Gothic" w:hAnsi="Century Gothic" w:cs="Tahoma"/>
          <w:b/>
          <w:bCs/>
          <w:lang w:val="es-CO"/>
        </w:rPr>
      </w:pPr>
      <w:r w:rsidRPr="009A1E1B">
        <w:rPr>
          <w:rFonts w:ascii="Century Gothic" w:hAnsi="Century Gothic" w:cs="Tahoma"/>
          <w:b/>
          <w:bCs/>
          <w:lang w:val="es-CO"/>
        </w:rPr>
        <w:t xml:space="preserve">DÉCIMO </w:t>
      </w:r>
      <w:r w:rsidR="00D95924">
        <w:rPr>
          <w:rFonts w:ascii="Century Gothic" w:hAnsi="Century Gothic" w:cs="Tahoma"/>
          <w:b/>
          <w:bCs/>
          <w:lang w:val="es-CO"/>
        </w:rPr>
        <w:t>NOVENO</w:t>
      </w:r>
      <w:r w:rsidRPr="009A1E1B">
        <w:rPr>
          <w:rFonts w:ascii="Century Gothic" w:hAnsi="Century Gothic" w:cs="Tahoma"/>
          <w:b/>
          <w:bCs/>
          <w:lang w:val="es-CO"/>
        </w:rPr>
        <w:t xml:space="preserve">: </w:t>
      </w:r>
      <w:r w:rsidR="0008297E">
        <w:rPr>
          <w:rFonts w:ascii="Century Gothic" w:hAnsi="Century Gothic" w:cs="Tahoma"/>
          <w:lang w:val="es-CO"/>
        </w:rPr>
        <w:t xml:space="preserve">Que el día 28 de octubre de 2019, mediante documento con radicado No. 2019-03-016236, el señor RODRIGUEZ GANTIVA, presentó ante la </w:t>
      </w:r>
      <w:proofErr w:type="spellStart"/>
      <w:r w:rsidR="0008297E">
        <w:rPr>
          <w:rFonts w:ascii="Century Gothic" w:hAnsi="Century Gothic" w:cs="Tahoma"/>
          <w:lang w:val="es-CO"/>
        </w:rPr>
        <w:t>Supersociedades</w:t>
      </w:r>
      <w:proofErr w:type="spellEnd"/>
      <w:r w:rsidR="0008297E">
        <w:rPr>
          <w:rFonts w:ascii="Century Gothic" w:hAnsi="Century Gothic" w:cs="Tahoma"/>
          <w:lang w:val="es-CO"/>
        </w:rPr>
        <w:t xml:space="preserve"> informe de denuncia penal por inexactitud de estados financieros y falsedad en balances del 16 de octubre del mismo año, para que se establezca la responsabilidad y personas que hayan actuado en detrimento de la sociedad MULTIPOLIMEROS S.A.S., conforme a lo expuesto en el hech</w:t>
      </w:r>
      <w:r w:rsidR="00825D69">
        <w:rPr>
          <w:rFonts w:ascii="Century Gothic" w:hAnsi="Century Gothic" w:cs="Tahoma"/>
          <w:lang w:val="es-CO"/>
        </w:rPr>
        <w:t xml:space="preserve">o décimo </w:t>
      </w:r>
      <w:r w:rsidR="002A0CAC">
        <w:rPr>
          <w:rFonts w:ascii="Century Gothic" w:hAnsi="Century Gothic" w:cs="Tahoma"/>
          <w:lang w:val="es-CO"/>
        </w:rPr>
        <w:t>sexto</w:t>
      </w:r>
      <w:r w:rsidR="00825D69">
        <w:rPr>
          <w:rFonts w:ascii="Century Gothic" w:hAnsi="Century Gothic" w:cs="Tahoma"/>
          <w:lang w:val="es-CO"/>
        </w:rPr>
        <w:t xml:space="preserve"> de esta demanda</w:t>
      </w:r>
      <w:r w:rsidR="0008297E">
        <w:rPr>
          <w:rFonts w:ascii="Century Gothic" w:hAnsi="Century Gothic" w:cs="Tahoma"/>
          <w:lang w:val="es-CO"/>
        </w:rPr>
        <w:t>.</w:t>
      </w:r>
    </w:p>
    <w:p w14:paraId="47BE683A" w14:textId="77777777" w:rsidR="009A1E1B" w:rsidRPr="009A1E1B" w:rsidRDefault="009A1E1B" w:rsidP="009A1E1B">
      <w:pPr>
        <w:jc w:val="both"/>
        <w:rPr>
          <w:rFonts w:ascii="Century Gothic" w:hAnsi="Century Gothic" w:cs="Tahoma"/>
          <w:b/>
          <w:bCs/>
          <w:lang w:val="es-CO"/>
        </w:rPr>
      </w:pPr>
    </w:p>
    <w:p w14:paraId="6EB1644A" w14:textId="71E997EF" w:rsidR="009A1E1B" w:rsidRPr="009A1E1B" w:rsidRDefault="00D95924" w:rsidP="009A1E1B">
      <w:pPr>
        <w:jc w:val="both"/>
        <w:rPr>
          <w:rFonts w:ascii="Century Gothic" w:hAnsi="Century Gothic" w:cs="Tahoma"/>
          <w:lang w:val="es-CO"/>
        </w:rPr>
      </w:pPr>
      <w:r>
        <w:rPr>
          <w:rFonts w:ascii="Century Gothic" w:hAnsi="Century Gothic" w:cs="Tahoma"/>
          <w:b/>
          <w:bCs/>
          <w:lang w:val="es-CO"/>
        </w:rPr>
        <w:t>VIGÉSIMO</w:t>
      </w:r>
      <w:r w:rsidR="009A1E1B" w:rsidRPr="009A1E1B">
        <w:rPr>
          <w:rFonts w:ascii="Century Gothic" w:hAnsi="Century Gothic" w:cs="Tahoma"/>
          <w:b/>
          <w:bCs/>
          <w:lang w:val="es-CO"/>
        </w:rPr>
        <w:t xml:space="preserve">: </w:t>
      </w:r>
      <w:r w:rsidR="0008297E">
        <w:rPr>
          <w:rFonts w:ascii="Century Gothic" w:hAnsi="Century Gothic" w:cs="Tahoma"/>
          <w:bCs/>
          <w:lang w:val="es-CO"/>
        </w:rPr>
        <w:t xml:space="preserve">Que el día 15 de noviembre de 2019, mediante documento con radicado No. 2019-03-017120, mi representado informó a la </w:t>
      </w:r>
      <w:proofErr w:type="spellStart"/>
      <w:r w:rsidR="0008297E">
        <w:rPr>
          <w:rFonts w:ascii="Century Gothic" w:hAnsi="Century Gothic" w:cs="Tahoma"/>
          <w:bCs/>
          <w:lang w:val="es-CO"/>
        </w:rPr>
        <w:t>Supersociedades</w:t>
      </w:r>
      <w:proofErr w:type="spellEnd"/>
      <w:r w:rsidR="0008297E">
        <w:rPr>
          <w:rFonts w:ascii="Century Gothic" w:hAnsi="Century Gothic" w:cs="Tahoma"/>
          <w:bCs/>
          <w:lang w:val="es-CO"/>
        </w:rPr>
        <w:t xml:space="preserve"> de nuevas conductas dolosas atribuidas al exrepresentante legal de MULTIPOLIMEROS S.A.S., las cuales se concretan: 1.- Convocatoria a asamblea extraordinaria de accionistas; 2.- Otorgamiento de poder especial a la Dra. ADRIANA BEATRIZ AGUIRRE para representar los intereses de MULTIPOLIMEROS dentro de proceso laboral ordinario; 3.- Pérdida de contabilidad y orden judicial para la reconstrucción de la misma por parte del liquidador; y 4.- Pérdida de activos de la compañía MULTIPOLIMEROS S.A.S.</w:t>
      </w:r>
      <w:r w:rsidR="00D341B1">
        <w:rPr>
          <w:rFonts w:ascii="Century Gothic" w:hAnsi="Century Gothic" w:cs="Tahoma"/>
          <w:bCs/>
          <w:lang w:val="es-CO"/>
        </w:rPr>
        <w:t>,</w:t>
      </w:r>
      <w:r w:rsidR="0008297E">
        <w:rPr>
          <w:rFonts w:ascii="Century Gothic" w:hAnsi="Century Gothic" w:cs="Tahoma"/>
          <w:bCs/>
          <w:lang w:val="es-CO"/>
        </w:rPr>
        <w:t xml:space="preserve"> tales como la maquinaria especializada para la ejecución de sus funciones; </w:t>
      </w:r>
      <w:r w:rsidR="009D22C1">
        <w:rPr>
          <w:rFonts w:ascii="Century Gothic" w:hAnsi="Century Gothic" w:cs="Tahoma"/>
          <w:bCs/>
          <w:lang w:val="es-CO"/>
        </w:rPr>
        <w:t>actuaciones que el señor José Luis Hoyos, llevó acabo sin estar envestido de las facultades de representante</w:t>
      </w:r>
      <w:r w:rsidR="008B7105">
        <w:rPr>
          <w:rFonts w:ascii="Century Gothic" w:hAnsi="Century Gothic" w:cs="Tahoma"/>
          <w:bCs/>
          <w:lang w:val="es-CO"/>
        </w:rPr>
        <w:t xml:space="preserve"> legal de la sociedad en liquidación.</w:t>
      </w:r>
    </w:p>
    <w:p w14:paraId="26616851" w14:textId="77777777" w:rsidR="009A1E1B" w:rsidRPr="009A1E1B" w:rsidRDefault="009A1E1B" w:rsidP="009A1E1B">
      <w:pPr>
        <w:jc w:val="both"/>
        <w:rPr>
          <w:rFonts w:ascii="Century Gothic" w:hAnsi="Century Gothic" w:cs="Tahoma"/>
          <w:bCs/>
          <w:lang w:val="es-CO"/>
        </w:rPr>
      </w:pPr>
    </w:p>
    <w:p w14:paraId="01EBA19A" w14:textId="3837B4A3" w:rsidR="009A1E1B" w:rsidRPr="009A1E1B" w:rsidRDefault="009A1E1B" w:rsidP="009A1E1B">
      <w:pPr>
        <w:jc w:val="both"/>
        <w:rPr>
          <w:rFonts w:ascii="Century Gothic" w:hAnsi="Century Gothic" w:cs="Tahoma"/>
          <w:lang w:val="es-CO"/>
        </w:rPr>
      </w:pPr>
      <w:r w:rsidRPr="009A1E1B">
        <w:rPr>
          <w:rFonts w:ascii="Century Gothic" w:hAnsi="Century Gothic" w:cs="Tahoma"/>
          <w:b/>
          <w:lang w:val="es-CO"/>
        </w:rPr>
        <w:t>VIGÉSIMO</w:t>
      </w:r>
      <w:r w:rsidR="00D95924">
        <w:rPr>
          <w:rFonts w:ascii="Century Gothic" w:hAnsi="Century Gothic" w:cs="Tahoma"/>
          <w:b/>
          <w:lang w:val="es-CO"/>
        </w:rPr>
        <w:t xml:space="preserve"> PRIMERO</w:t>
      </w:r>
      <w:r w:rsidRPr="009A1E1B">
        <w:rPr>
          <w:rFonts w:ascii="Century Gothic" w:hAnsi="Century Gothic" w:cs="Tahoma"/>
          <w:b/>
          <w:lang w:val="es-CO"/>
        </w:rPr>
        <w:t xml:space="preserve">: </w:t>
      </w:r>
      <w:r w:rsidR="008B7105">
        <w:rPr>
          <w:rFonts w:ascii="Century Gothic" w:hAnsi="Century Gothic" w:cs="Tahoma"/>
          <w:lang w:val="es-CO"/>
        </w:rPr>
        <w:t xml:space="preserve">Que el día 26 de noviembre de 2019, por documento con radicado No. 2019-03-017496, </w:t>
      </w:r>
      <w:r w:rsidR="001827BA">
        <w:rPr>
          <w:rFonts w:ascii="Century Gothic" w:hAnsi="Century Gothic" w:cs="Tahoma"/>
          <w:lang w:val="es-CO"/>
        </w:rPr>
        <w:t xml:space="preserve">se </w:t>
      </w:r>
      <w:r w:rsidR="008B7105">
        <w:rPr>
          <w:rFonts w:ascii="Century Gothic" w:hAnsi="Century Gothic" w:cs="Tahoma"/>
          <w:lang w:val="es-CO"/>
        </w:rPr>
        <w:t xml:space="preserve">remitió ante la </w:t>
      </w:r>
      <w:proofErr w:type="spellStart"/>
      <w:r w:rsidR="008B7105">
        <w:rPr>
          <w:rFonts w:ascii="Century Gothic" w:hAnsi="Century Gothic" w:cs="Tahoma"/>
          <w:lang w:val="es-CO"/>
        </w:rPr>
        <w:t>Supersociedades</w:t>
      </w:r>
      <w:proofErr w:type="spellEnd"/>
      <w:r w:rsidR="008B7105">
        <w:rPr>
          <w:rFonts w:ascii="Century Gothic" w:hAnsi="Century Gothic" w:cs="Tahoma"/>
          <w:lang w:val="es-CO"/>
        </w:rPr>
        <w:t xml:space="preserve"> memorial de consideraciones sobre incumplimientos de las obligaciones </w:t>
      </w:r>
      <w:r w:rsidR="00E65388">
        <w:rPr>
          <w:rFonts w:ascii="Century Gothic" w:hAnsi="Century Gothic" w:cs="Tahoma"/>
          <w:lang w:val="es-CO"/>
        </w:rPr>
        <w:t>e</w:t>
      </w:r>
      <w:r w:rsidR="008B7105">
        <w:rPr>
          <w:rFonts w:ascii="Century Gothic" w:hAnsi="Century Gothic" w:cs="Tahoma"/>
          <w:lang w:val="es-CO"/>
        </w:rPr>
        <w:t xml:space="preserve">ndilgadas al liquidador ADOLFO RODRIGUEZ GANTIVA, relativas a: 1.- Incumplimientos de la obligación de presentar estados financieros; 2.- Ausencia de reportes de retiro de personal; 3.- </w:t>
      </w:r>
      <w:r w:rsidR="00EF54CA">
        <w:rPr>
          <w:rFonts w:ascii="Century Gothic" w:hAnsi="Century Gothic" w:cs="Tahoma"/>
          <w:lang w:val="es-CO"/>
        </w:rPr>
        <w:t xml:space="preserve">Ausencia de gestiones tendientes a contemplar la existencia de devoluciones que </w:t>
      </w:r>
      <w:r w:rsidR="00E65388">
        <w:rPr>
          <w:rFonts w:ascii="Century Gothic" w:hAnsi="Century Gothic" w:cs="Tahoma"/>
          <w:lang w:val="es-CO"/>
        </w:rPr>
        <w:t>acrecienten</w:t>
      </w:r>
      <w:r w:rsidR="00EF54CA">
        <w:rPr>
          <w:rFonts w:ascii="Century Gothic" w:hAnsi="Century Gothic" w:cs="Tahoma"/>
          <w:lang w:val="es-CO"/>
        </w:rPr>
        <w:t xml:space="preserve"> los activos de la sociedad; 4.- Falta de cuidado y administración diligente de los bienes recibidos para cumplir su encargo, por no prevenir el deterioro o la pérdida de los activos como ocurrió con los hurtos presentados en las bodegas de MULTIPOLIMEROS S.A.S.; 5.- Inexistencia de denuncia por destrucción de contabilidad y ausencia de reconstrucción de la misma; 6.- Ausencia de proyecto de calificación y graduación de créditos; 7.- Omisión de ejercicio de acción de compra de inmueble con FMI 378-766; Razones por las que se solicitó tomar medidas disciplinarias sobre el señor RODRIGUEZ GANTIVA.</w:t>
      </w:r>
    </w:p>
    <w:p w14:paraId="47A350EF" w14:textId="77777777" w:rsidR="009A1E1B" w:rsidRPr="009A1E1B" w:rsidRDefault="009A1E1B" w:rsidP="009A1E1B">
      <w:pPr>
        <w:jc w:val="both"/>
        <w:rPr>
          <w:rFonts w:ascii="Century Gothic" w:hAnsi="Century Gothic" w:cs="Tahoma"/>
          <w:lang w:val="es-CO"/>
        </w:rPr>
      </w:pPr>
    </w:p>
    <w:p w14:paraId="5F64BF4F" w14:textId="03EC3E4B" w:rsidR="009A1E1B" w:rsidRPr="009A1E1B" w:rsidRDefault="009A1E1B" w:rsidP="009A1E1B">
      <w:pPr>
        <w:jc w:val="both"/>
        <w:rPr>
          <w:rFonts w:ascii="Century Gothic" w:hAnsi="Century Gothic" w:cs="Tahoma"/>
          <w:lang w:val="es-CO"/>
        </w:rPr>
      </w:pPr>
      <w:r w:rsidRPr="009A1E1B">
        <w:rPr>
          <w:rFonts w:ascii="Century Gothic" w:hAnsi="Century Gothic" w:cs="Tahoma"/>
          <w:b/>
          <w:lang w:val="es-CO"/>
        </w:rPr>
        <w:t xml:space="preserve">VIGÉSIMO </w:t>
      </w:r>
      <w:r w:rsidR="00D95924">
        <w:rPr>
          <w:rFonts w:ascii="Century Gothic" w:hAnsi="Century Gothic" w:cs="Tahoma"/>
          <w:b/>
          <w:lang w:val="es-CO"/>
        </w:rPr>
        <w:t>SEGUNDO</w:t>
      </w:r>
      <w:r w:rsidRPr="009A1E1B">
        <w:rPr>
          <w:rFonts w:ascii="Century Gothic" w:hAnsi="Century Gothic" w:cs="Tahoma"/>
          <w:b/>
          <w:lang w:val="es-CO"/>
        </w:rPr>
        <w:t xml:space="preserve">: </w:t>
      </w:r>
      <w:r w:rsidR="00BB5F6E">
        <w:rPr>
          <w:rFonts w:ascii="Century Gothic" w:hAnsi="Century Gothic" w:cs="Tahoma"/>
          <w:lang w:val="es-CO"/>
        </w:rPr>
        <w:t xml:space="preserve">Que el día 31 de diciembre de 2019, por documento con radicado No. 2019-03-018841, el señor José Luis Hoyos Valderrama, se pronunció sobre las conductas dolosas que puso en conocimiento de la </w:t>
      </w:r>
      <w:proofErr w:type="spellStart"/>
      <w:r w:rsidR="00BB5F6E">
        <w:rPr>
          <w:rFonts w:ascii="Century Gothic" w:hAnsi="Century Gothic" w:cs="Tahoma"/>
          <w:lang w:val="es-CO"/>
        </w:rPr>
        <w:t>Supersociedades</w:t>
      </w:r>
      <w:proofErr w:type="spellEnd"/>
      <w:r w:rsidR="00BB5F6E">
        <w:rPr>
          <w:rFonts w:ascii="Century Gothic" w:hAnsi="Century Gothic" w:cs="Tahoma"/>
          <w:lang w:val="es-CO"/>
        </w:rPr>
        <w:t xml:space="preserve"> mi mandante conforme se narró en el hecho </w:t>
      </w:r>
      <w:r w:rsidR="00D341B1">
        <w:rPr>
          <w:rFonts w:ascii="Century Gothic" w:hAnsi="Century Gothic" w:cs="Tahoma"/>
          <w:lang w:val="es-CO"/>
        </w:rPr>
        <w:t>vigésimo</w:t>
      </w:r>
      <w:r w:rsidR="00BB5F6E">
        <w:rPr>
          <w:rFonts w:ascii="Century Gothic" w:hAnsi="Century Gothic" w:cs="Tahoma"/>
          <w:lang w:val="es-CO"/>
        </w:rPr>
        <w:t>, conductas que fueron negadas.</w:t>
      </w:r>
    </w:p>
    <w:p w14:paraId="370C2C6A" w14:textId="77777777" w:rsidR="009A1E1B" w:rsidRPr="009A1E1B" w:rsidRDefault="009A1E1B" w:rsidP="009A1E1B">
      <w:pPr>
        <w:jc w:val="both"/>
        <w:rPr>
          <w:rFonts w:ascii="Century Gothic" w:hAnsi="Century Gothic" w:cs="Tahoma"/>
          <w:lang w:val="es-CO"/>
        </w:rPr>
      </w:pPr>
    </w:p>
    <w:p w14:paraId="6910BBDE" w14:textId="2560A5A9" w:rsidR="00EA371B" w:rsidRPr="00EA371B" w:rsidRDefault="009A1E1B" w:rsidP="009A1E1B">
      <w:pPr>
        <w:jc w:val="both"/>
        <w:rPr>
          <w:rFonts w:ascii="Century Gothic" w:hAnsi="Century Gothic" w:cs="Tahoma"/>
          <w:lang w:val="es-CO"/>
        </w:rPr>
      </w:pPr>
      <w:r w:rsidRPr="009A1E1B">
        <w:rPr>
          <w:rFonts w:ascii="Century Gothic" w:hAnsi="Century Gothic" w:cs="Tahoma"/>
          <w:b/>
          <w:lang w:val="es-CO"/>
        </w:rPr>
        <w:lastRenderedPageBreak/>
        <w:t xml:space="preserve">VIGÉSIMO </w:t>
      </w:r>
      <w:r w:rsidR="00D95924">
        <w:rPr>
          <w:rFonts w:ascii="Century Gothic" w:hAnsi="Century Gothic" w:cs="Tahoma"/>
          <w:b/>
          <w:lang w:val="es-CO"/>
        </w:rPr>
        <w:t>TERCERO</w:t>
      </w:r>
      <w:r w:rsidRPr="009A1E1B">
        <w:rPr>
          <w:rFonts w:ascii="Century Gothic" w:hAnsi="Century Gothic" w:cs="Tahoma"/>
          <w:b/>
          <w:lang w:val="es-CO"/>
        </w:rPr>
        <w:t xml:space="preserve">: </w:t>
      </w:r>
      <w:r w:rsidR="00EA371B">
        <w:rPr>
          <w:rFonts w:ascii="Century Gothic" w:hAnsi="Century Gothic" w:cs="Tahoma"/>
          <w:lang w:val="es-CO"/>
        </w:rPr>
        <w:t xml:space="preserve">Que el día 5 de marzo de 2020, el señor RODRIGUEZ GANTIVA, presentó mediante documento con radicado No. 2020-03-002958, avalúo de bienes muebles de la sociedad MULTIPOLIMEROS S.A.S., donde los </w:t>
      </w:r>
      <w:r w:rsidR="00F6102E">
        <w:rPr>
          <w:rFonts w:ascii="Century Gothic" w:hAnsi="Century Gothic" w:cs="Tahoma"/>
          <w:lang w:val="es-CO"/>
        </w:rPr>
        <w:t>mismos</w:t>
      </w:r>
      <w:r w:rsidR="00EA371B">
        <w:rPr>
          <w:rFonts w:ascii="Century Gothic" w:hAnsi="Century Gothic" w:cs="Tahoma"/>
          <w:lang w:val="es-CO"/>
        </w:rPr>
        <w:t xml:space="preserve"> se avaluaron en $500.203.713 M/Cte.</w:t>
      </w:r>
    </w:p>
    <w:p w14:paraId="420419ED" w14:textId="77777777" w:rsidR="00EA371B" w:rsidRDefault="00EA371B" w:rsidP="009A1E1B">
      <w:pPr>
        <w:jc w:val="both"/>
        <w:rPr>
          <w:rFonts w:ascii="Century Gothic" w:hAnsi="Century Gothic" w:cs="Tahoma"/>
          <w:b/>
          <w:lang w:val="es-CO"/>
        </w:rPr>
      </w:pPr>
    </w:p>
    <w:p w14:paraId="3263709D" w14:textId="6B2D50D4" w:rsidR="009A1E1B" w:rsidRDefault="00EA371B" w:rsidP="009A1E1B">
      <w:pPr>
        <w:jc w:val="both"/>
        <w:rPr>
          <w:rFonts w:ascii="Century Gothic" w:hAnsi="Century Gothic" w:cs="Tahoma"/>
          <w:lang w:val="es-CO"/>
        </w:rPr>
      </w:pPr>
      <w:r>
        <w:rPr>
          <w:rFonts w:ascii="Century Gothic" w:hAnsi="Century Gothic" w:cs="Tahoma"/>
          <w:b/>
          <w:lang w:val="es-CO"/>
        </w:rPr>
        <w:t xml:space="preserve">VIGÉSIMO </w:t>
      </w:r>
      <w:r w:rsidR="00D95924">
        <w:rPr>
          <w:rFonts w:ascii="Century Gothic" w:hAnsi="Century Gothic" w:cs="Tahoma"/>
          <w:b/>
          <w:lang w:val="es-CO"/>
        </w:rPr>
        <w:t>CUARTO</w:t>
      </w:r>
      <w:r>
        <w:rPr>
          <w:rFonts w:ascii="Century Gothic" w:hAnsi="Century Gothic" w:cs="Tahoma"/>
          <w:b/>
          <w:lang w:val="es-CO"/>
        </w:rPr>
        <w:t xml:space="preserve">: </w:t>
      </w:r>
      <w:r w:rsidR="00A07A3B">
        <w:rPr>
          <w:rFonts w:ascii="Century Gothic" w:hAnsi="Century Gothic" w:cs="Tahoma"/>
          <w:lang w:val="es-CO"/>
        </w:rPr>
        <w:t xml:space="preserve">Que el señor RODRIGUEZ GANTIVA, </w:t>
      </w:r>
      <w:r w:rsidR="00DD6BF2">
        <w:rPr>
          <w:rFonts w:ascii="Century Gothic" w:hAnsi="Century Gothic" w:cs="Tahoma"/>
          <w:lang w:val="es-CO"/>
        </w:rPr>
        <w:t xml:space="preserve">mediante radicados 2020-01-117823 y 2020-01-117825, </w:t>
      </w:r>
      <w:r w:rsidR="00A07A3B">
        <w:rPr>
          <w:rFonts w:ascii="Century Gothic" w:hAnsi="Century Gothic" w:cs="Tahoma"/>
          <w:lang w:val="es-CO"/>
        </w:rPr>
        <w:t>presentó notas a los estados financieros al 31 de diciembre de 2019, acompañada de certificación del 31 de marzo de 2020, donde se hace constar que los módulos de contabilidad y activos fijos presentan cifras muy diferentes, como se cita:</w:t>
      </w:r>
    </w:p>
    <w:p w14:paraId="2BE416DF" w14:textId="77777777" w:rsidR="00A07A3B" w:rsidRDefault="00A07A3B" w:rsidP="009A1E1B">
      <w:pPr>
        <w:jc w:val="both"/>
        <w:rPr>
          <w:rFonts w:ascii="Century Gothic" w:hAnsi="Century Gothic" w:cs="Tahoma"/>
          <w:lang w:val="es-CO"/>
        </w:rPr>
      </w:pPr>
    </w:p>
    <w:p w14:paraId="684E28B3" w14:textId="77777777" w:rsidR="00A07A3B" w:rsidRDefault="00A07A3B" w:rsidP="00A07A3B">
      <w:pPr>
        <w:jc w:val="center"/>
        <w:rPr>
          <w:rFonts w:ascii="Century Gothic" w:hAnsi="Century Gothic" w:cs="Tahoma"/>
          <w:lang w:val="es-CO"/>
        </w:rPr>
      </w:pPr>
      <w:r>
        <w:rPr>
          <w:noProof/>
          <w:lang w:val="es-CO" w:eastAsia="es-CO"/>
        </w:rPr>
        <w:drawing>
          <wp:inline distT="0" distB="0" distL="0" distR="0" wp14:anchorId="1174CB49" wp14:editId="7EE8590C">
            <wp:extent cx="5067300" cy="31432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22761" t="29003" r="29169" b="21752"/>
                    <a:stretch/>
                  </pic:blipFill>
                  <pic:spPr bwMode="auto">
                    <a:xfrm>
                      <a:off x="0" y="0"/>
                      <a:ext cx="5104070" cy="3166058"/>
                    </a:xfrm>
                    <a:prstGeom prst="rect">
                      <a:avLst/>
                    </a:prstGeom>
                    <a:ln>
                      <a:noFill/>
                    </a:ln>
                    <a:extLst>
                      <a:ext uri="{53640926-AAD7-44D8-BBD7-CCE9431645EC}">
                        <a14:shadowObscured xmlns:a14="http://schemas.microsoft.com/office/drawing/2010/main"/>
                      </a:ext>
                    </a:extLst>
                  </pic:spPr>
                </pic:pic>
              </a:graphicData>
            </a:graphic>
          </wp:inline>
        </w:drawing>
      </w:r>
    </w:p>
    <w:p w14:paraId="197C4401" w14:textId="77777777" w:rsidR="00A871C1" w:rsidRDefault="00A871C1" w:rsidP="00A07A3B">
      <w:pPr>
        <w:jc w:val="center"/>
        <w:rPr>
          <w:rFonts w:ascii="Century Gothic" w:hAnsi="Century Gothic" w:cs="Tahoma"/>
          <w:lang w:val="es-CO"/>
        </w:rPr>
      </w:pPr>
    </w:p>
    <w:p w14:paraId="4F49A032" w14:textId="77777777" w:rsidR="00A871C1" w:rsidRDefault="00A871C1" w:rsidP="00A871C1">
      <w:pPr>
        <w:jc w:val="both"/>
        <w:rPr>
          <w:rFonts w:ascii="Century Gothic" w:hAnsi="Century Gothic" w:cs="Tahoma"/>
          <w:lang w:val="es-CO"/>
        </w:rPr>
      </w:pPr>
      <w:r>
        <w:rPr>
          <w:rFonts w:ascii="Century Gothic" w:hAnsi="Century Gothic" w:cs="Tahoma"/>
          <w:lang w:val="es-CO"/>
        </w:rPr>
        <w:t>Por su lado, en la nota 3 de las notas a los estados financieros sobre el ítem de propiedad, planta y equipo se informa:</w:t>
      </w:r>
    </w:p>
    <w:p w14:paraId="56938317" w14:textId="77777777" w:rsidR="00A871C1" w:rsidRDefault="00A871C1" w:rsidP="00A871C1">
      <w:pPr>
        <w:jc w:val="both"/>
        <w:rPr>
          <w:rFonts w:ascii="Century Gothic" w:hAnsi="Century Gothic" w:cs="Tahoma"/>
          <w:lang w:val="es-CO"/>
        </w:rPr>
      </w:pPr>
    </w:p>
    <w:p w14:paraId="7418FCE4" w14:textId="77777777" w:rsidR="00A871C1" w:rsidRDefault="00A871C1" w:rsidP="00A871C1">
      <w:pPr>
        <w:jc w:val="center"/>
        <w:rPr>
          <w:rFonts w:ascii="Century Gothic" w:hAnsi="Century Gothic" w:cs="Tahoma"/>
          <w:lang w:val="es-CO"/>
        </w:rPr>
      </w:pPr>
      <w:r>
        <w:rPr>
          <w:noProof/>
          <w:lang w:val="es-CO" w:eastAsia="es-CO"/>
        </w:rPr>
        <w:drawing>
          <wp:inline distT="0" distB="0" distL="0" distR="0" wp14:anchorId="57C74B3B" wp14:editId="0556A925">
            <wp:extent cx="4655975" cy="29146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8197" t="30211" r="40889" b="30514"/>
                    <a:stretch/>
                  </pic:blipFill>
                  <pic:spPr bwMode="auto">
                    <a:xfrm>
                      <a:off x="0" y="0"/>
                      <a:ext cx="4671055" cy="2924090"/>
                    </a:xfrm>
                    <a:prstGeom prst="rect">
                      <a:avLst/>
                    </a:prstGeom>
                    <a:ln>
                      <a:noFill/>
                    </a:ln>
                    <a:extLst>
                      <a:ext uri="{53640926-AAD7-44D8-BBD7-CCE9431645EC}">
                        <a14:shadowObscured xmlns:a14="http://schemas.microsoft.com/office/drawing/2010/main"/>
                      </a:ext>
                    </a:extLst>
                  </pic:spPr>
                </pic:pic>
              </a:graphicData>
            </a:graphic>
          </wp:inline>
        </w:drawing>
      </w:r>
    </w:p>
    <w:p w14:paraId="7DAABA79" w14:textId="77777777" w:rsidR="00A07A3B" w:rsidRDefault="00A07A3B" w:rsidP="00A07A3B">
      <w:pPr>
        <w:jc w:val="center"/>
        <w:rPr>
          <w:rFonts w:ascii="Century Gothic" w:hAnsi="Century Gothic" w:cs="Tahoma"/>
          <w:lang w:val="es-CO"/>
        </w:rPr>
      </w:pPr>
    </w:p>
    <w:p w14:paraId="19C0B9B5" w14:textId="662CE5DA" w:rsidR="00674765" w:rsidRDefault="00A07A3B" w:rsidP="00A07A3B">
      <w:pPr>
        <w:jc w:val="both"/>
        <w:rPr>
          <w:rFonts w:ascii="Century Gothic" w:hAnsi="Century Gothic" w:cs="Tahoma"/>
          <w:lang w:val="es-CO"/>
        </w:rPr>
      </w:pPr>
      <w:r>
        <w:rPr>
          <w:rFonts w:ascii="Century Gothic" w:hAnsi="Century Gothic" w:cs="Tahoma"/>
          <w:b/>
          <w:lang w:val="es-CO"/>
        </w:rPr>
        <w:t xml:space="preserve">VIGÉSIMO </w:t>
      </w:r>
      <w:r w:rsidR="00D95924">
        <w:rPr>
          <w:rFonts w:ascii="Century Gothic" w:hAnsi="Century Gothic" w:cs="Tahoma"/>
          <w:b/>
          <w:lang w:val="es-CO"/>
        </w:rPr>
        <w:t>QUINTO</w:t>
      </w:r>
      <w:r>
        <w:rPr>
          <w:rFonts w:ascii="Century Gothic" w:hAnsi="Century Gothic" w:cs="Tahoma"/>
          <w:b/>
          <w:lang w:val="es-CO"/>
        </w:rPr>
        <w:t xml:space="preserve">: </w:t>
      </w:r>
      <w:r w:rsidR="00866FF7">
        <w:rPr>
          <w:rFonts w:ascii="Century Gothic" w:hAnsi="Century Gothic" w:cs="Tahoma"/>
          <w:lang w:val="es-CO"/>
        </w:rPr>
        <w:t xml:space="preserve">Que el día 26 de mayo de 2020, mediante Auto No. 2020-01-203753, la </w:t>
      </w:r>
      <w:proofErr w:type="spellStart"/>
      <w:r w:rsidR="00866FF7">
        <w:rPr>
          <w:rFonts w:ascii="Century Gothic" w:hAnsi="Century Gothic" w:cs="Tahoma"/>
          <w:lang w:val="es-CO"/>
        </w:rPr>
        <w:t>Supersociedades</w:t>
      </w:r>
      <w:proofErr w:type="spellEnd"/>
      <w:r w:rsidR="00866FF7">
        <w:rPr>
          <w:rFonts w:ascii="Century Gothic" w:hAnsi="Century Gothic" w:cs="Tahoma"/>
          <w:lang w:val="es-CO"/>
        </w:rPr>
        <w:t xml:space="preserve"> resolvió recurso de reposición elevado por mi representado como fruto de la investigación administrativa iniciada de oficio mediante Resolución No. 2019-03-008221, en contra del señor José Luis Hoyos, la cual fue archivada con Resolución No. 620-000020 del 28 de febrero de 2020, sobre la que se formuló recurso por mi poderdante mediante radicado No. 2020-01-122719 del 2 de abril de 2020, al cual se accedió.</w:t>
      </w:r>
    </w:p>
    <w:p w14:paraId="11A11113" w14:textId="77777777" w:rsidR="00674765" w:rsidRDefault="00674765" w:rsidP="00A07A3B">
      <w:pPr>
        <w:jc w:val="both"/>
        <w:rPr>
          <w:rFonts w:ascii="Century Gothic" w:hAnsi="Century Gothic" w:cs="Tahoma"/>
          <w:lang w:val="es-CO"/>
        </w:rPr>
      </w:pPr>
    </w:p>
    <w:p w14:paraId="6B18C1D8" w14:textId="7666E046" w:rsidR="00674765" w:rsidRDefault="00674765" w:rsidP="00A07A3B">
      <w:pPr>
        <w:jc w:val="both"/>
        <w:rPr>
          <w:rFonts w:ascii="Century Gothic" w:hAnsi="Century Gothic" w:cs="Tahoma"/>
          <w:lang w:val="es-CO"/>
        </w:rPr>
      </w:pPr>
      <w:r>
        <w:rPr>
          <w:rFonts w:ascii="Century Gothic" w:hAnsi="Century Gothic" w:cs="Tahoma"/>
          <w:b/>
          <w:lang w:val="es-CO"/>
        </w:rPr>
        <w:t xml:space="preserve">VIGÉSIMO </w:t>
      </w:r>
      <w:r w:rsidR="00D95924">
        <w:rPr>
          <w:rFonts w:ascii="Century Gothic" w:hAnsi="Century Gothic" w:cs="Tahoma"/>
          <w:b/>
          <w:lang w:val="es-CO"/>
        </w:rPr>
        <w:t>SEXTO</w:t>
      </w:r>
      <w:r>
        <w:rPr>
          <w:rFonts w:ascii="Century Gothic" w:hAnsi="Century Gothic" w:cs="Tahoma"/>
          <w:b/>
          <w:lang w:val="es-CO"/>
        </w:rPr>
        <w:t xml:space="preserve">: </w:t>
      </w:r>
      <w:r>
        <w:rPr>
          <w:rFonts w:ascii="Century Gothic" w:hAnsi="Century Gothic" w:cs="Tahoma"/>
          <w:lang w:val="es-CO"/>
        </w:rPr>
        <w:t xml:space="preserve">Que mediante radicado No. 2020-01-217046, el señor RODRIGUEZ GANTIVA, presentó notas a los estados financieros al 30 de abril de 2020, así como certificación con radicado 2020-01-217090, siendo que en la nota 3, en propiedad planta y equipo se informa: </w:t>
      </w:r>
    </w:p>
    <w:p w14:paraId="2FD1614C" w14:textId="77777777" w:rsidR="00674765" w:rsidRDefault="00674765" w:rsidP="00A07A3B">
      <w:pPr>
        <w:jc w:val="both"/>
        <w:rPr>
          <w:rFonts w:ascii="Century Gothic" w:hAnsi="Century Gothic" w:cs="Tahoma"/>
          <w:lang w:val="es-CO"/>
        </w:rPr>
      </w:pPr>
    </w:p>
    <w:p w14:paraId="0E8E74C2" w14:textId="77777777" w:rsidR="00A07A3B" w:rsidRPr="00DD6BF2" w:rsidRDefault="00674765" w:rsidP="00674765">
      <w:pPr>
        <w:jc w:val="center"/>
        <w:rPr>
          <w:rFonts w:ascii="Century Gothic" w:hAnsi="Century Gothic" w:cs="Tahoma"/>
          <w:lang w:val="es-CO"/>
        </w:rPr>
      </w:pPr>
      <w:r>
        <w:rPr>
          <w:noProof/>
          <w:lang w:val="es-CO" w:eastAsia="es-CO"/>
        </w:rPr>
        <w:drawing>
          <wp:inline distT="0" distB="0" distL="0" distR="0" wp14:anchorId="2F64C497" wp14:editId="3A8F0725">
            <wp:extent cx="4711165" cy="29241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31254" t="43505" r="42758" b="23565"/>
                    <a:stretch/>
                  </pic:blipFill>
                  <pic:spPr bwMode="auto">
                    <a:xfrm>
                      <a:off x="0" y="0"/>
                      <a:ext cx="4730819" cy="2936374"/>
                    </a:xfrm>
                    <a:prstGeom prst="rect">
                      <a:avLst/>
                    </a:prstGeom>
                    <a:ln>
                      <a:noFill/>
                    </a:ln>
                    <a:extLst>
                      <a:ext uri="{53640926-AAD7-44D8-BBD7-CCE9431645EC}">
                        <a14:shadowObscured xmlns:a14="http://schemas.microsoft.com/office/drawing/2010/main"/>
                      </a:ext>
                    </a:extLst>
                  </pic:spPr>
                </pic:pic>
              </a:graphicData>
            </a:graphic>
          </wp:inline>
        </w:drawing>
      </w:r>
    </w:p>
    <w:p w14:paraId="0A21E948" w14:textId="77777777" w:rsidR="00A07A3B" w:rsidRDefault="00A07A3B" w:rsidP="00A07A3B">
      <w:pPr>
        <w:jc w:val="center"/>
        <w:rPr>
          <w:rFonts w:ascii="Century Gothic" w:hAnsi="Century Gothic" w:cs="Tahoma"/>
          <w:lang w:val="es-CO"/>
        </w:rPr>
      </w:pPr>
    </w:p>
    <w:p w14:paraId="51FF287A" w14:textId="77777777" w:rsidR="00A07A3B" w:rsidRDefault="00674765" w:rsidP="00674765">
      <w:pPr>
        <w:jc w:val="both"/>
        <w:rPr>
          <w:rFonts w:ascii="Century Gothic" w:hAnsi="Century Gothic" w:cs="Tahoma"/>
          <w:lang w:val="es-CO"/>
        </w:rPr>
      </w:pPr>
      <w:r>
        <w:rPr>
          <w:rFonts w:ascii="Century Gothic" w:hAnsi="Century Gothic" w:cs="Tahoma"/>
          <w:lang w:val="es-CO"/>
        </w:rPr>
        <w:t>Mientras que en la aludida certificación del 1 de junio de 2020 se hace constar:</w:t>
      </w:r>
    </w:p>
    <w:p w14:paraId="44C0A870" w14:textId="77777777" w:rsidR="00674765" w:rsidRDefault="00674765" w:rsidP="00674765">
      <w:pPr>
        <w:jc w:val="both"/>
        <w:rPr>
          <w:rFonts w:ascii="Century Gothic" w:hAnsi="Century Gothic" w:cs="Tahoma"/>
          <w:lang w:val="es-CO"/>
        </w:rPr>
      </w:pPr>
    </w:p>
    <w:p w14:paraId="2E0A9B8B" w14:textId="77777777" w:rsidR="00674765" w:rsidRDefault="00674765" w:rsidP="00674765">
      <w:pPr>
        <w:jc w:val="center"/>
        <w:rPr>
          <w:rFonts w:ascii="Century Gothic" w:hAnsi="Century Gothic" w:cs="Tahoma"/>
          <w:lang w:val="es-CO"/>
        </w:rPr>
      </w:pPr>
      <w:r>
        <w:rPr>
          <w:noProof/>
          <w:lang w:val="es-CO" w:eastAsia="es-CO"/>
        </w:rPr>
        <w:drawing>
          <wp:inline distT="0" distB="0" distL="0" distR="0" wp14:anchorId="11C7D68A" wp14:editId="782149D4">
            <wp:extent cx="5445541" cy="2695575"/>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17156" t="33837" r="44966" b="29607"/>
                    <a:stretch/>
                  </pic:blipFill>
                  <pic:spPr bwMode="auto">
                    <a:xfrm>
                      <a:off x="0" y="0"/>
                      <a:ext cx="5458900" cy="2702188"/>
                    </a:xfrm>
                    <a:prstGeom prst="rect">
                      <a:avLst/>
                    </a:prstGeom>
                    <a:ln>
                      <a:noFill/>
                    </a:ln>
                    <a:extLst>
                      <a:ext uri="{53640926-AAD7-44D8-BBD7-CCE9431645EC}">
                        <a14:shadowObscured xmlns:a14="http://schemas.microsoft.com/office/drawing/2010/main"/>
                      </a:ext>
                    </a:extLst>
                  </pic:spPr>
                </pic:pic>
              </a:graphicData>
            </a:graphic>
          </wp:inline>
        </w:drawing>
      </w:r>
    </w:p>
    <w:p w14:paraId="67FDE894" w14:textId="77777777" w:rsidR="00A871C1" w:rsidRDefault="00A871C1" w:rsidP="00674765">
      <w:pPr>
        <w:jc w:val="center"/>
        <w:rPr>
          <w:rFonts w:ascii="Century Gothic" w:hAnsi="Century Gothic" w:cs="Tahoma"/>
          <w:lang w:val="es-CO"/>
        </w:rPr>
      </w:pPr>
    </w:p>
    <w:p w14:paraId="12D061BE" w14:textId="1078E8C5" w:rsidR="00A871C1" w:rsidRDefault="00A871C1" w:rsidP="00A871C1">
      <w:pPr>
        <w:jc w:val="both"/>
        <w:rPr>
          <w:rFonts w:ascii="Century Gothic" w:hAnsi="Century Gothic" w:cs="Tahoma"/>
          <w:lang w:val="es-CO"/>
        </w:rPr>
      </w:pPr>
      <w:r>
        <w:rPr>
          <w:rFonts w:ascii="Century Gothic" w:hAnsi="Century Gothic" w:cs="Tahoma"/>
          <w:b/>
          <w:lang w:val="es-CO"/>
        </w:rPr>
        <w:t xml:space="preserve">VIGÉSIMO </w:t>
      </w:r>
      <w:r w:rsidR="00D95924">
        <w:rPr>
          <w:rFonts w:ascii="Century Gothic" w:hAnsi="Century Gothic" w:cs="Tahoma"/>
          <w:b/>
          <w:lang w:val="es-CO"/>
        </w:rPr>
        <w:t>SÉPTIMO</w:t>
      </w:r>
      <w:r>
        <w:rPr>
          <w:rFonts w:ascii="Century Gothic" w:hAnsi="Century Gothic" w:cs="Tahoma"/>
          <w:b/>
          <w:lang w:val="es-CO"/>
        </w:rPr>
        <w:t xml:space="preserve">: </w:t>
      </w:r>
      <w:r w:rsidR="00E04A48">
        <w:rPr>
          <w:rFonts w:ascii="Century Gothic" w:hAnsi="Century Gothic" w:cs="Tahoma"/>
          <w:lang w:val="es-CO"/>
        </w:rPr>
        <w:t xml:space="preserve">Que el 2 de septiembre de 2020, mediante documento con radicado No. 2020-01-493587, presentó ante la </w:t>
      </w:r>
      <w:proofErr w:type="spellStart"/>
      <w:r w:rsidR="00E04A48">
        <w:rPr>
          <w:rFonts w:ascii="Century Gothic" w:hAnsi="Century Gothic" w:cs="Tahoma"/>
          <w:lang w:val="es-CO"/>
        </w:rPr>
        <w:t>Supersociedades</w:t>
      </w:r>
      <w:proofErr w:type="spellEnd"/>
      <w:r w:rsidR="00A31679">
        <w:rPr>
          <w:rFonts w:ascii="Century Gothic" w:hAnsi="Century Gothic" w:cs="Tahoma"/>
          <w:lang w:val="es-CO"/>
        </w:rPr>
        <w:t xml:space="preserve"> pronunciamiento respecto de las inconformidades de mi mandante relativas a la falta de entrega de informes financieros de MULTIPOLIMEROS S.A.S.; Falta de acción revocatoria por venta de maquinaria y apartamento; Pérdida de contabilidad; Falta de reconstrucción de contabilidad; Contratación de la firma AE Consultores S.A.S., para recaudo de cartera; Prueba de los activos que reposan en la oficina 1205 del edificio Bolsa de Occidente y solicitud de perito externo para reconstrucción de libros de contabilidad e inventario de bienes muebles e inmuebles.</w:t>
      </w:r>
    </w:p>
    <w:p w14:paraId="5F425FAF" w14:textId="77777777" w:rsidR="00A31679" w:rsidRDefault="00A31679" w:rsidP="00A871C1">
      <w:pPr>
        <w:jc w:val="both"/>
        <w:rPr>
          <w:rFonts w:ascii="Century Gothic" w:hAnsi="Century Gothic" w:cs="Tahoma"/>
          <w:lang w:val="es-CO"/>
        </w:rPr>
      </w:pPr>
    </w:p>
    <w:p w14:paraId="105D961E" w14:textId="0BD72938" w:rsidR="00A31679" w:rsidRDefault="00A31679" w:rsidP="00A871C1">
      <w:pPr>
        <w:jc w:val="both"/>
        <w:rPr>
          <w:rFonts w:ascii="Century Gothic" w:hAnsi="Century Gothic" w:cs="Tahoma"/>
          <w:lang w:val="es-CO"/>
        </w:rPr>
      </w:pPr>
      <w:r>
        <w:rPr>
          <w:rFonts w:ascii="Century Gothic" w:hAnsi="Century Gothic" w:cs="Tahoma"/>
          <w:b/>
          <w:lang w:val="es-CO"/>
        </w:rPr>
        <w:t xml:space="preserve">VIGÉSIMO </w:t>
      </w:r>
      <w:r w:rsidR="00D95924">
        <w:rPr>
          <w:rFonts w:ascii="Century Gothic" w:hAnsi="Century Gothic" w:cs="Tahoma"/>
          <w:b/>
          <w:lang w:val="es-CO"/>
        </w:rPr>
        <w:t>OCTAVO</w:t>
      </w:r>
      <w:r>
        <w:rPr>
          <w:rFonts w:ascii="Century Gothic" w:hAnsi="Century Gothic" w:cs="Tahoma"/>
          <w:b/>
          <w:lang w:val="es-CO"/>
        </w:rPr>
        <w:t xml:space="preserve">: </w:t>
      </w:r>
      <w:r>
        <w:rPr>
          <w:rFonts w:ascii="Century Gothic" w:hAnsi="Century Gothic" w:cs="Tahoma"/>
          <w:lang w:val="es-CO"/>
        </w:rPr>
        <w:t xml:space="preserve">Que con radicados No. 2020-01-528839 y 2020-01-528846, el señor RODRIGUEZ GANTIVA, entregó a la </w:t>
      </w:r>
      <w:proofErr w:type="spellStart"/>
      <w:r>
        <w:rPr>
          <w:rFonts w:ascii="Century Gothic" w:hAnsi="Century Gothic" w:cs="Tahoma"/>
          <w:lang w:val="es-CO"/>
        </w:rPr>
        <w:t>Supersociedades</w:t>
      </w:r>
      <w:proofErr w:type="spellEnd"/>
      <w:r>
        <w:rPr>
          <w:rFonts w:ascii="Century Gothic" w:hAnsi="Century Gothic" w:cs="Tahoma"/>
          <w:lang w:val="es-CO"/>
        </w:rPr>
        <w:t xml:space="preserve"> Certificación del 26 de septiembre de 2020 y notas a los estados financieros al 31 de agosto de 2020, siendo que en la aludida certificación se hace constar:</w:t>
      </w:r>
    </w:p>
    <w:p w14:paraId="7154B2B2" w14:textId="77777777" w:rsidR="00A31679" w:rsidRDefault="00A31679" w:rsidP="00A871C1">
      <w:pPr>
        <w:jc w:val="both"/>
        <w:rPr>
          <w:rFonts w:ascii="Century Gothic" w:hAnsi="Century Gothic" w:cs="Tahoma"/>
          <w:lang w:val="es-CO"/>
        </w:rPr>
      </w:pPr>
    </w:p>
    <w:p w14:paraId="59584089" w14:textId="77777777" w:rsidR="00A31679" w:rsidRDefault="00A31679" w:rsidP="00A31679">
      <w:pPr>
        <w:jc w:val="center"/>
        <w:rPr>
          <w:rFonts w:ascii="Century Gothic" w:hAnsi="Century Gothic" w:cs="Tahoma"/>
          <w:lang w:val="es-CO"/>
        </w:rPr>
      </w:pPr>
      <w:r>
        <w:rPr>
          <w:noProof/>
          <w:lang w:val="es-CO" w:eastAsia="es-CO"/>
        </w:rPr>
        <w:lastRenderedPageBreak/>
        <w:drawing>
          <wp:inline distT="0" distB="0" distL="0" distR="0" wp14:anchorId="127E61A2" wp14:editId="7E9F3E99">
            <wp:extent cx="4413925" cy="2619375"/>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Lst>
                    </a:blip>
                    <a:srcRect l="17156" t="39577" r="47344" b="25378"/>
                    <a:stretch/>
                  </pic:blipFill>
                  <pic:spPr bwMode="auto">
                    <a:xfrm>
                      <a:off x="0" y="0"/>
                      <a:ext cx="4439365" cy="2634472"/>
                    </a:xfrm>
                    <a:prstGeom prst="rect">
                      <a:avLst/>
                    </a:prstGeom>
                    <a:ln>
                      <a:noFill/>
                    </a:ln>
                    <a:extLst>
                      <a:ext uri="{53640926-AAD7-44D8-BBD7-CCE9431645EC}">
                        <a14:shadowObscured xmlns:a14="http://schemas.microsoft.com/office/drawing/2010/main"/>
                      </a:ext>
                    </a:extLst>
                  </pic:spPr>
                </pic:pic>
              </a:graphicData>
            </a:graphic>
          </wp:inline>
        </w:drawing>
      </w:r>
    </w:p>
    <w:p w14:paraId="29B0BAF0" w14:textId="77777777" w:rsidR="00A31679" w:rsidRDefault="00A31679" w:rsidP="00A31679">
      <w:pPr>
        <w:jc w:val="center"/>
        <w:rPr>
          <w:rFonts w:ascii="Century Gothic" w:hAnsi="Century Gothic" w:cs="Tahoma"/>
          <w:lang w:val="es-CO"/>
        </w:rPr>
      </w:pPr>
    </w:p>
    <w:p w14:paraId="7C0043A1" w14:textId="77777777" w:rsidR="00A31679" w:rsidRDefault="00A31679" w:rsidP="00A31679">
      <w:pPr>
        <w:jc w:val="both"/>
        <w:rPr>
          <w:rFonts w:ascii="Century Gothic" w:hAnsi="Century Gothic" w:cs="Tahoma"/>
          <w:lang w:val="es-CO"/>
        </w:rPr>
      </w:pPr>
      <w:r>
        <w:rPr>
          <w:rFonts w:ascii="Century Gothic" w:hAnsi="Century Gothic" w:cs="Tahoma"/>
          <w:lang w:val="es-CO"/>
        </w:rPr>
        <w:t>Mientras que en la nota 3 de las notas a los estados financieros se consigna para el ítem de propiedad, planta y equipo lo siguiente:</w:t>
      </w:r>
    </w:p>
    <w:p w14:paraId="312F6B67" w14:textId="77777777" w:rsidR="00A31679" w:rsidRDefault="00A31679" w:rsidP="00A31679">
      <w:pPr>
        <w:jc w:val="both"/>
        <w:rPr>
          <w:rFonts w:ascii="Century Gothic" w:hAnsi="Century Gothic" w:cs="Tahoma"/>
          <w:lang w:val="es-CO"/>
        </w:rPr>
      </w:pPr>
    </w:p>
    <w:p w14:paraId="03382843" w14:textId="77777777" w:rsidR="00A31679" w:rsidRPr="00A31679" w:rsidRDefault="00A31679" w:rsidP="007833C9">
      <w:pPr>
        <w:jc w:val="center"/>
        <w:rPr>
          <w:rFonts w:ascii="Century Gothic" w:hAnsi="Century Gothic" w:cs="Tahoma"/>
          <w:lang w:val="es-CO"/>
        </w:rPr>
      </w:pPr>
      <w:r>
        <w:rPr>
          <w:noProof/>
          <w:lang w:val="es-CO" w:eastAsia="es-CO"/>
        </w:rPr>
        <w:drawing>
          <wp:inline distT="0" distB="0" distL="0" distR="0" wp14:anchorId="2797F663" wp14:editId="02F463BC">
            <wp:extent cx="3710032" cy="2676525"/>
            <wp:effectExtent l="0" t="0" r="508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l="21742" t="33535" r="54478" b="35951"/>
                    <a:stretch/>
                  </pic:blipFill>
                  <pic:spPr bwMode="auto">
                    <a:xfrm>
                      <a:off x="0" y="0"/>
                      <a:ext cx="3718744" cy="2682810"/>
                    </a:xfrm>
                    <a:prstGeom prst="rect">
                      <a:avLst/>
                    </a:prstGeom>
                    <a:ln>
                      <a:noFill/>
                    </a:ln>
                    <a:extLst>
                      <a:ext uri="{53640926-AAD7-44D8-BBD7-CCE9431645EC}">
                        <a14:shadowObscured xmlns:a14="http://schemas.microsoft.com/office/drawing/2010/main"/>
                      </a:ext>
                    </a:extLst>
                  </pic:spPr>
                </pic:pic>
              </a:graphicData>
            </a:graphic>
          </wp:inline>
        </w:drawing>
      </w:r>
    </w:p>
    <w:p w14:paraId="1C6D3DA7" w14:textId="77777777" w:rsidR="00A871C1" w:rsidRDefault="00A871C1" w:rsidP="00674765">
      <w:pPr>
        <w:jc w:val="center"/>
        <w:rPr>
          <w:rFonts w:ascii="Century Gothic" w:hAnsi="Century Gothic" w:cs="Tahoma"/>
          <w:lang w:val="es-CO"/>
        </w:rPr>
      </w:pPr>
    </w:p>
    <w:p w14:paraId="25E2E2B3" w14:textId="4ED89CF2" w:rsidR="00A871C1" w:rsidRDefault="006C1EC8" w:rsidP="007833C9">
      <w:pPr>
        <w:jc w:val="both"/>
        <w:rPr>
          <w:rFonts w:ascii="Century Gothic" w:hAnsi="Century Gothic" w:cs="Tahoma"/>
          <w:lang w:val="es-CO"/>
        </w:rPr>
      </w:pPr>
      <w:r>
        <w:rPr>
          <w:rFonts w:ascii="Century Gothic" w:hAnsi="Century Gothic" w:cs="Tahoma"/>
          <w:b/>
          <w:lang w:val="es-CO"/>
        </w:rPr>
        <w:t xml:space="preserve">VIGÉSIMO </w:t>
      </w:r>
      <w:r w:rsidR="00D95924">
        <w:rPr>
          <w:rFonts w:ascii="Century Gothic" w:hAnsi="Century Gothic" w:cs="Tahoma"/>
          <w:b/>
          <w:lang w:val="es-CO"/>
        </w:rPr>
        <w:t>NOVENO</w:t>
      </w:r>
      <w:r>
        <w:rPr>
          <w:rFonts w:ascii="Century Gothic" w:hAnsi="Century Gothic" w:cs="Tahoma"/>
          <w:b/>
          <w:lang w:val="es-CO"/>
        </w:rPr>
        <w:t xml:space="preserve">: </w:t>
      </w:r>
      <w:r w:rsidR="00E54B4C">
        <w:rPr>
          <w:rFonts w:ascii="Century Gothic" w:hAnsi="Century Gothic" w:cs="Tahoma"/>
          <w:lang w:val="es-CO"/>
        </w:rPr>
        <w:t xml:space="preserve">Que el día 15 de octubre de 2020, mediante Auto No. 2020-03-011198, la </w:t>
      </w:r>
      <w:proofErr w:type="spellStart"/>
      <w:r w:rsidR="00E54B4C">
        <w:rPr>
          <w:rFonts w:ascii="Century Gothic" w:hAnsi="Century Gothic" w:cs="Tahoma"/>
          <w:lang w:val="es-CO"/>
        </w:rPr>
        <w:t>Supersociedades</w:t>
      </w:r>
      <w:proofErr w:type="spellEnd"/>
      <w:r w:rsidR="00E54B4C">
        <w:rPr>
          <w:rFonts w:ascii="Century Gothic" w:hAnsi="Century Gothic" w:cs="Tahoma"/>
          <w:lang w:val="es-CO"/>
        </w:rPr>
        <w:t xml:space="preserve"> requirió al señor RODRIGUEZ GANTIVA, para que suministre información sobre los hurtos perpetrados en las bodegas de la sociedad MULTIPOLIMEROS S.A.S.</w:t>
      </w:r>
    </w:p>
    <w:p w14:paraId="0C1FABE5" w14:textId="77777777" w:rsidR="00E54B4C" w:rsidRDefault="00E54B4C" w:rsidP="007833C9">
      <w:pPr>
        <w:jc w:val="both"/>
        <w:rPr>
          <w:rFonts w:ascii="Century Gothic" w:hAnsi="Century Gothic" w:cs="Tahoma"/>
          <w:lang w:val="es-CO"/>
        </w:rPr>
      </w:pPr>
    </w:p>
    <w:p w14:paraId="361232E1" w14:textId="3CC1C638" w:rsidR="008A601B" w:rsidRPr="008A601B" w:rsidRDefault="00D95924" w:rsidP="008A601B">
      <w:pPr>
        <w:jc w:val="both"/>
        <w:rPr>
          <w:rFonts w:ascii="Century Gothic" w:hAnsi="Century Gothic" w:cs="Tahoma"/>
          <w:b/>
          <w:lang w:val="es-CO"/>
        </w:rPr>
      </w:pPr>
      <w:r>
        <w:rPr>
          <w:rFonts w:ascii="Century Gothic" w:hAnsi="Century Gothic" w:cs="Tahoma"/>
          <w:b/>
          <w:lang w:val="es-CO"/>
        </w:rPr>
        <w:t>TRIGÉSIMO</w:t>
      </w:r>
      <w:r w:rsidR="00E54B4C">
        <w:rPr>
          <w:rFonts w:ascii="Century Gothic" w:hAnsi="Century Gothic" w:cs="Tahoma"/>
          <w:b/>
          <w:lang w:val="es-CO"/>
        </w:rPr>
        <w:t xml:space="preserve">: </w:t>
      </w:r>
      <w:r w:rsidR="008A601B">
        <w:rPr>
          <w:rFonts w:ascii="Century Gothic" w:hAnsi="Century Gothic" w:cs="Tahoma"/>
          <w:lang w:val="es-CO"/>
        </w:rPr>
        <w:t>Que a</w:t>
      </w:r>
      <w:r w:rsidR="008A601B" w:rsidRPr="008A601B">
        <w:rPr>
          <w:rFonts w:ascii="Century Gothic" w:hAnsi="Century Gothic" w:cs="Tahoma"/>
          <w:b/>
          <w:lang w:val="es-CO"/>
        </w:rPr>
        <w:t xml:space="preserve"> </w:t>
      </w:r>
      <w:r w:rsidR="008A601B" w:rsidRPr="008A601B">
        <w:rPr>
          <w:rFonts w:ascii="Century Gothic" w:hAnsi="Century Gothic" w:cs="Tahoma"/>
          <w:lang w:val="es-CO"/>
        </w:rPr>
        <w:t xml:space="preserve">través de </w:t>
      </w:r>
      <w:r w:rsidR="00BD0639">
        <w:rPr>
          <w:rFonts w:ascii="Century Gothic" w:hAnsi="Century Gothic" w:cs="Tahoma"/>
          <w:lang w:val="es-CO"/>
        </w:rPr>
        <w:t>documento</w:t>
      </w:r>
      <w:r w:rsidR="008A601B" w:rsidRPr="008A601B">
        <w:rPr>
          <w:rFonts w:ascii="Century Gothic" w:hAnsi="Century Gothic" w:cs="Tahoma"/>
          <w:lang w:val="es-CO"/>
        </w:rPr>
        <w:t xml:space="preserve"> bajo el número de radicación 2020-01-564560 de fecha 26 de octubre de 2020, </w:t>
      </w:r>
      <w:r w:rsidR="008A601B">
        <w:rPr>
          <w:rFonts w:ascii="Century Gothic" w:hAnsi="Century Gothic" w:cs="Tahoma"/>
          <w:lang w:val="es-CO"/>
        </w:rPr>
        <w:t>mi mandante</w:t>
      </w:r>
      <w:r w:rsidR="008A601B" w:rsidRPr="008A601B">
        <w:rPr>
          <w:rFonts w:ascii="Century Gothic" w:hAnsi="Century Gothic" w:cs="Tahoma"/>
          <w:lang w:val="es-CO"/>
        </w:rPr>
        <w:t xml:space="preserve"> presentó memorial indicando que es necesario sustituir el auxiliar de la justicia por los diferentes hurtos que se han presentado de los bienes de la sociedad concursada y por no concretarse la venta del bien inmueble autorizado.</w:t>
      </w:r>
      <w:r w:rsidR="008A601B" w:rsidRPr="008A601B">
        <w:rPr>
          <w:rFonts w:ascii="Century Gothic" w:hAnsi="Century Gothic" w:cs="Tahoma"/>
          <w:b/>
          <w:lang w:val="es-CO"/>
        </w:rPr>
        <w:t xml:space="preserve"> </w:t>
      </w:r>
    </w:p>
    <w:p w14:paraId="7336AE89" w14:textId="77777777" w:rsidR="008A601B" w:rsidRDefault="008A601B" w:rsidP="007833C9">
      <w:pPr>
        <w:jc w:val="both"/>
        <w:rPr>
          <w:rFonts w:ascii="Century Gothic" w:hAnsi="Century Gothic" w:cs="Tahoma"/>
          <w:b/>
          <w:lang w:val="es-CO"/>
        </w:rPr>
      </w:pPr>
    </w:p>
    <w:p w14:paraId="13D2C4F1" w14:textId="70DE1E8B" w:rsidR="00E54B4C" w:rsidRDefault="008A601B" w:rsidP="007833C9">
      <w:pPr>
        <w:jc w:val="both"/>
        <w:rPr>
          <w:rFonts w:ascii="Century Gothic" w:hAnsi="Century Gothic" w:cs="Tahoma"/>
          <w:lang w:val="es-CO"/>
        </w:rPr>
      </w:pPr>
      <w:r>
        <w:rPr>
          <w:rFonts w:ascii="Century Gothic" w:hAnsi="Century Gothic" w:cs="Tahoma"/>
          <w:b/>
          <w:lang w:val="es-CO"/>
        </w:rPr>
        <w:t>TRIGÉSIMO</w:t>
      </w:r>
      <w:r w:rsidR="00D95924">
        <w:rPr>
          <w:rFonts w:ascii="Century Gothic" w:hAnsi="Century Gothic" w:cs="Tahoma"/>
          <w:b/>
          <w:lang w:val="es-CO"/>
        </w:rPr>
        <w:t xml:space="preserve"> PRIMERO</w:t>
      </w:r>
      <w:r>
        <w:rPr>
          <w:rFonts w:ascii="Century Gothic" w:hAnsi="Century Gothic" w:cs="Tahoma"/>
          <w:b/>
          <w:lang w:val="es-CO"/>
        </w:rPr>
        <w:t xml:space="preserve">: </w:t>
      </w:r>
      <w:r w:rsidR="00E54B4C">
        <w:rPr>
          <w:rFonts w:ascii="Century Gothic" w:hAnsi="Century Gothic" w:cs="Tahoma"/>
          <w:lang w:val="es-CO"/>
        </w:rPr>
        <w:t xml:space="preserve">Que el día 30 de octubre de 2020, mediante Auto No. 2020-03-011762, </w:t>
      </w:r>
      <w:r w:rsidR="00BE338E">
        <w:rPr>
          <w:rFonts w:ascii="Century Gothic" w:hAnsi="Century Gothic" w:cs="Tahoma"/>
          <w:lang w:val="es-CO"/>
        </w:rPr>
        <w:t>la convocada requiere al señor RODRIGUEZ GANTIVA, para que informe si vencido el mes por el cual celebró contrato de vigilancia con OSZFORD LTDA., dentro del día siguiente hábil, se volvieron a presentar hurtos en las instalaciones de la bodega de MULTIPOLIMEROS S.A.S.</w:t>
      </w:r>
      <w:r>
        <w:rPr>
          <w:rFonts w:ascii="Century Gothic" w:hAnsi="Century Gothic" w:cs="Tahoma"/>
          <w:lang w:val="es-CO"/>
        </w:rPr>
        <w:t xml:space="preserve">, sin que se accediera a la solicitud de que trata el hecho vigésimo noveno elevada por mi representado. </w:t>
      </w:r>
    </w:p>
    <w:p w14:paraId="17DA1F1B" w14:textId="77777777" w:rsidR="00A95F2D" w:rsidRDefault="00A95F2D" w:rsidP="007833C9">
      <w:pPr>
        <w:jc w:val="both"/>
        <w:rPr>
          <w:rFonts w:ascii="Century Gothic" w:hAnsi="Century Gothic" w:cs="Tahoma"/>
          <w:lang w:val="es-CO"/>
        </w:rPr>
      </w:pPr>
    </w:p>
    <w:p w14:paraId="25E80236" w14:textId="76E5A8AC" w:rsidR="008A601B" w:rsidRDefault="00A95F2D" w:rsidP="008A601B">
      <w:pPr>
        <w:jc w:val="both"/>
        <w:rPr>
          <w:rFonts w:ascii="Century Gothic" w:hAnsi="Century Gothic" w:cs="Tahoma"/>
          <w:lang w:val="es-CO"/>
        </w:rPr>
      </w:pPr>
      <w:r>
        <w:rPr>
          <w:rFonts w:ascii="Century Gothic" w:hAnsi="Century Gothic" w:cs="Tahoma"/>
          <w:b/>
          <w:lang w:val="es-CO"/>
        </w:rPr>
        <w:t>TRIGÉSIMO</w:t>
      </w:r>
      <w:r w:rsidR="008A601B">
        <w:rPr>
          <w:rFonts w:ascii="Century Gothic" w:hAnsi="Century Gothic" w:cs="Tahoma"/>
          <w:b/>
          <w:lang w:val="es-CO"/>
        </w:rPr>
        <w:t xml:space="preserve"> </w:t>
      </w:r>
      <w:r w:rsidR="00D95924">
        <w:rPr>
          <w:rFonts w:ascii="Century Gothic" w:hAnsi="Century Gothic" w:cs="Tahoma"/>
          <w:b/>
          <w:lang w:val="es-CO"/>
        </w:rPr>
        <w:t>SEGUNDO</w:t>
      </w:r>
      <w:r>
        <w:rPr>
          <w:rFonts w:ascii="Century Gothic" w:hAnsi="Century Gothic" w:cs="Tahoma"/>
          <w:b/>
          <w:lang w:val="es-CO"/>
        </w:rPr>
        <w:t xml:space="preserve">: </w:t>
      </w:r>
      <w:r w:rsidR="008A601B" w:rsidRPr="008A601B">
        <w:rPr>
          <w:rFonts w:ascii="Century Gothic" w:hAnsi="Century Gothic" w:cs="Tahoma"/>
          <w:lang w:val="es-CO"/>
        </w:rPr>
        <w:t xml:space="preserve">Que en escrito bajo el número de radicación 2020-01-586168 de fecha 6 de noviembre de 2020 (enviado por correo electrónico el día 5 de noviembre de 2020), </w:t>
      </w:r>
      <w:r w:rsidR="008A601B">
        <w:rPr>
          <w:rFonts w:ascii="Century Gothic" w:hAnsi="Century Gothic" w:cs="Tahoma"/>
          <w:lang w:val="es-CO"/>
        </w:rPr>
        <w:t>mi mandante</w:t>
      </w:r>
      <w:r w:rsidR="008A601B" w:rsidRPr="008A601B">
        <w:rPr>
          <w:rFonts w:ascii="Century Gothic" w:hAnsi="Century Gothic" w:cs="Tahoma"/>
          <w:lang w:val="es-CO"/>
        </w:rPr>
        <w:t>, presentó recurso de reposición contra el Auto 2020-03-011762 de fecha 30 de octubre de 2020.</w:t>
      </w:r>
    </w:p>
    <w:p w14:paraId="50A99C52" w14:textId="77777777" w:rsidR="008A601B" w:rsidRDefault="008A601B" w:rsidP="008A601B">
      <w:pPr>
        <w:jc w:val="both"/>
        <w:rPr>
          <w:rFonts w:ascii="Century Gothic" w:hAnsi="Century Gothic" w:cs="Tahoma"/>
          <w:lang w:val="es-CO"/>
        </w:rPr>
      </w:pPr>
    </w:p>
    <w:p w14:paraId="15DED34D" w14:textId="78842D0F" w:rsidR="008A601B" w:rsidRPr="008A601B" w:rsidRDefault="008A601B" w:rsidP="008A601B">
      <w:pPr>
        <w:jc w:val="both"/>
        <w:rPr>
          <w:rFonts w:ascii="Century Gothic" w:hAnsi="Century Gothic" w:cs="Tahoma"/>
          <w:b/>
          <w:lang w:val="es-CO"/>
        </w:rPr>
      </w:pPr>
      <w:r>
        <w:rPr>
          <w:rFonts w:ascii="Century Gothic" w:hAnsi="Century Gothic" w:cs="Tahoma"/>
          <w:b/>
          <w:lang w:val="es-CO"/>
        </w:rPr>
        <w:t xml:space="preserve">TRIGÉSIMO </w:t>
      </w:r>
      <w:r w:rsidR="00D95924">
        <w:rPr>
          <w:rFonts w:ascii="Century Gothic" w:hAnsi="Century Gothic" w:cs="Tahoma"/>
          <w:b/>
          <w:lang w:val="es-CO"/>
        </w:rPr>
        <w:t>TERCERO</w:t>
      </w:r>
      <w:r>
        <w:rPr>
          <w:rFonts w:ascii="Century Gothic" w:hAnsi="Century Gothic" w:cs="Tahoma"/>
          <w:b/>
          <w:lang w:val="es-CO"/>
        </w:rPr>
        <w:t xml:space="preserve">: </w:t>
      </w:r>
      <w:r>
        <w:rPr>
          <w:rFonts w:ascii="Century Gothic" w:hAnsi="Century Gothic" w:cs="Tahoma"/>
          <w:lang w:val="es-CO"/>
        </w:rPr>
        <w:t>Que mediante Auto No. 2021-03-000040 del 12 de enero de 2021, la convocada resolvió negar el recurso de reposición elevado por mi representado del que trata el hecho que antecede</w:t>
      </w:r>
      <w:r w:rsidR="00B21738">
        <w:rPr>
          <w:rFonts w:ascii="Century Gothic" w:hAnsi="Century Gothic" w:cs="Tahoma"/>
          <w:lang w:val="es-CO"/>
        </w:rPr>
        <w:t>.</w:t>
      </w:r>
      <w:r w:rsidRPr="008A601B">
        <w:rPr>
          <w:rFonts w:ascii="Century Gothic" w:hAnsi="Century Gothic" w:cs="Tahoma"/>
          <w:b/>
          <w:lang w:val="es-CO"/>
        </w:rPr>
        <w:t xml:space="preserve"> </w:t>
      </w:r>
    </w:p>
    <w:p w14:paraId="205CFED3" w14:textId="77777777" w:rsidR="008A601B" w:rsidRPr="008A601B" w:rsidRDefault="008A601B" w:rsidP="007833C9">
      <w:pPr>
        <w:jc w:val="both"/>
        <w:rPr>
          <w:rFonts w:ascii="Century Gothic" w:hAnsi="Century Gothic" w:cs="Tahoma"/>
          <w:lang w:val="es-CO"/>
        </w:rPr>
      </w:pPr>
    </w:p>
    <w:p w14:paraId="2AA8B3EE" w14:textId="79A2C0A7" w:rsidR="00A95F2D" w:rsidRDefault="00B21738" w:rsidP="007833C9">
      <w:pPr>
        <w:jc w:val="both"/>
        <w:rPr>
          <w:rFonts w:ascii="Century Gothic" w:hAnsi="Century Gothic" w:cs="Tahoma"/>
          <w:lang w:val="es-CO"/>
        </w:rPr>
      </w:pPr>
      <w:r>
        <w:rPr>
          <w:rFonts w:ascii="Century Gothic" w:hAnsi="Century Gothic" w:cs="Tahoma"/>
          <w:b/>
          <w:lang w:val="es-CO"/>
        </w:rPr>
        <w:t xml:space="preserve">TRIGÉSIMO </w:t>
      </w:r>
      <w:r w:rsidR="00D95924">
        <w:rPr>
          <w:rFonts w:ascii="Century Gothic" w:hAnsi="Century Gothic" w:cs="Tahoma"/>
          <w:b/>
          <w:lang w:val="es-CO"/>
        </w:rPr>
        <w:t>CUARTO</w:t>
      </w:r>
      <w:r>
        <w:rPr>
          <w:rFonts w:ascii="Century Gothic" w:hAnsi="Century Gothic" w:cs="Tahoma"/>
          <w:b/>
          <w:lang w:val="es-CO"/>
        </w:rPr>
        <w:t xml:space="preserve">: </w:t>
      </w:r>
      <w:r w:rsidR="00A95F2D">
        <w:rPr>
          <w:rFonts w:ascii="Century Gothic" w:hAnsi="Century Gothic" w:cs="Tahoma"/>
          <w:lang w:val="es-CO"/>
        </w:rPr>
        <w:t xml:space="preserve">Que mediante escrito de enero de 2021, radicado bajo el No. 2021-01-011656 ante la </w:t>
      </w:r>
      <w:proofErr w:type="spellStart"/>
      <w:r w:rsidR="00A95F2D">
        <w:rPr>
          <w:rFonts w:ascii="Century Gothic" w:hAnsi="Century Gothic" w:cs="Tahoma"/>
          <w:lang w:val="es-CO"/>
        </w:rPr>
        <w:t>Supersociedades</w:t>
      </w:r>
      <w:proofErr w:type="spellEnd"/>
      <w:r w:rsidR="00A95F2D">
        <w:rPr>
          <w:rFonts w:ascii="Century Gothic" w:hAnsi="Century Gothic" w:cs="Tahoma"/>
          <w:lang w:val="es-CO"/>
        </w:rPr>
        <w:t xml:space="preserve">, mi representado elevó escrito de objeciones al inventario de bienes valorado presentado por el señor liquidador RODRIGUEZ GANTIVA, precisando los siguientes puntos: 1.- Objeciones frente al proyecto de inventario de bienes valorado y su ambigüedad con respecto a la metodología de avalúo utilizada; 2.- Objeción frente al evidente deterioro de los bienes de la sociedad MULTIPOLIMEROS S.A.S., en liquidación judicial que evidenció la entidad </w:t>
      </w:r>
      <w:proofErr w:type="spellStart"/>
      <w:r w:rsidR="00A95F2D">
        <w:rPr>
          <w:rFonts w:ascii="Century Gothic" w:hAnsi="Century Gothic" w:cs="Tahoma"/>
          <w:lang w:val="es-CO"/>
        </w:rPr>
        <w:t>avaluadora</w:t>
      </w:r>
      <w:proofErr w:type="spellEnd"/>
      <w:r w:rsidR="00A95F2D">
        <w:rPr>
          <w:rFonts w:ascii="Century Gothic" w:hAnsi="Century Gothic" w:cs="Tahoma"/>
          <w:lang w:val="es-CO"/>
        </w:rPr>
        <w:t xml:space="preserve">; Objeción frente a la venta premeditada y enajenación contraria a la ley colombiana de bienes que fueron parte del patrimonio de la compañía MULTIPOLIMEROS S.A.S., en liquidación judicial; </w:t>
      </w:r>
      <w:r w:rsidR="00DD438C">
        <w:rPr>
          <w:rFonts w:ascii="Century Gothic" w:hAnsi="Century Gothic" w:cs="Tahoma"/>
          <w:lang w:val="es-CO"/>
        </w:rPr>
        <w:t xml:space="preserve">y 4.- Objeción frente a la no inclusión de las cuentas por cobrar “cartera” de la sociedad MULTIPOLIMEROS S.A.S., en liquidación judicial sin hacer parte de la prenda general de acreedores; </w:t>
      </w:r>
      <w:r w:rsidR="00A95F2D">
        <w:rPr>
          <w:rFonts w:ascii="Century Gothic" w:hAnsi="Century Gothic" w:cs="Tahoma"/>
          <w:lang w:val="es-CO"/>
        </w:rPr>
        <w:t xml:space="preserve"> </w:t>
      </w:r>
    </w:p>
    <w:p w14:paraId="250B6BAF" w14:textId="77777777" w:rsidR="00DD438C" w:rsidRDefault="00DD438C" w:rsidP="007833C9">
      <w:pPr>
        <w:jc w:val="both"/>
        <w:rPr>
          <w:rFonts w:ascii="Century Gothic" w:hAnsi="Century Gothic" w:cs="Tahoma"/>
          <w:lang w:val="es-CO"/>
        </w:rPr>
      </w:pPr>
    </w:p>
    <w:p w14:paraId="422ED138" w14:textId="04267061" w:rsidR="00DD438C" w:rsidRDefault="00DD438C" w:rsidP="007833C9">
      <w:pPr>
        <w:jc w:val="both"/>
        <w:rPr>
          <w:rFonts w:ascii="Century Gothic" w:hAnsi="Century Gothic" w:cs="Tahoma"/>
          <w:lang w:val="es-CO"/>
        </w:rPr>
      </w:pPr>
      <w:r>
        <w:rPr>
          <w:rFonts w:ascii="Century Gothic" w:hAnsi="Century Gothic" w:cs="Tahoma"/>
          <w:b/>
          <w:lang w:val="es-CO"/>
        </w:rPr>
        <w:t xml:space="preserve">TRIGÉSIMO </w:t>
      </w:r>
      <w:r w:rsidR="00D95924">
        <w:rPr>
          <w:rFonts w:ascii="Century Gothic" w:hAnsi="Century Gothic" w:cs="Tahoma"/>
          <w:b/>
          <w:lang w:val="es-CO"/>
        </w:rPr>
        <w:t>QUINTO</w:t>
      </w:r>
      <w:r>
        <w:rPr>
          <w:rFonts w:ascii="Century Gothic" w:hAnsi="Century Gothic" w:cs="Tahoma"/>
          <w:b/>
          <w:lang w:val="es-CO"/>
        </w:rPr>
        <w:t xml:space="preserve">: </w:t>
      </w:r>
      <w:r>
        <w:rPr>
          <w:rFonts w:ascii="Century Gothic" w:hAnsi="Century Gothic" w:cs="Tahoma"/>
          <w:lang w:val="es-CO"/>
        </w:rPr>
        <w:t>Que mediante documento con radicado No. 2021-01-092904, el señor liquidador RODRIGUEZ GANTIVA</w:t>
      </w:r>
      <w:r w:rsidR="006C342D">
        <w:rPr>
          <w:rFonts w:ascii="Century Gothic" w:hAnsi="Century Gothic" w:cs="Tahoma"/>
          <w:lang w:val="es-CO"/>
        </w:rPr>
        <w:t>, presentó ante la convocada, est</w:t>
      </w:r>
      <w:r w:rsidR="00BD0639">
        <w:rPr>
          <w:rFonts w:ascii="Century Gothic" w:hAnsi="Century Gothic" w:cs="Tahoma"/>
          <w:lang w:val="es-CO"/>
        </w:rPr>
        <w:t>a</w:t>
      </w:r>
      <w:r w:rsidR="006C342D">
        <w:rPr>
          <w:rFonts w:ascii="Century Gothic" w:hAnsi="Century Gothic" w:cs="Tahoma"/>
          <w:lang w:val="es-CO"/>
        </w:rPr>
        <w:t>do de la situación financiera a 31 de diciembre de 2020, así como notas a los estados financieros y certificación del 15 de marzo de 2021, siendo que en la nota 4 de las notas a los estados financieros, se avalúa la propiedad, planta y equipo como sigue:</w:t>
      </w:r>
    </w:p>
    <w:p w14:paraId="191D3779" w14:textId="77777777" w:rsidR="006C342D" w:rsidRDefault="006C342D" w:rsidP="007833C9">
      <w:pPr>
        <w:jc w:val="both"/>
        <w:rPr>
          <w:rFonts w:ascii="Century Gothic" w:hAnsi="Century Gothic" w:cs="Tahoma"/>
          <w:lang w:val="es-CO"/>
        </w:rPr>
      </w:pPr>
    </w:p>
    <w:p w14:paraId="10E5E68A" w14:textId="77777777" w:rsidR="006C342D" w:rsidRDefault="006C342D" w:rsidP="006C342D">
      <w:pPr>
        <w:jc w:val="center"/>
        <w:rPr>
          <w:rFonts w:ascii="Century Gothic" w:hAnsi="Century Gothic" w:cs="Tahoma"/>
          <w:lang w:val="es-CO"/>
        </w:rPr>
      </w:pPr>
      <w:r>
        <w:rPr>
          <w:noProof/>
          <w:lang w:val="es-CO" w:eastAsia="es-CO"/>
        </w:rPr>
        <w:drawing>
          <wp:inline distT="0" distB="0" distL="0" distR="0" wp14:anchorId="5D6AF450" wp14:editId="3438C4E1">
            <wp:extent cx="4962752" cy="300990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l="14098" t="26888" r="38851" b="22357"/>
                    <a:stretch/>
                  </pic:blipFill>
                  <pic:spPr bwMode="auto">
                    <a:xfrm>
                      <a:off x="0" y="0"/>
                      <a:ext cx="4976755" cy="3018393"/>
                    </a:xfrm>
                    <a:prstGeom prst="rect">
                      <a:avLst/>
                    </a:prstGeom>
                    <a:ln>
                      <a:noFill/>
                    </a:ln>
                    <a:extLst>
                      <a:ext uri="{53640926-AAD7-44D8-BBD7-CCE9431645EC}">
                        <a14:shadowObscured xmlns:a14="http://schemas.microsoft.com/office/drawing/2010/main"/>
                      </a:ext>
                    </a:extLst>
                  </pic:spPr>
                </pic:pic>
              </a:graphicData>
            </a:graphic>
          </wp:inline>
        </w:drawing>
      </w:r>
    </w:p>
    <w:p w14:paraId="5EC9FDD8" w14:textId="77777777" w:rsidR="006C342D" w:rsidRDefault="006C342D" w:rsidP="006C342D">
      <w:pPr>
        <w:jc w:val="center"/>
        <w:rPr>
          <w:rFonts w:ascii="Century Gothic" w:hAnsi="Century Gothic" w:cs="Tahoma"/>
          <w:lang w:val="es-CO"/>
        </w:rPr>
      </w:pPr>
    </w:p>
    <w:p w14:paraId="061C2CC7" w14:textId="77777777" w:rsidR="006C342D" w:rsidRDefault="006C342D" w:rsidP="006C342D">
      <w:pPr>
        <w:jc w:val="both"/>
        <w:rPr>
          <w:rFonts w:ascii="Century Gothic" w:hAnsi="Century Gothic" w:cs="Tahoma"/>
          <w:lang w:val="es-CO"/>
        </w:rPr>
      </w:pPr>
      <w:r>
        <w:rPr>
          <w:rFonts w:ascii="Century Gothic" w:hAnsi="Century Gothic" w:cs="Tahoma"/>
          <w:lang w:val="es-CO"/>
        </w:rPr>
        <w:t>Mientras que en la certificación del 15 de marzo de 2021, se hace constar:</w:t>
      </w:r>
    </w:p>
    <w:p w14:paraId="01EE7197" w14:textId="77777777" w:rsidR="006C342D" w:rsidRDefault="006C342D" w:rsidP="006C342D">
      <w:pPr>
        <w:jc w:val="both"/>
        <w:rPr>
          <w:rFonts w:ascii="Century Gothic" w:hAnsi="Century Gothic" w:cs="Tahoma"/>
          <w:lang w:val="es-CO"/>
        </w:rPr>
      </w:pPr>
    </w:p>
    <w:p w14:paraId="3388502C" w14:textId="77777777" w:rsidR="006C342D" w:rsidRDefault="006C342D" w:rsidP="006C342D">
      <w:pPr>
        <w:jc w:val="center"/>
        <w:rPr>
          <w:rFonts w:ascii="Century Gothic" w:hAnsi="Century Gothic" w:cs="Tahoma"/>
          <w:lang w:val="es-CO"/>
        </w:rPr>
      </w:pPr>
      <w:r>
        <w:rPr>
          <w:noProof/>
          <w:lang w:val="es-CO" w:eastAsia="es-CO"/>
        </w:rPr>
        <w:drawing>
          <wp:inline distT="0" distB="0" distL="0" distR="0" wp14:anchorId="0138BD83" wp14:editId="02419F72">
            <wp:extent cx="4149015" cy="2133600"/>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l="17562" t="29003" r="46258" b="35347"/>
                    <a:stretch/>
                  </pic:blipFill>
                  <pic:spPr bwMode="auto">
                    <a:xfrm>
                      <a:off x="0" y="0"/>
                      <a:ext cx="4152357" cy="2135319"/>
                    </a:xfrm>
                    <a:prstGeom prst="rect">
                      <a:avLst/>
                    </a:prstGeom>
                    <a:ln>
                      <a:noFill/>
                    </a:ln>
                    <a:extLst>
                      <a:ext uri="{53640926-AAD7-44D8-BBD7-CCE9431645EC}">
                        <a14:shadowObscured xmlns:a14="http://schemas.microsoft.com/office/drawing/2010/main"/>
                      </a:ext>
                    </a:extLst>
                  </pic:spPr>
                </pic:pic>
              </a:graphicData>
            </a:graphic>
          </wp:inline>
        </w:drawing>
      </w:r>
    </w:p>
    <w:p w14:paraId="0F78892C" w14:textId="77777777" w:rsidR="006C342D" w:rsidRDefault="006C342D" w:rsidP="006C342D">
      <w:pPr>
        <w:jc w:val="center"/>
        <w:rPr>
          <w:rFonts w:ascii="Century Gothic" w:hAnsi="Century Gothic" w:cs="Tahoma"/>
          <w:lang w:val="es-CO"/>
        </w:rPr>
      </w:pPr>
    </w:p>
    <w:p w14:paraId="1E3317A8" w14:textId="3240353D" w:rsidR="006C342D" w:rsidRDefault="0015436B" w:rsidP="006C342D">
      <w:pPr>
        <w:jc w:val="both"/>
        <w:rPr>
          <w:rFonts w:ascii="Century Gothic" w:hAnsi="Century Gothic" w:cs="Tahoma"/>
          <w:lang w:val="es-CO"/>
        </w:rPr>
      </w:pPr>
      <w:r>
        <w:rPr>
          <w:rFonts w:ascii="Century Gothic" w:hAnsi="Century Gothic" w:cs="Tahoma"/>
          <w:b/>
          <w:lang w:val="es-CO"/>
        </w:rPr>
        <w:t xml:space="preserve">TRIGÉSIMO </w:t>
      </w:r>
      <w:r w:rsidR="00D95924">
        <w:rPr>
          <w:rFonts w:ascii="Century Gothic" w:hAnsi="Century Gothic" w:cs="Tahoma"/>
          <w:b/>
          <w:lang w:val="es-CO"/>
        </w:rPr>
        <w:t>SEXTO</w:t>
      </w:r>
      <w:r>
        <w:rPr>
          <w:rFonts w:ascii="Century Gothic" w:hAnsi="Century Gothic" w:cs="Tahoma"/>
          <w:b/>
          <w:lang w:val="es-CO"/>
        </w:rPr>
        <w:t xml:space="preserve">: </w:t>
      </w:r>
      <w:r w:rsidR="00CB03BC">
        <w:rPr>
          <w:rFonts w:ascii="Century Gothic" w:hAnsi="Century Gothic" w:cs="Tahoma"/>
          <w:lang w:val="es-CO"/>
        </w:rPr>
        <w:t>Que mediante documento con radicado No. 2021-01-376281, el señor RODRIGUEZ GANTIVA, presentó ante la convocada, informe de gestión, acompañado de estados financieros con corte a 30 de abril de 2021, así como notas a los mismos y certificación del 24 de mayo de 2021, esta última que hace constar:</w:t>
      </w:r>
    </w:p>
    <w:p w14:paraId="291F4420" w14:textId="77777777" w:rsidR="00CB03BC" w:rsidRDefault="00CB03BC" w:rsidP="006C342D">
      <w:pPr>
        <w:jc w:val="both"/>
        <w:rPr>
          <w:rFonts w:ascii="Century Gothic" w:hAnsi="Century Gothic" w:cs="Tahoma"/>
          <w:lang w:val="es-CO"/>
        </w:rPr>
      </w:pPr>
    </w:p>
    <w:p w14:paraId="2F854D07" w14:textId="77777777" w:rsidR="00CB03BC" w:rsidRPr="003C5773" w:rsidRDefault="00CB03BC" w:rsidP="00CB03BC">
      <w:pPr>
        <w:jc w:val="center"/>
        <w:rPr>
          <w:rFonts w:ascii="Century Gothic" w:hAnsi="Century Gothic" w:cs="Tahoma"/>
          <w:lang w:val="es-CO"/>
        </w:rPr>
      </w:pPr>
      <w:r>
        <w:rPr>
          <w:noProof/>
          <w:lang w:val="es-CO" w:eastAsia="es-CO"/>
        </w:rPr>
        <w:drawing>
          <wp:inline distT="0" distB="0" distL="0" distR="0" wp14:anchorId="1E9E628F" wp14:editId="1D14ED5A">
            <wp:extent cx="5131765" cy="30003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Lst>
                    </a:blip>
                    <a:srcRect l="23440" t="35347" r="30188" b="19034"/>
                    <a:stretch/>
                  </pic:blipFill>
                  <pic:spPr bwMode="auto">
                    <a:xfrm>
                      <a:off x="0" y="0"/>
                      <a:ext cx="5140743" cy="3005624"/>
                    </a:xfrm>
                    <a:prstGeom prst="rect">
                      <a:avLst/>
                    </a:prstGeom>
                    <a:ln>
                      <a:noFill/>
                    </a:ln>
                    <a:extLst>
                      <a:ext uri="{53640926-AAD7-44D8-BBD7-CCE9431645EC}">
                        <a14:shadowObscured xmlns:a14="http://schemas.microsoft.com/office/drawing/2010/main"/>
                      </a:ext>
                    </a:extLst>
                  </pic:spPr>
                </pic:pic>
              </a:graphicData>
            </a:graphic>
          </wp:inline>
        </w:drawing>
      </w:r>
    </w:p>
    <w:p w14:paraId="27E8D15F" w14:textId="77777777" w:rsidR="00A871C1" w:rsidRDefault="00A871C1" w:rsidP="00674765">
      <w:pPr>
        <w:jc w:val="center"/>
        <w:rPr>
          <w:rFonts w:ascii="Century Gothic" w:hAnsi="Century Gothic" w:cs="Tahoma"/>
          <w:lang w:val="es-CO"/>
        </w:rPr>
      </w:pPr>
    </w:p>
    <w:p w14:paraId="29B4FC76" w14:textId="77777777" w:rsidR="00A871C1" w:rsidRDefault="00CB03BC" w:rsidP="00CB03BC">
      <w:pPr>
        <w:jc w:val="both"/>
        <w:rPr>
          <w:rFonts w:ascii="Century Gothic" w:hAnsi="Century Gothic" w:cs="Tahoma"/>
          <w:lang w:val="es-CO"/>
        </w:rPr>
      </w:pPr>
      <w:r>
        <w:rPr>
          <w:rFonts w:ascii="Century Gothic" w:hAnsi="Century Gothic" w:cs="Tahoma"/>
          <w:lang w:val="es-CO"/>
        </w:rPr>
        <w:t>Mientras que en la nota 4 de las notas a los estados financieros, sobre el ítem de propiedad, planta y equipo se tiene:</w:t>
      </w:r>
    </w:p>
    <w:p w14:paraId="1F45F144" w14:textId="77777777" w:rsidR="00CB03BC" w:rsidRDefault="00CB03BC" w:rsidP="00CB03BC">
      <w:pPr>
        <w:jc w:val="both"/>
        <w:rPr>
          <w:rFonts w:ascii="Century Gothic" w:hAnsi="Century Gothic" w:cs="Tahoma"/>
          <w:lang w:val="es-CO"/>
        </w:rPr>
      </w:pPr>
    </w:p>
    <w:p w14:paraId="59459298" w14:textId="77777777" w:rsidR="00CB03BC" w:rsidRDefault="00CB03BC" w:rsidP="00CB03BC">
      <w:pPr>
        <w:jc w:val="center"/>
        <w:rPr>
          <w:rFonts w:ascii="Century Gothic" w:hAnsi="Century Gothic" w:cs="Tahoma"/>
          <w:lang w:val="es-CO"/>
        </w:rPr>
      </w:pPr>
      <w:r>
        <w:rPr>
          <w:noProof/>
          <w:lang w:val="es-CO" w:eastAsia="es-CO"/>
        </w:rPr>
        <w:drawing>
          <wp:inline distT="0" distB="0" distL="0" distR="0" wp14:anchorId="1F5A480C" wp14:editId="57DF2198">
            <wp:extent cx="5229225" cy="39909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Lst>
                    </a:blip>
                    <a:srcRect l="22251" t="18127" r="23903" b="7855"/>
                    <a:stretch/>
                  </pic:blipFill>
                  <pic:spPr bwMode="auto">
                    <a:xfrm>
                      <a:off x="0" y="0"/>
                      <a:ext cx="5249069" cy="4006120"/>
                    </a:xfrm>
                    <a:prstGeom prst="rect">
                      <a:avLst/>
                    </a:prstGeom>
                    <a:ln>
                      <a:noFill/>
                    </a:ln>
                    <a:extLst>
                      <a:ext uri="{53640926-AAD7-44D8-BBD7-CCE9431645EC}">
                        <a14:shadowObscured xmlns:a14="http://schemas.microsoft.com/office/drawing/2010/main"/>
                      </a:ext>
                    </a:extLst>
                  </pic:spPr>
                </pic:pic>
              </a:graphicData>
            </a:graphic>
          </wp:inline>
        </w:drawing>
      </w:r>
    </w:p>
    <w:p w14:paraId="5D15C9B4" w14:textId="77777777" w:rsidR="00CB03BC" w:rsidRDefault="00CB03BC" w:rsidP="00674765">
      <w:pPr>
        <w:jc w:val="center"/>
        <w:rPr>
          <w:rFonts w:ascii="Century Gothic" w:hAnsi="Century Gothic" w:cs="Tahoma"/>
          <w:lang w:val="es-CO"/>
        </w:rPr>
      </w:pPr>
    </w:p>
    <w:p w14:paraId="27E7DB3B" w14:textId="7F14291E" w:rsidR="00CB03BC" w:rsidRDefault="00CB03BC" w:rsidP="00CB03BC">
      <w:pPr>
        <w:jc w:val="both"/>
        <w:rPr>
          <w:rFonts w:ascii="Century Gothic" w:hAnsi="Century Gothic" w:cs="Tahoma"/>
          <w:lang w:val="es-CO"/>
        </w:rPr>
      </w:pPr>
      <w:r>
        <w:rPr>
          <w:rFonts w:ascii="Century Gothic" w:hAnsi="Century Gothic" w:cs="Tahoma"/>
          <w:b/>
          <w:lang w:val="es-CO"/>
        </w:rPr>
        <w:t xml:space="preserve">TRIGÉSIMO </w:t>
      </w:r>
      <w:r w:rsidR="00D95924">
        <w:rPr>
          <w:rFonts w:ascii="Century Gothic" w:hAnsi="Century Gothic" w:cs="Tahoma"/>
          <w:b/>
          <w:lang w:val="es-CO"/>
        </w:rPr>
        <w:t>SÉPTIMO</w:t>
      </w:r>
      <w:r>
        <w:rPr>
          <w:rFonts w:ascii="Century Gothic" w:hAnsi="Century Gothic" w:cs="Tahoma"/>
          <w:b/>
          <w:lang w:val="es-CO"/>
        </w:rPr>
        <w:t xml:space="preserve">: </w:t>
      </w:r>
      <w:r>
        <w:rPr>
          <w:rFonts w:ascii="Century Gothic" w:hAnsi="Century Gothic" w:cs="Tahoma"/>
          <w:lang w:val="es-CO"/>
        </w:rPr>
        <w:t>Que mediante radicado No. 2021-01-604197, el liquidador RODRIGUEZ GANTIVA, presentó ante la convocada, informe de gestión, acompañado de estados de la situación financiera de MULTIPOLIMEROS S.A.S., con corte a 31 de agosto de 2021, así como sus notas y certificación del 4 de octubre de 2021, esta última que hace constar:</w:t>
      </w:r>
    </w:p>
    <w:p w14:paraId="04D21BF0" w14:textId="77777777" w:rsidR="00CB03BC" w:rsidRDefault="00CB03BC" w:rsidP="00CB03BC">
      <w:pPr>
        <w:jc w:val="both"/>
        <w:rPr>
          <w:rFonts w:ascii="Century Gothic" w:hAnsi="Century Gothic" w:cs="Tahoma"/>
          <w:lang w:val="es-CO"/>
        </w:rPr>
      </w:pPr>
    </w:p>
    <w:p w14:paraId="0B866DD4" w14:textId="77777777" w:rsidR="00CB03BC" w:rsidRDefault="00CB03BC" w:rsidP="00CB03BC">
      <w:pPr>
        <w:jc w:val="center"/>
        <w:rPr>
          <w:rFonts w:ascii="Century Gothic" w:hAnsi="Century Gothic" w:cs="Tahoma"/>
          <w:lang w:val="es-CO"/>
        </w:rPr>
      </w:pPr>
      <w:r>
        <w:rPr>
          <w:noProof/>
          <w:lang w:val="es-CO" w:eastAsia="es-CO"/>
        </w:rPr>
        <w:lastRenderedPageBreak/>
        <w:drawing>
          <wp:inline distT="0" distB="0" distL="0" distR="0" wp14:anchorId="14528309" wp14:editId="73CA3B62">
            <wp:extent cx="4648840" cy="25146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Lst>
                    </a:blip>
                    <a:srcRect l="17496" t="38672" r="45135" b="25377"/>
                    <a:stretch/>
                  </pic:blipFill>
                  <pic:spPr bwMode="auto">
                    <a:xfrm>
                      <a:off x="0" y="0"/>
                      <a:ext cx="4653907" cy="2517341"/>
                    </a:xfrm>
                    <a:prstGeom prst="rect">
                      <a:avLst/>
                    </a:prstGeom>
                    <a:ln>
                      <a:noFill/>
                    </a:ln>
                    <a:extLst>
                      <a:ext uri="{53640926-AAD7-44D8-BBD7-CCE9431645EC}">
                        <a14:shadowObscured xmlns:a14="http://schemas.microsoft.com/office/drawing/2010/main"/>
                      </a:ext>
                    </a:extLst>
                  </pic:spPr>
                </pic:pic>
              </a:graphicData>
            </a:graphic>
          </wp:inline>
        </w:drawing>
      </w:r>
    </w:p>
    <w:p w14:paraId="3F3014DD" w14:textId="77777777" w:rsidR="00CB03BC" w:rsidRDefault="00CB03BC" w:rsidP="00CB03BC">
      <w:pPr>
        <w:jc w:val="center"/>
        <w:rPr>
          <w:rFonts w:ascii="Century Gothic" w:hAnsi="Century Gothic" w:cs="Tahoma"/>
          <w:lang w:val="es-CO"/>
        </w:rPr>
      </w:pPr>
    </w:p>
    <w:p w14:paraId="329D3AA0" w14:textId="77777777" w:rsidR="00CB03BC" w:rsidRDefault="00CB03BC" w:rsidP="00CB03BC">
      <w:pPr>
        <w:jc w:val="both"/>
        <w:rPr>
          <w:rFonts w:ascii="Century Gothic" w:hAnsi="Century Gothic" w:cs="Tahoma"/>
          <w:lang w:val="es-CO"/>
        </w:rPr>
      </w:pPr>
      <w:r>
        <w:rPr>
          <w:rFonts w:ascii="Century Gothic" w:hAnsi="Century Gothic" w:cs="Tahoma"/>
          <w:lang w:val="es-CO"/>
        </w:rPr>
        <w:t>En tanto en la nota 4 del documento de notas a los estados financieros, sobre el ítem de propiedad, planta y equipo se relaciona:</w:t>
      </w:r>
    </w:p>
    <w:p w14:paraId="54DEEBE2" w14:textId="77777777" w:rsidR="00CB03BC" w:rsidRDefault="00CB03BC" w:rsidP="00CB03BC">
      <w:pPr>
        <w:jc w:val="both"/>
        <w:rPr>
          <w:rFonts w:ascii="Century Gothic" w:hAnsi="Century Gothic" w:cs="Tahoma"/>
          <w:lang w:val="es-CO"/>
        </w:rPr>
      </w:pPr>
    </w:p>
    <w:p w14:paraId="070C1C30" w14:textId="77777777" w:rsidR="00CB03BC" w:rsidRPr="00CB03BC" w:rsidRDefault="00CB03BC" w:rsidP="00CB03BC">
      <w:pPr>
        <w:jc w:val="center"/>
        <w:rPr>
          <w:rFonts w:ascii="Century Gothic" w:hAnsi="Century Gothic" w:cs="Tahoma"/>
          <w:lang w:val="es-CO"/>
        </w:rPr>
      </w:pPr>
      <w:r>
        <w:rPr>
          <w:noProof/>
          <w:lang w:val="es-CO" w:eastAsia="es-CO"/>
        </w:rPr>
        <w:drawing>
          <wp:inline distT="0" distB="0" distL="0" distR="0" wp14:anchorId="249F44A0" wp14:editId="41A5D957">
            <wp:extent cx="4336040" cy="295275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14438" t="22054" r="39870" b="14199"/>
                    <a:stretch/>
                  </pic:blipFill>
                  <pic:spPr bwMode="auto">
                    <a:xfrm>
                      <a:off x="0" y="0"/>
                      <a:ext cx="4350681" cy="2962720"/>
                    </a:xfrm>
                    <a:prstGeom prst="rect">
                      <a:avLst/>
                    </a:prstGeom>
                    <a:ln>
                      <a:noFill/>
                    </a:ln>
                    <a:extLst>
                      <a:ext uri="{53640926-AAD7-44D8-BBD7-CCE9431645EC}">
                        <a14:shadowObscured xmlns:a14="http://schemas.microsoft.com/office/drawing/2010/main"/>
                      </a:ext>
                    </a:extLst>
                  </pic:spPr>
                </pic:pic>
              </a:graphicData>
            </a:graphic>
          </wp:inline>
        </w:drawing>
      </w:r>
    </w:p>
    <w:p w14:paraId="76A2242B" w14:textId="77777777" w:rsidR="00A871C1" w:rsidRDefault="00A871C1" w:rsidP="00674765">
      <w:pPr>
        <w:jc w:val="center"/>
        <w:rPr>
          <w:rFonts w:ascii="Century Gothic" w:hAnsi="Century Gothic" w:cs="Tahoma"/>
          <w:lang w:val="es-CO"/>
        </w:rPr>
      </w:pPr>
    </w:p>
    <w:p w14:paraId="45527171" w14:textId="4AAF5BFC" w:rsidR="00A871C1" w:rsidRDefault="00C55747" w:rsidP="00CB03BC">
      <w:pPr>
        <w:jc w:val="both"/>
        <w:rPr>
          <w:rFonts w:ascii="Century Gothic" w:hAnsi="Century Gothic" w:cs="Tahoma"/>
          <w:lang w:val="es-CO"/>
        </w:rPr>
      </w:pPr>
      <w:r>
        <w:rPr>
          <w:rFonts w:ascii="Century Gothic" w:hAnsi="Century Gothic" w:cs="Tahoma"/>
          <w:b/>
          <w:lang w:val="es-CO"/>
        </w:rPr>
        <w:t xml:space="preserve">TRIGÉSIMO </w:t>
      </w:r>
      <w:r w:rsidR="00D95924">
        <w:rPr>
          <w:rFonts w:ascii="Century Gothic" w:hAnsi="Century Gothic" w:cs="Tahoma"/>
          <w:b/>
          <w:lang w:val="es-CO"/>
        </w:rPr>
        <w:t>OCTAVO</w:t>
      </w:r>
      <w:r>
        <w:rPr>
          <w:rFonts w:ascii="Century Gothic" w:hAnsi="Century Gothic" w:cs="Tahoma"/>
          <w:b/>
          <w:lang w:val="es-CO"/>
        </w:rPr>
        <w:t xml:space="preserve">: </w:t>
      </w:r>
      <w:r w:rsidR="00B21738">
        <w:rPr>
          <w:rFonts w:ascii="Century Gothic" w:hAnsi="Century Gothic" w:cs="Tahoma"/>
          <w:lang w:val="es-CO"/>
        </w:rPr>
        <w:t>Que el día 29 de octubre de 2021, se consigna bajo el radicado No. 2021-03-011284, el Acta de resolución de objeciones, reconocimiento, calificación y graduación de créditos, asignación de derechos de voto, aprobación de inventario de bienes valorados y fijación de honorarios al liquidador, donde se conciliaron parcialmente las objeciones presentadas por mi mandante a fecha del 12 de febrero de 2021, con relación al crédito litigioso y su cuantía.</w:t>
      </w:r>
    </w:p>
    <w:p w14:paraId="06D6E494" w14:textId="77777777" w:rsidR="006410FB" w:rsidRDefault="006410FB" w:rsidP="00CB03BC">
      <w:pPr>
        <w:jc w:val="both"/>
        <w:rPr>
          <w:rFonts w:ascii="Century Gothic" w:hAnsi="Century Gothic" w:cs="Tahoma"/>
          <w:lang w:val="es-CO"/>
        </w:rPr>
      </w:pPr>
    </w:p>
    <w:p w14:paraId="7D0BC426" w14:textId="011427D6" w:rsidR="006410FB" w:rsidRDefault="006410FB" w:rsidP="00CB03BC">
      <w:pPr>
        <w:jc w:val="both"/>
        <w:rPr>
          <w:rFonts w:ascii="Century Gothic" w:hAnsi="Century Gothic" w:cs="Tahoma"/>
          <w:lang w:val="es-CO"/>
        </w:rPr>
      </w:pPr>
      <w:r w:rsidRPr="00FA2593">
        <w:rPr>
          <w:rFonts w:ascii="Century Gothic" w:hAnsi="Century Gothic" w:cs="Tahoma"/>
          <w:b/>
          <w:lang w:val="es-CO"/>
        </w:rPr>
        <w:t xml:space="preserve">TRIGÉSIMO </w:t>
      </w:r>
      <w:r w:rsidR="00D95924">
        <w:rPr>
          <w:rFonts w:ascii="Century Gothic" w:hAnsi="Century Gothic" w:cs="Tahoma"/>
          <w:b/>
          <w:lang w:val="es-CO"/>
        </w:rPr>
        <w:t>NOVENO</w:t>
      </w:r>
      <w:r w:rsidRPr="00FA2593">
        <w:rPr>
          <w:rFonts w:ascii="Century Gothic" w:hAnsi="Century Gothic" w:cs="Tahoma"/>
          <w:b/>
          <w:lang w:val="es-CO"/>
        </w:rPr>
        <w:t>:</w:t>
      </w:r>
      <w:r>
        <w:rPr>
          <w:rFonts w:ascii="Century Gothic" w:hAnsi="Century Gothic" w:cs="Tahoma"/>
          <w:b/>
          <w:lang w:val="es-CO"/>
        </w:rPr>
        <w:t xml:space="preserve"> </w:t>
      </w:r>
      <w:r>
        <w:rPr>
          <w:rFonts w:ascii="Century Gothic" w:hAnsi="Century Gothic" w:cs="Tahoma"/>
          <w:lang w:val="es-CO"/>
        </w:rPr>
        <w:t>Que el día 16 de marzo de 2022, bajo documento con radicado No. 2022-01-</w:t>
      </w:r>
      <w:r w:rsidR="005C6F91">
        <w:rPr>
          <w:rFonts w:ascii="Century Gothic" w:hAnsi="Century Gothic" w:cs="Tahoma"/>
          <w:lang w:val="es-CO"/>
        </w:rPr>
        <w:t>1535</w:t>
      </w:r>
      <w:r>
        <w:rPr>
          <w:rFonts w:ascii="Century Gothic" w:hAnsi="Century Gothic" w:cs="Tahoma"/>
          <w:lang w:val="es-CO"/>
        </w:rPr>
        <w:t xml:space="preserve">92, el suscrito en representación del señor CARLOS MANUEL HOYOS VALDERRAMA, presentó ante la convocada </w:t>
      </w:r>
      <w:r w:rsidRPr="00BD0639">
        <w:rPr>
          <w:rFonts w:ascii="Century Gothic" w:hAnsi="Century Gothic" w:cs="Tahoma"/>
          <w:b/>
          <w:u w:val="single"/>
          <w:lang w:val="es-CO"/>
        </w:rPr>
        <w:t>incidente de remoción y sustitución del liquidador</w:t>
      </w:r>
      <w:r>
        <w:rPr>
          <w:rFonts w:ascii="Century Gothic" w:hAnsi="Century Gothic" w:cs="Tahoma"/>
          <w:lang w:val="es-CO"/>
        </w:rPr>
        <w:t xml:space="preserve">, </w:t>
      </w:r>
      <w:r w:rsidR="005C6F91">
        <w:rPr>
          <w:rFonts w:ascii="Century Gothic" w:hAnsi="Century Gothic" w:cs="Tahoma"/>
          <w:lang w:val="es-CO"/>
        </w:rPr>
        <w:t>toda vez que las conductas del señor RODRIGUEZ GANTIVA, se enmarcan dentro de los eventos que contempla el artículo 2.2.2.11.6.1.</w:t>
      </w:r>
      <w:r w:rsidR="00C76D44">
        <w:rPr>
          <w:rFonts w:ascii="Century Gothic" w:hAnsi="Century Gothic" w:cs="Tahoma"/>
          <w:lang w:val="es-CO"/>
        </w:rPr>
        <w:t>,</w:t>
      </w:r>
      <w:r w:rsidR="005C6F91">
        <w:rPr>
          <w:rFonts w:ascii="Century Gothic" w:hAnsi="Century Gothic" w:cs="Tahoma"/>
          <w:lang w:val="es-CO"/>
        </w:rPr>
        <w:t xml:space="preserve"> del Decreto 2130 de 2015, en razón a: 1.- Inobservancia de la prohibición contemplada en el numeral 11 del artículo 50 de la Ley 1116 de 2006 por realizar pagos de obligaciones causadas con anterioridad al proceso de insolvencia; 2.- Desprotección del patrimonio de la sociedad; 3.- Depreciación no razonable de propiedad, planta y equipo; 4.- Omisión de llevar a cabo acción revocatoria; 5.- Graves inconsistencias en el recaudo de cartera; y 6.- Omisión grave y reiterada de sus obligaciones. Se aclara que a este incidente se solicitó se tramite conforme lo previsto en el artículo 8 de la Ley 1116 de 2006 y las disposiciones del artículo 127 de la Ley 1564 de 2012.</w:t>
      </w:r>
    </w:p>
    <w:p w14:paraId="4770E376" w14:textId="77777777" w:rsidR="00C76D44" w:rsidRDefault="00C76D44" w:rsidP="00CB03BC">
      <w:pPr>
        <w:jc w:val="both"/>
        <w:rPr>
          <w:rFonts w:ascii="Century Gothic" w:hAnsi="Century Gothic" w:cs="Tahoma"/>
          <w:lang w:val="es-CO"/>
        </w:rPr>
      </w:pPr>
    </w:p>
    <w:p w14:paraId="50D2F0DF" w14:textId="2E19CC79" w:rsidR="00C76D44" w:rsidRDefault="00D95924" w:rsidP="00CB03BC">
      <w:pPr>
        <w:jc w:val="both"/>
        <w:rPr>
          <w:rFonts w:ascii="Century Gothic" w:hAnsi="Century Gothic" w:cs="Tahoma"/>
          <w:lang w:val="es-CO"/>
        </w:rPr>
      </w:pPr>
      <w:r>
        <w:rPr>
          <w:rFonts w:ascii="Century Gothic" w:hAnsi="Century Gothic" w:cs="Tahoma"/>
          <w:b/>
          <w:lang w:val="es-CO"/>
        </w:rPr>
        <w:t>CUATRAGÉSIMO</w:t>
      </w:r>
      <w:r w:rsidR="00C76D44">
        <w:rPr>
          <w:rFonts w:ascii="Century Gothic" w:hAnsi="Century Gothic" w:cs="Tahoma"/>
          <w:b/>
          <w:lang w:val="es-CO"/>
        </w:rPr>
        <w:t xml:space="preserve">: </w:t>
      </w:r>
      <w:r w:rsidR="00C76D44">
        <w:rPr>
          <w:rFonts w:ascii="Century Gothic" w:hAnsi="Century Gothic" w:cs="Tahoma"/>
          <w:lang w:val="es-CO"/>
        </w:rPr>
        <w:t>Que mediante documento con radicado No. 2022-01-170487, el señor RODRIGUEZ GANTIVA, se pronunció frente a los cargos formulados en el escrito de incidente de remoción y sustitución de que trata el hecho que antecede, manifestando que los fundamentos del incidente ya habían sido resueltos por el despacho con antelación, sin que exista causal para su remoción.</w:t>
      </w:r>
    </w:p>
    <w:p w14:paraId="476F6E08" w14:textId="77777777" w:rsidR="00C76D44" w:rsidRDefault="00C76D44" w:rsidP="00CB03BC">
      <w:pPr>
        <w:jc w:val="both"/>
        <w:rPr>
          <w:rFonts w:ascii="Century Gothic" w:hAnsi="Century Gothic" w:cs="Tahoma"/>
          <w:lang w:val="es-CO"/>
        </w:rPr>
      </w:pPr>
    </w:p>
    <w:p w14:paraId="18DD0CA3" w14:textId="47DE1250" w:rsidR="00C76D44" w:rsidRDefault="00D95924" w:rsidP="00CB03BC">
      <w:pPr>
        <w:jc w:val="both"/>
        <w:rPr>
          <w:rFonts w:ascii="Century Gothic" w:hAnsi="Century Gothic" w:cs="Tahoma"/>
          <w:lang w:val="es-CO"/>
        </w:rPr>
      </w:pPr>
      <w:r>
        <w:rPr>
          <w:rFonts w:ascii="Century Gothic" w:hAnsi="Century Gothic" w:cs="Tahoma"/>
          <w:b/>
          <w:lang w:val="es-CO"/>
        </w:rPr>
        <w:t>CUATRAGÉSIMO PRIMERO</w:t>
      </w:r>
      <w:r w:rsidR="00C76D44">
        <w:rPr>
          <w:rFonts w:ascii="Century Gothic" w:hAnsi="Century Gothic" w:cs="Tahoma"/>
          <w:b/>
          <w:lang w:val="es-CO"/>
        </w:rPr>
        <w:t xml:space="preserve">: </w:t>
      </w:r>
      <w:r w:rsidR="00920F6E">
        <w:rPr>
          <w:rFonts w:ascii="Century Gothic" w:hAnsi="Century Gothic" w:cs="Tahoma"/>
          <w:lang w:val="es-CO"/>
        </w:rPr>
        <w:t>Que por escrito con radicado No. 2022-01-197422, el señor RODRIGUEZ GANTIVA, presentó informe de gestión, acompañado de estados financieros con corte al 31 de diciembre de 2021, sus notas y certificación del 31 de marzo de 2022, esta última que hace constar:</w:t>
      </w:r>
    </w:p>
    <w:p w14:paraId="733A99FC" w14:textId="77777777" w:rsidR="00920F6E" w:rsidRDefault="00920F6E" w:rsidP="00CB03BC">
      <w:pPr>
        <w:jc w:val="both"/>
        <w:rPr>
          <w:rFonts w:ascii="Century Gothic" w:hAnsi="Century Gothic" w:cs="Tahoma"/>
          <w:lang w:val="es-CO"/>
        </w:rPr>
      </w:pPr>
    </w:p>
    <w:p w14:paraId="2A325168" w14:textId="77777777" w:rsidR="00920F6E" w:rsidRPr="00C76D44" w:rsidRDefault="00920F6E" w:rsidP="00920F6E">
      <w:pPr>
        <w:jc w:val="center"/>
        <w:rPr>
          <w:rFonts w:ascii="Century Gothic" w:hAnsi="Century Gothic" w:cs="Tahoma"/>
          <w:lang w:val="es-CO"/>
        </w:rPr>
      </w:pPr>
      <w:r>
        <w:rPr>
          <w:noProof/>
          <w:lang w:val="es-CO" w:eastAsia="es-CO"/>
        </w:rPr>
        <w:drawing>
          <wp:inline distT="0" distB="0" distL="0" distR="0" wp14:anchorId="7E957DE3" wp14:editId="6C4CA1D4">
            <wp:extent cx="4505325" cy="2543670"/>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Lst>
                    </a:blip>
                    <a:srcRect l="19024" t="36254" r="46155" b="29607"/>
                    <a:stretch/>
                  </pic:blipFill>
                  <pic:spPr bwMode="auto">
                    <a:xfrm>
                      <a:off x="0" y="0"/>
                      <a:ext cx="4512072" cy="2547479"/>
                    </a:xfrm>
                    <a:prstGeom prst="rect">
                      <a:avLst/>
                    </a:prstGeom>
                    <a:ln>
                      <a:noFill/>
                    </a:ln>
                    <a:extLst>
                      <a:ext uri="{53640926-AAD7-44D8-BBD7-CCE9431645EC}">
                        <a14:shadowObscured xmlns:a14="http://schemas.microsoft.com/office/drawing/2010/main"/>
                      </a:ext>
                    </a:extLst>
                  </pic:spPr>
                </pic:pic>
              </a:graphicData>
            </a:graphic>
          </wp:inline>
        </w:drawing>
      </w:r>
    </w:p>
    <w:p w14:paraId="6769DC2B" w14:textId="77777777" w:rsidR="00CB03BC" w:rsidRDefault="00CB03BC" w:rsidP="00674765">
      <w:pPr>
        <w:jc w:val="center"/>
        <w:rPr>
          <w:rFonts w:ascii="Century Gothic" w:hAnsi="Century Gothic" w:cs="Tahoma"/>
          <w:lang w:val="es-CO"/>
        </w:rPr>
      </w:pPr>
    </w:p>
    <w:p w14:paraId="63305235" w14:textId="77777777" w:rsidR="00CB03BC" w:rsidRDefault="00920F6E" w:rsidP="00920F6E">
      <w:pPr>
        <w:jc w:val="both"/>
        <w:rPr>
          <w:rFonts w:ascii="Century Gothic" w:hAnsi="Century Gothic" w:cs="Tahoma"/>
          <w:lang w:val="es-CO"/>
        </w:rPr>
      </w:pPr>
      <w:r>
        <w:rPr>
          <w:rFonts w:ascii="Century Gothic" w:hAnsi="Century Gothic" w:cs="Tahoma"/>
          <w:lang w:val="es-CO"/>
        </w:rPr>
        <w:t>Mientras que en la nota 3 del documento de notas a los estados financieros, en el ítem de propiedad, planta y equipo se consignó:</w:t>
      </w:r>
    </w:p>
    <w:p w14:paraId="4FCEAD5E" w14:textId="77777777" w:rsidR="00920F6E" w:rsidRDefault="00920F6E" w:rsidP="00920F6E">
      <w:pPr>
        <w:jc w:val="both"/>
        <w:rPr>
          <w:rFonts w:ascii="Century Gothic" w:hAnsi="Century Gothic" w:cs="Tahoma"/>
          <w:lang w:val="es-CO"/>
        </w:rPr>
      </w:pPr>
    </w:p>
    <w:p w14:paraId="46DDE17D" w14:textId="77777777" w:rsidR="00920F6E" w:rsidRDefault="00920F6E" w:rsidP="00920F6E">
      <w:pPr>
        <w:jc w:val="center"/>
        <w:rPr>
          <w:rFonts w:ascii="Century Gothic" w:hAnsi="Century Gothic" w:cs="Tahoma"/>
          <w:lang w:val="es-CO"/>
        </w:rPr>
      </w:pPr>
      <w:r>
        <w:rPr>
          <w:noProof/>
          <w:lang w:val="es-CO" w:eastAsia="es-CO"/>
        </w:rPr>
        <w:drawing>
          <wp:inline distT="0" distB="0" distL="0" distR="0" wp14:anchorId="767E6D44" wp14:editId="392208A3">
            <wp:extent cx="4024561" cy="780272"/>
            <wp:effectExtent l="0" t="0" r="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Lst>
                    </a:blip>
                    <a:srcRect l="20553" t="17825" r="46155" b="70695"/>
                    <a:stretch/>
                  </pic:blipFill>
                  <pic:spPr bwMode="auto">
                    <a:xfrm>
                      <a:off x="0" y="0"/>
                      <a:ext cx="4045320" cy="784297"/>
                    </a:xfrm>
                    <a:prstGeom prst="rect">
                      <a:avLst/>
                    </a:prstGeom>
                    <a:ln>
                      <a:noFill/>
                    </a:ln>
                    <a:extLst>
                      <a:ext uri="{53640926-AAD7-44D8-BBD7-CCE9431645EC}">
                        <a14:shadowObscured xmlns:a14="http://schemas.microsoft.com/office/drawing/2010/main"/>
                      </a:ext>
                    </a:extLst>
                  </pic:spPr>
                </pic:pic>
              </a:graphicData>
            </a:graphic>
          </wp:inline>
        </w:drawing>
      </w:r>
    </w:p>
    <w:p w14:paraId="4920594B" w14:textId="77777777" w:rsidR="00CB03BC" w:rsidRDefault="00CB03BC" w:rsidP="00674765">
      <w:pPr>
        <w:jc w:val="center"/>
        <w:rPr>
          <w:rFonts w:ascii="Century Gothic" w:hAnsi="Century Gothic" w:cs="Tahoma"/>
          <w:lang w:val="es-CO"/>
        </w:rPr>
      </w:pPr>
    </w:p>
    <w:p w14:paraId="790E66C3" w14:textId="2D716BB1" w:rsidR="00920F6E" w:rsidRDefault="00920F6E" w:rsidP="00663759">
      <w:pPr>
        <w:jc w:val="both"/>
        <w:rPr>
          <w:rFonts w:ascii="Century Gothic" w:hAnsi="Century Gothic" w:cs="Tahoma"/>
          <w:lang w:val="es-CO"/>
        </w:rPr>
      </w:pPr>
      <w:r>
        <w:rPr>
          <w:rFonts w:ascii="Century Gothic" w:hAnsi="Century Gothic" w:cs="Tahoma"/>
          <w:b/>
          <w:lang w:val="es-CO"/>
        </w:rPr>
        <w:t>CUADRAGÉSIMO</w:t>
      </w:r>
      <w:r w:rsidR="00D95924">
        <w:rPr>
          <w:rFonts w:ascii="Century Gothic" w:hAnsi="Century Gothic" w:cs="Tahoma"/>
          <w:b/>
          <w:lang w:val="es-CO"/>
        </w:rPr>
        <w:t xml:space="preserve"> SEGUNDO</w:t>
      </w:r>
      <w:r>
        <w:rPr>
          <w:rFonts w:ascii="Century Gothic" w:hAnsi="Century Gothic" w:cs="Tahoma"/>
          <w:b/>
          <w:lang w:val="es-CO"/>
        </w:rPr>
        <w:t xml:space="preserve">: </w:t>
      </w:r>
      <w:r>
        <w:rPr>
          <w:rFonts w:ascii="Century Gothic" w:hAnsi="Century Gothic" w:cs="Tahoma"/>
          <w:lang w:val="es-CO"/>
        </w:rPr>
        <w:t xml:space="preserve">Que el día 5 de abril de 2022, mediante documento con radicado No. 2022-01-245413, el suscrito en representación del hoy convocante adicionó una prueba al incidente de remoción y sustitución del liquidador, </w:t>
      </w:r>
      <w:r w:rsidR="00663759">
        <w:rPr>
          <w:rFonts w:ascii="Century Gothic" w:hAnsi="Century Gothic" w:cs="Tahoma"/>
          <w:lang w:val="es-CO"/>
        </w:rPr>
        <w:t xml:space="preserve">consistente en escrito del 29 de marzo de 2022, bajo radicado </w:t>
      </w:r>
      <w:r w:rsidR="00663759" w:rsidRPr="00663759">
        <w:rPr>
          <w:rFonts w:ascii="Century Gothic" w:hAnsi="Century Gothic" w:cs="Tahoma"/>
          <w:lang w:val="es-CO"/>
        </w:rPr>
        <w:t>2</w:t>
      </w:r>
      <w:r w:rsidR="00663759">
        <w:rPr>
          <w:rFonts w:ascii="Century Gothic" w:hAnsi="Century Gothic" w:cs="Tahoma"/>
          <w:lang w:val="es-CO"/>
        </w:rPr>
        <w:t xml:space="preserve">022-01-188706, mediante el cual </w:t>
      </w:r>
      <w:r w:rsidR="00663759" w:rsidRPr="00663759">
        <w:rPr>
          <w:rFonts w:ascii="Century Gothic" w:hAnsi="Century Gothic" w:cs="Tahoma"/>
          <w:lang w:val="es-CO"/>
        </w:rPr>
        <w:t>puso en su conocimiento la oferta de compra de activos de la sociedad concursada y solicito su autorización</w:t>
      </w:r>
      <w:r w:rsidR="00663759">
        <w:rPr>
          <w:rFonts w:ascii="Century Gothic" w:hAnsi="Century Gothic" w:cs="Tahoma"/>
          <w:lang w:val="es-CO"/>
        </w:rPr>
        <w:t xml:space="preserve"> </w:t>
      </w:r>
      <w:r w:rsidR="00663759" w:rsidRPr="00663759">
        <w:rPr>
          <w:rFonts w:ascii="Century Gothic" w:hAnsi="Century Gothic" w:cs="Tahoma"/>
          <w:lang w:val="es-CO"/>
        </w:rPr>
        <w:t>para su realización.</w:t>
      </w:r>
      <w:r w:rsidR="00663759">
        <w:rPr>
          <w:rFonts w:ascii="Century Gothic" w:hAnsi="Century Gothic" w:cs="Tahoma"/>
          <w:lang w:val="es-CO"/>
        </w:rPr>
        <w:t xml:space="preserve"> El fundamento de dicha prueba se cita:</w:t>
      </w:r>
    </w:p>
    <w:p w14:paraId="388942D9" w14:textId="77777777" w:rsidR="00663759" w:rsidRDefault="00663759" w:rsidP="00663759">
      <w:pPr>
        <w:jc w:val="both"/>
        <w:rPr>
          <w:rFonts w:ascii="Century Gothic" w:hAnsi="Century Gothic" w:cs="Tahoma"/>
          <w:lang w:val="es-CO"/>
        </w:rPr>
      </w:pPr>
    </w:p>
    <w:p w14:paraId="04D649FD" w14:textId="77777777" w:rsidR="00663759" w:rsidRPr="00920F6E" w:rsidRDefault="00663759" w:rsidP="00663759">
      <w:pPr>
        <w:jc w:val="center"/>
        <w:rPr>
          <w:rFonts w:ascii="Century Gothic" w:hAnsi="Century Gothic" w:cs="Tahoma"/>
          <w:lang w:val="es-CO"/>
        </w:rPr>
      </w:pPr>
      <w:r>
        <w:rPr>
          <w:noProof/>
          <w:lang w:val="es-CO" w:eastAsia="es-CO"/>
        </w:rPr>
        <w:drawing>
          <wp:inline distT="0" distB="0" distL="0" distR="0" wp14:anchorId="15000BE6" wp14:editId="5EB3D532">
            <wp:extent cx="5416236" cy="23050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sharpenSoften amount="25000"/>
                              </a14:imgEffect>
                            </a14:imgLayer>
                          </a14:imgProps>
                        </a:ext>
                      </a:extLst>
                    </a:blip>
                    <a:srcRect l="2038" t="33536" r="58894" b="36892"/>
                    <a:stretch/>
                  </pic:blipFill>
                  <pic:spPr bwMode="auto">
                    <a:xfrm>
                      <a:off x="0" y="0"/>
                      <a:ext cx="5446539" cy="2317946"/>
                    </a:xfrm>
                    <a:prstGeom prst="rect">
                      <a:avLst/>
                    </a:prstGeom>
                    <a:ln>
                      <a:noFill/>
                    </a:ln>
                    <a:extLst>
                      <a:ext uri="{53640926-AAD7-44D8-BBD7-CCE9431645EC}">
                        <a14:shadowObscured xmlns:a14="http://schemas.microsoft.com/office/drawing/2010/main"/>
                      </a:ext>
                    </a:extLst>
                  </pic:spPr>
                </pic:pic>
              </a:graphicData>
            </a:graphic>
          </wp:inline>
        </w:drawing>
      </w:r>
    </w:p>
    <w:p w14:paraId="2BE12981" w14:textId="4C4DFA0E" w:rsidR="00920F6E" w:rsidRDefault="00681277" w:rsidP="00674765">
      <w:pPr>
        <w:jc w:val="center"/>
        <w:rPr>
          <w:rFonts w:ascii="Century Gothic" w:hAnsi="Century Gothic" w:cs="Tahoma"/>
          <w:lang w:val="es-CO"/>
        </w:rPr>
      </w:pPr>
      <w:r>
        <w:rPr>
          <w:noProof/>
          <w:lang w:val="es-CO" w:eastAsia="es-CO"/>
        </w:rPr>
        <w:lastRenderedPageBreak/>
        <w:drawing>
          <wp:inline distT="0" distB="0" distL="0" distR="0" wp14:anchorId="667EC0A7" wp14:editId="2FBBB8D5">
            <wp:extent cx="5347594" cy="693729"/>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sharpenSoften amount="25000"/>
                              </a14:imgEffect>
                            </a14:imgLayer>
                          </a14:imgProps>
                        </a:ext>
                      </a:extLst>
                    </a:blip>
                    <a:srcRect l="2038" t="64401" r="58894" b="26585"/>
                    <a:stretch/>
                  </pic:blipFill>
                  <pic:spPr bwMode="auto">
                    <a:xfrm>
                      <a:off x="0" y="0"/>
                      <a:ext cx="5390589" cy="699307"/>
                    </a:xfrm>
                    <a:prstGeom prst="rect">
                      <a:avLst/>
                    </a:prstGeom>
                    <a:ln>
                      <a:noFill/>
                    </a:ln>
                    <a:extLst>
                      <a:ext uri="{53640926-AAD7-44D8-BBD7-CCE9431645EC}">
                        <a14:shadowObscured xmlns:a14="http://schemas.microsoft.com/office/drawing/2010/main"/>
                      </a:ext>
                    </a:extLst>
                  </pic:spPr>
                </pic:pic>
              </a:graphicData>
            </a:graphic>
          </wp:inline>
        </w:drawing>
      </w:r>
    </w:p>
    <w:p w14:paraId="25FF402E" w14:textId="77777777" w:rsidR="00681277" w:rsidRDefault="00681277" w:rsidP="00674765">
      <w:pPr>
        <w:jc w:val="center"/>
        <w:rPr>
          <w:rFonts w:ascii="Century Gothic" w:hAnsi="Century Gothic" w:cs="Tahoma"/>
          <w:lang w:val="es-CO"/>
        </w:rPr>
      </w:pPr>
    </w:p>
    <w:p w14:paraId="78021559" w14:textId="0F58BD81" w:rsidR="00920F6E" w:rsidRDefault="00663759" w:rsidP="00663759">
      <w:pPr>
        <w:jc w:val="both"/>
        <w:rPr>
          <w:rFonts w:ascii="Century Gothic" w:hAnsi="Century Gothic" w:cs="Tahoma"/>
          <w:lang w:val="es-CO"/>
        </w:rPr>
      </w:pPr>
      <w:r>
        <w:rPr>
          <w:rFonts w:ascii="Century Gothic" w:hAnsi="Century Gothic" w:cs="Tahoma"/>
          <w:b/>
          <w:lang w:val="es-CO"/>
        </w:rPr>
        <w:t xml:space="preserve">CUADRAGÉSIMO </w:t>
      </w:r>
      <w:r w:rsidR="00D95924">
        <w:rPr>
          <w:rFonts w:ascii="Century Gothic" w:hAnsi="Century Gothic" w:cs="Tahoma"/>
          <w:b/>
          <w:lang w:val="es-CO"/>
        </w:rPr>
        <w:t>TERCERO</w:t>
      </w:r>
      <w:r>
        <w:rPr>
          <w:rFonts w:ascii="Century Gothic" w:hAnsi="Century Gothic" w:cs="Tahoma"/>
          <w:b/>
          <w:lang w:val="es-CO"/>
        </w:rPr>
        <w:t xml:space="preserve">: </w:t>
      </w:r>
      <w:r>
        <w:rPr>
          <w:rFonts w:ascii="Century Gothic" w:hAnsi="Century Gothic" w:cs="Tahoma"/>
          <w:lang w:val="es-CO"/>
        </w:rPr>
        <w:t xml:space="preserve">Que mediante documento con radicado No. 2022-01-400337, el señor RODRIGUEZ GANTIVA, allegó a la </w:t>
      </w:r>
      <w:proofErr w:type="spellStart"/>
      <w:r>
        <w:rPr>
          <w:rFonts w:ascii="Century Gothic" w:hAnsi="Century Gothic" w:cs="Tahoma"/>
          <w:lang w:val="es-CO"/>
        </w:rPr>
        <w:t>Supersociedades</w:t>
      </w:r>
      <w:proofErr w:type="spellEnd"/>
      <w:r>
        <w:rPr>
          <w:rFonts w:ascii="Century Gothic" w:hAnsi="Century Gothic" w:cs="Tahoma"/>
          <w:lang w:val="es-CO"/>
        </w:rPr>
        <w:t>, respuesta a requerimiento Auto No. 620-000410 con radicado 2022-03-004140, en el sentido de anexar relación de bienes enaje</w:t>
      </w:r>
      <w:r w:rsidR="001330DE">
        <w:rPr>
          <w:rFonts w:ascii="Century Gothic" w:hAnsi="Century Gothic" w:cs="Tahoma"/>
          <w:lang w:val="es-CO"/>
        </w:rPr>
        <w:t>na</w:t>
      </w:r>
      <w:r>
        <w:rPr>
          <w:rFonts w:ascii="Century Gothic" w:hAnsi="Century Gothic" w:cs="Tahoma"/>
          <w:lang w:val="es-CO"/>
        </w:rPr>
        <w:t>dos a 27 de abril de 2022, y gastos de administración.</w:t>
      </w:r>
    </w:p>
    <w:p w14:paraId="02F9EF39" w14:textId="77777777" w:rsidR="001330DE" w:rsidRDefault="001330DE" w:rsidP="00663759">
      <w:pPr>
        <w:jc w:val="both"/>
        <w:rPr>
          <w:rFonts w:ascii="Century Gothic" w:hAnsi="Century Gothic" w:cs="Tahoma"/>
          <w:lang w:val="es-CO"/>
        </w:rPr>
      </w:pPr>
    </w:p>
    <w:p w14:paraId="495B02CC" w14:textId="4ABD614B" w:rsidR="001330DE" w:rsidRDefault="001330DE" w:rsidP="00663759">
      <w:pPr>
        <w:jc w:val="both"/>
        <w:rPr>
          <w:rFonts w:ascii="Century Gothic" w:hAnsi="Century Gothic" w:cs="Tahoma"/>
          <w:lang w:val="es-CO"/>
        </w:rPr>
      </w:pPr>
      <w:r>
        <w:rPr>
          <w:rFonts w:ascii="Century Gothic" w:hAnsi="Century Gothic" w:cs="Tahoma"/>
          <w:b/>
          <w:lang w:val="es-CO"/>
        </w:rPr>
        <w:t xml:space="preserve">CUADRAGÉSIMO </w:t>
      </w:r>
      <w:r w:rsidR="00D95924">
        <w:rPr>
          <w:rFonts w:ascii="Century Gothic" w:hAnsi="Century Gothic" w:cs="Tahoma"/>
          <w:b/>
          <w:lang w:val="es-CO"/>
        </w:rPr>
        <w:t>CUARTO</w:t>
      </w:r>
      <w:r>
        <w:rPr>
          <w:rFonts w:ascii="Century Gothic" w:hAnsi="Century Gothic" w:cs="Tahoma"/>
          <w:b/>
          <w:lang w:val="es-CO"/>
        </w:rPr>
        <w:t xml:space="preserve">: </w:t>
      </w:r>
      <w:r w:rsidRPr="004E3E96">
        <w:rPr>
          <w:rFonts w:ascii="Century Gothic" w:hAnsi="Century Gothic" w:cs="Tahoma"/>
          <w:b/>
          <w:u w:val="single"/>
          <w:lang w:val="es-CO"/>
        </w:rPr>
        <w:t>Que el día 11 de mayo de 2022, con Auto bajo radicado No. 2022-03-005350,</w:t>
      </w:r>
      <w:r>
        <w:rPr>
          <w:rFonts w:ascii="Century Gothic" w:hAnsi="Century Gothic" w:cs="Tahoma"/>
          <w:lang w:val="es-CO"/>
        </w:rPr>
        <w:t xml:space="preserve"> “</w:t>
      </w:r>
      <w:r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Pr>
          <w:rFonts w:ascii="Century Gothic" w:hAnsi="Century Gothic" w:cs="Tahoma"/>
          <w:lang w:val="es-CO"/>
        </w:rPr>
        <w:t xml:space="preserve"> la </w:t>
      </w:r>
      <w:proofErr w:type="spellStart"/>
      <w:r>
        <w:rPr>
          <w:rFonts w:ascii="Century Gothic" w:hAnsi="Century Gothic" w:cs="Tahoma"/>
          <w:lang w:val="es-CO"/>
        </w:rPr>
        <w:t>Supersociedades</w:t>
      </w:r>
      <w:proofErr w:type="spellEnd"/>
      <w:r>
        <w:rPr>
          <w:rFonts w:ascii="Century Gothic" w:hAnsi="Century Gothic" w:cs="Tahoma"/>
          <w:lang w:val="es-CO"/>
        </w:rPr>
        <w:t>, resolvió:</w:t>
      </w:r>
    </w:p>
    <w:p w14:paraId="43872294" w14:textId="77777777" w:rsidR="001330DE" w:rsidRDefault="001330DE" w:rsidP="00663759">
      <w:pPr>
        <w:jc w:val="both"/>
        <w:rPr>
          <w:rFonts w:ascii="Century Gothic" w:hAnsi="Century Gothic" w:cs="Tahoma"/>
          <w:lang w:val="es-CO"/>
        </w:rPr>
      </w:pPr>
    </w:p>
    <w:p w14:paraId="324669C6" w14:textId="77777777" w:rsidR="001330DE" w:rsidRDefault="001330DE" w:rsidP="001330DE">
      <w:pPr>
        <w:jc w:val="center"/>
        <w:rPr>
          <w:rFonts w:ascii="Century Gothic" w:hAnsi="Century Gothic" w:cs="Tahoma"/>
          <w:lang w:val="es-CO"/>
        </w:rPr>
      </w:pPr>
      <w:r>
        <w:rPr>
          <w:noProof/>
          <w:lang w:val="es-CO" w:eastAsia="es-CO"/>
        </w:rPr>
        <w:drawing>
          <wp:inline distT="0" distB="0" distL="0" distR="0" wp14:anchorId="36164271" wp14:editId="31188C81">
            <wp:extent cx="4152900" cy="291827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692" t="31420" r="58385" b="24721"/>
                    <a:stretch/>
                  </pic:blipFill>
                  <pic:spPr bwMode="auto">
                    <a:xfrm>
                      <a:off x="0" y="0"/>
                      <a:ext cx="4167808" cy="2928754"/>
                    </a:xfrm>
                    <a:prstGeom prst="rect">
                      <a:avLst/>
                    </a:prstGeom>
                    <a:ln>
                      <a:noFill/>
                    </a:ln>
                    <a:extLst>
                      <a:ext uri="{53640926-AAD7-44D8-BBD7-CCE9431645EC}">
                        <a14:shadowObscured xmlns:a14="http://schemas.microsoft.com/office/drawing/2010/main"/>
                      </a:ext>
                    </a:extLst>
                  </pic:spPr>
                </pic:pic>
              </a:graphicData>
            </a:graphic>
          </wp:inline>
        </w:drawing>
      </w:r>
    </w:p>
    <w:p w14:paraId="52549AE2" w14:textId="77777777" w:rsidR="001330DE" w:rsidRDefault="001330DE" w:rsidP="001330DE">
      <w:pPr>
        <w:jc w:val="center"/>
        <w:rPr>
          <w:rFonts w:ascii="Century Gothic" w:hAnsi="Century Gothic" w:cs="Tahoma"/>
          <w:lang w:val="es-CO"/>
        </w:rPr>
      </w:pPr>
    </w:p>
    <w:p w14:paraId="12C6B4A9" w14:textId="77777777" w:rsidR="001330DE" w:rsidRPr="001330DE" w:rsidRDefault="001330DE" w:rsidP="001330DE">
      <w:pPr>
        <w:jc w:val="center"/>
        <w:rPr>
          <w:rFonts w:ascii="Century Gothic" w:hAnsi="Century Gothic" w:cs="Tahoma"/>
          <w:lang w:val="es-CO"/>
        </w:rPr>
      </w:pPr>
      <w:r>
        <w:rPr>
          <w:noProof/>
          <w:lang w:val="es-CO" w:eastAsia="es-CO"/>
        </w:rPr>
        <w:drawing>
          <wp:inline distT="0" distB="0" distL="0" distR="0" wp14:anchorId="024F5440" wp14:editId="5189DA3F">
            <wp:extent cx="4339197" cy="1438275"/>
            <wp:effectExtent l="0" t="0" r="444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058" t="31722" r="58045" b="47130"/>
                    <a:stretch/>
                  </pic:blipFill>
                  <pic:spPr bwMode="auto">
                    <a:xfrm>
                      <a:off x="0" y="0"/>
                      <a:ext cx="4370056" cy="1448504"/>
                    </a:xfrm>
                    <a:prstGeom prst="rect">
                      <a:avLst/>
                    </a:prstGeom>
                    <a:ln>
                      <a:noFill/>
                    </a:ln>
                    <a:extLst>
                      <a:ext uri="{53640926-AAD7-44D8-BBD7-CCE9431645EC}">
                        <a14:shadowObscured xmlns:a14="http://schemas.microsoft.com/office/drawing/2010/main"/>
                      </a:ext>
                    </a:extLst>
                  </pic:spPr>
                </pic:pic>
              </a:graphicData>
            </a:graphic>
          </wp:inline>
        </w:drawing>
      </w:r>
    </w:p>
    <w:p w14:paraId="6C0D61BA" w14:textId="77777777" w:rsidR="00920F6E" w:rsidRDefault="00920F6E" w:rsidP="00674765">
      <w:pPr>
        <w:jc w:val="center"/>
        <w:rPr>
          <w:rFonts w:ascii="Century Gothic" w:hAnsi="Century Gothic" w:cs="Tahoma"/>
          <w:lang w:val="es-CO"/>
        </w:rPr>
      </w:pPr>
    </w:p>
    <w:p w14:paraId="586B0E76" w14:textId="775DC42E" w:rsidR="00920F6E" w:rsidRDefault="00BD62C3" w:rsidP="00BD62C3">
      <w:pPr>
        <w:jc w:val="both"/>
        <w:rPr>
          <w:rFonts w:ascii="Century Gothic" w:hAnsi="Century Gothic" w:cs="Tahoma"/>
          <w:lang w:val="es-CO"/>
        </w:rPr>
      </w:pPr>
      <w:r w:rsidRPr="00FB7F54">
        <w:rPr>
          <w:rFonts w:ascii="Century Gothic" w:hAnsi="Century Gothic" w:cs="Tahoma"/>
          <w:b/>
          <w:u w:val="single"/>
          <w:lang w:val="es-CO"/>
        </w:rPr>
        <w:t xml:space="preserve">Resulta totalmente relevante precisar, que la </w:t>
      </w:r>
      <w:proofErr w:type="spellStart"/>
      <w:r w:rsidRPr="00FB7F54">
        <w:rPr>
          <w:rFonts w:ascii="Century Gothic" w:hAnsi="Century Gothic" w:cs="Tahoma"/>
          <w:b/>
          <w:u w:val="single"/>
          <w:lang w:val="es-CO"/>
        </w:rPr>
        <w:t>Supersociedades</w:t>
      </w:r>
      <w:proofErr w:type="spellEnd"/>
      <w:r w:rsidRPr="00FB7F54">
        <w:rPr>
          <w:rFonts w:ascii="Century Gothic" w:hAnsi="Century Gothic" w:cs="Tahoma"/>
          <w:b/>
          <w:u w:val="single"/>
          <w:lang w:val="es-CO"/>
        </w:rPr>
        <w:t xml:space="preserve"> dejó de tramitar el escrito de incidente de remoción y sustitución del liquidador como incidente</w:t>
      </w:r>
      <w:r>
        <w:rPr>
          <w:rFonts w:ascii="Century Gothic" w:hAnsi="Century Gothic" w:cs="Tahoma"/>
          <w:lang w:val="es-CO"/>
        </w:rPr>
        <w:t xml:space="preserve">, </w:t>
      </w:r>
      <w:r w:rsidR="00980875">
        <w:rPr>
          <w:rFonts w:ascii="Century Gothic" w:hAnsi="Century Gothic" w:cs="Tahoma"/>
          <w:lang w:val="es-CO"/>
        </w:rPr>
        <w:t>basándose en el numeral 8 del artículo 2.2.2.9.3.2 del Decreto 1074 de 2015, modificado por el artículo 1</w:t>
      </w:r>
      <w:r w:rsidR="004E3E96">
        <w:rPr>
          <w:rFonts w:ascii="Century Gothic" w:hAnsi="Century Gothic" w:cs="Tahoma"/>
          <w:lang w:val="es-CO"/>
        </w:rPr>
        <w:t xml:space="preserve"> del Decreto 991 de 2018, por el</w:t>
      </w:r>
      <w:r w:rsidR="00980875">
        <w:rPr>
          <w:rFonts w:ascii="Century Gothic" w:hAnsi="Century Gothic" w:cs="Tahoma"/>
          <w:lang w:val="es-CO"/>
        </w:rPr>
        <w:t xml:space="preserve"> cual sustenta la convocada, la remoción y sustitución del liquidador no sigue el trámite incidental.</w:t>
      </w:r>
    </w:p>
    <w:p w14:paraId="1E16A24E" w14:textId="77777777" w:rsidR="00980875" w:rsidRDefault="00980875" w:rsidP="00BD62C3">
      <w:pPr>
        <w:jc w:val="both"/>
        <w:rPr>
          <w:rFonts w:ascii="Century Gothic" w:hAnsi="Century Gothic" w:cs="Tahoma"/>
          <w:lang w:val="es-CO"/>
        </w:rPr>
      </w:pPr>
    </w:p>
    <w:p w14:paraId="655D5137" w14:textId="659C953F" w:rsidR="00980875" w:rsidRDefault="00980875" w:rsidP="00BD62C3">
      <w:pPr>
        <w:jc w:val="both"/>
        <w:rPr>
          <w:rFonts w:ascii="Century Gothic" w:hAnsi="Century Gothic" w:cs="Tahoma"/>
          <w:lang w:val="es-CO"/>
        </w:rPr>
      </w:pPr>
      <w:r>
        <w:rPr>
          <w:rFonts w:ascii="Century Gothic" w:hAnsi="Century Gothic" w:cs="Tahoma"/>
          <w:b/>
          <w:lang w:val="es-CO"/>
        </w:rPr>
        <w:t xml:space="preserve">CUADRAGÉSIMO </w:t>
      </w:r>
      <w:r w:rsidR="00D95924">
        <w:rPr>
          <w:rFonts w:ascii="Century Gothic" w:hAnsi="Century Gothic" w:cs="Tahoma"/>
          <w:b/>
          <w:lang w:val="es-CO"/>
        </w:rPr>
        <w:t>QUINTO</w:t>
      </w:r>
      <w:r>
        <w:rPr>
          <w:rFonts w:ascii="Century Gothic" w:hAnsi="Century Gothic" w:cs="Tahoma"/>
          <w:b/>
          <w:lang w:val="es-CO"/>
        </w:rPr>
        <w:t xml:space="preserve">: </w:t>
      </w:r>
      <w:r w:rsidR="00B01D97">
        <w:rPr>
          <w:rFonts w:ascii="Century Gothic" w:hAnsi="Century Gothic" w:cs="Tahoma"/>
          <w:lang w:val="es-CO"/>
        </w:rPr>
        <w:t xml:space="preserve">Que mediante correo electrónico del 17 de mayo de 2022, obrante en el expediente del proceso liquidatorio bajo radicado No. 2022-01-460273 del 24 de mayo de 2023, el suscrito en representación del hoy </w:t>
      </w:r>
      <w:r w:rsidR="00003493">
        <w:rPr>
          <w:rFonts w:ascii="Century Gothic" w:hAnsi="Century Gothic" w:cs="Tahoma"/>
          <w:lang w:val="es-CO"/>
        </w:rPr>
        <w:t>demand</w:t>
      </w:r>
      <w:r w:rsidR="00B01D97">
        <w:rPr>
          <w:rFonts w:ascii="Century Gothic" w:hAnsi="Century Gothic" w:cs="Tahoma"/>
          <w:lang w:val="es-CO"/>
        </w:rPr>
        <w:t xml:space="preserve">ante, interpuso recurso de reposición y en subsidio de apelación contra el Auto No. 2022-03-005350, recurso que se basó en los siguientes puntos: 1.- La decisión del despacho vulnera el principio de legalidad, en la medida que se fundamenta en normatividad derogada; 2.- La decisión del despacho pretermite la oportunidad de solicitar, decretar y practicar pruebas; 3.- </w:t>
      </w:r>
      <w:r w:rsidR="005B0EA5">
        <w:rPr>
          <w:rFonts w:ascii="Century Gothic" w:hAnsi="Century Gothic" w:cs="Tahoma"/>
          <w:lang w:val="es-CO"/>
        </w:rPr>
        <w:t xml:space="preserve">Incongruencia en la línea de argumentación del despacho frente a las irregularidades del liquidador; 4.- Falsa o falta de motivación respecto al estudio de </w:t>
      </w:r>
      <w:r w:rsidR="005B0EA5">
        <w:rPr>
          <w:rFonts w:ascii="Century Gothic" w:hAnsi="Century Gothic" w:cs="Tahoma"/>
          <w:lang w:val="es-CO"/>
        </w:rPr>
        <w:lastRenderedPageBreak/>
        <w:t>fondo sobre la desprotección del patrimonio de la concursada, depreciación no razonable de propiedad, planta y equipo, omisión de instaurar acción revocatoria, inconsistencias en el recaudo de cartera y omisión grave de las obligaciones del liquidador; 5.- Autos de trámite que no resuelven asuntos de fondo; 6.- Autos que ordenan estarse a lo resuelto por el despacho; y 7.- Autos interlocutorios.</w:t>
      </w:r>
    </w:p>
    <w:p w14:paraId="4801A4BD" w14:textId="77777777" w:rsidR="005B0EA5" w:rsidRDefault="005B0EA5" w:rsidP="00BD62C3">
      <w:pPr>
        <w:jc w:val="both"/>
        <w:rPr>
          <w:rFonts w:ascii="Century Gothic" w:hAnsi="Century Gothic" w:cs="Tahoma"/>
          <w:lang w:val="es-CO"/>
        </w:rPr>
      </w:pPr>
    </w:p>
    <w:p w14:paraId="0219C6DF" w14:textId="5212237F" w:rsidR="00920F6E" w:rsidRDefault="005B0EA5" w:rsidP="005B0EA5">
      <w:pPr>
        <w:jc w:val="both"/>
        <w:rPr>
          <w:rFonts w:ascii="Century Gothic" w:hAnsi="Century Gothic" w:cs="Tahoma"/>
          <w:lang w:val="es-CO"/>
        </w:rPr>
      </w:pPr>
      <w:r>
        <w:rPr>
          <w:rFonts w:ascii="Century Gothic" w:hAnsi="Century Gothic" w:cs="Tahoma"/>
          <w:b/>
          <w:lang w:val="es-CO"/>
        </w:rPr>
        <w:t xml:space="preserve">CUADRAGÉSIMO </w:t>
      </w:r>
      <w:r w:rsidR="00D95924">
        <w:rPr>
          <w:rFonts w:ascii="Century Gothic" w:hAnsi="Century Gothic" w:cs="Tahoma"/>
          <w:b/>
          <w:lang w:val="es-CO"/>
        </w:rPr>
        <w:t>SEXTO</w:t>
      </w:r>
      <w:r>
        <w:rPr>
          <w:rFonts w:ascii="Century Gothic" w:hAnsi="Century Gothic" w:cs="Tahoma"/>
          <w:b/>
          <w:lang w:val="es-CO"/>
        </w:rPr>
        <w:t xml:space="preserve">: </w:t>
      </w:r>
      <w:r w:rsidR="00FE7B0B">
        <w:rPr>
          <w:rFonts w:ascii="Century Gothic" w:hAnsi="Century Gothic" w:cs="Tahoma"/>
          <w:lang w:val="es-CO"/>
        </w:rPr>
        <w:t xml:space="preserve">Que el día 25 de julio de 2022, mediante Auto con radicado No. 2022-03-007120, </w:t>
      </w:r>
      <w:r w:rsidR="003E4283">
        <w:rPr>
          <w:rFonts w:ascii="Century Gothic" w:hAnsi="Century Gothic" w:cs="Tahoma"/>
          <w:lang w:val="es-CO"/>
        </w:rPr>
        <w:t>“</w:t>
      </w:r>
      <w:r w:rsidR="003E4283" w:rsidRPr="00C177DB">
        <w:rPr>
          <w:rFonts w:ascii="Century Gothic" w:hAnsi="Century Gothic" w:cs="Tahoma"/>
          <w:i/>
          <w:iCs/>
          <w:lang w:val="es-CO"/>
        </w:rPr>
        <w:t>por medio del cual se rechaza de plano un recurso de apelación por ser improcedente y se resuelve un recurso de reposición</w:t>
      </w:r>
      <w:r w:rsidR="003E4283">
        <w:rPr>
          <w:rFonts w:ascii="Century Gothic" w:hAnsi="Century Gothic" w:cs="Tahoma"/>
          <w:lang w:val="es-CO"/>
        </w:rPr>
        <w:t xml:space="preserve">”, la </w:t>
      </w:r>
      <w:proofErr w:type="spellStart"/>
      <w:r w:rsidR="003E4283">
        <w:rPr>
          <w:rFonts w:ascii="Century Gothic" w:hAnsi="Century Gothic" w:cs="Tahoma"/>
          <w:lang w:val="es-CO"/>
        </w:rPr>
        <w:t>Supersociedades</w:t>
      </w:r>
      <w:proofErr w:type="spellEnd"/>
      <w:r w:rsidR="003E4283">
        <w:rPr>
          <w:rFonts w:ascii="Century Gothic" w:hAnsi="Century Gothic" w:cs="Tahoma"/>
          <w:lang w:val="es-CO"/>
        </w:rPr>
        <w:t xml:space="preserve"> resolvió:</w:t>
      </w:r>
    </w:p>
    <w:p w14:paraId="31EF152E" w14:textId="77777777" w:rsidR="003E4283" w:rsidRDefault="003E4283" w:rsidP="005B0EA5">
      <w:pPr>
        <w:jc w:val="both"/>
        <w:rPr>
          <w:rFonts w:ascii="Century Gothic" w:hAnsi="Century Gothic" w:cs="Tahoma"/>
          <w:lang w:val="es-CO"/>
        </w:rPr>
      </w:pPr>
    </w:p>
    <w:p w14:paraId="3C0C5A15" w14:textId="77777777" w:rsidR="003E4283" w:rsidRDefault="003E4283" w:rsidP="003E4283">
      <w:pPr>
        <w:jc w:val="center"/>
        <w:rPr>
          <w:rFonts w:ascii="Century Gothic" w:hAnsi="Century Gothic" w:cs="Tahoma"/>
          <w:lang w:val="es-CO"/>
        </w:rPr>
      </w:pPr>
      <w:r>
        <w:rPr>
          <w:noProof/>
          <w:lang w:val="es-CO" w:eastAsia="es-CO"/>
        </w:rPr>
        <w:drawing>
          <wp:inline distT="0" distB="0" distL="0" distR="0" wp14:anchorId="4CCA1B6B" wp14:editId="17437B7C">
            <wp:extent cx="5721739" cy="1304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Lst>
                    </a:blip>
                    <a:srcRect l="3692" t="35952" r="58215" b="49227"/>
                    <a:stretch/>
                  </pic:blipFill>
                  <pic:spPr bwMode="auto">
                    <a:xfrm>
                      <a:off x="0" y="0"/>
                      <a:ext cx="5737148" cy="1308439"/>
                    </a:xfrm>
                    <a:prstGeom prst="rect">
                      <a:avLst/>
                    </a:prstGeom>
                    <a:ln>
                      <a:noFill/>
                    </a:ln>
                    <a:extLst>
                      <a:ext uri="{53640926-AAD7-44D8-BBD7-CCE9431645EC}">
                        <a14:shadowObscured xmlns:a14="http://schemas.microsoft.com/office/drawing/2010/main"/>
                      </a:ext>
                    </a:extLst>
                  </pic:spPr>
                </pic:pic>
              </a:graphicData>
            </a:graphic>
          </wp:inline>
        </w:drawing>
      </w:r>
    </w:p>
    <w:p w14:paraId="40E8B657" w14:textId="77777777" w:rsidR="003E4283" w:rsidRPr="005B0EA5" w:rsidRDefault="003E4283" w:rsidP="003E4283">
      <w:pPr>
        <w:jc w:val="center"/>
        <w:rPr>
          <w:rFonts w:ascii="Century Gothic" w:hAnsi="Century Gothic" w:cs="Tahoma"/>
          <w:lang w:val="es-CO"/>
        </w:rPr>
      </w:pPr>
      <w:r>
        <w:rPr>
          <w:noProof/>
          <w:lang w:val="es-CO" w:eastAsia="es-CO"/>
        </w:rPr>
        <w:drawing>
          <wp:inline distT="0" distB="0" distL="0" distR="0" wp14:anchorId="65CD2DE5" wp14:editId="673B8515">
            <wp:extent cx="5788870" cy="1118749"/>
            <wp:effectExtent l="0" t="0" r="254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25000"/>
                              </a14:imgEffect>
                            </a14:imgLayer>
                          </a14:imgProps>
                        </a:ext>
                      </a:extLst>
                    </a:blip>
                    <a:srcRect l="3568" t="34139" r="58045" b="52870"/>
                    <a:stretch/>
                  </pic:blipFill>
                  <pic:spPr bwMode="auto">
                    <a:xfrm>
                      <a:off x="0" y="0"/>
                      <a:ext cx="5799912" cy="1120883"/>
                    </a:xfrm>
                    <a:prstGeom prst="rect">
                      <a:avLst/>
                    </a:prstGeom>
                    <a:ln>
                      <a:noFill/>
                    </a:ln>
                    <a:extLst>
                      <a:ext uri="{53640926-AAD7-44D8-BBD7-CCE9431645EC}">
                        <a14:shadowObscured xmlns:a14="http://schemas.microsoft.com/office/drawing/2010/main"/>
                      </a:ext>
                    </a:extLst>
                  </pic:spPr>
                </pic:pic>
              </a:graphicData>
            </a:graphic>
          </wp:inline>
        </w:drawing>
      </w:r>
    </w:p>
    <w:p w14:paraId="3AA7F1DC" w14:textId="77777777" w:rsidR="00920F6E" w:rsidRDefault="00920F6E" w:rsidP="00674765">
      <w:pPr>
        <w:jc w:val="center"/>
        <w:rPr>
          <w:rFonts w:ascii="Century Gothic" w:hAnsi="Century Gothic" w:cs="Tahoma"/>
          <w:lang w:val="es-CO"/>
        </w:rPr>
      </w:pPr>
    </w:p>
    <w:p w14:paraId="57F65EFC" w14:textId="5A07A254" w:rsidR="00796DE9" w:rsidRDefault="009B4F54" w:rsidP="00796DE9">
      <w:pPr>
        <w:jc w:val="both"/>
        <w:rPr>
          <w:rFonts w:ascii="Century Gothic" w:hAnsi="Century Gothic" w:cs="Tahoma"/>
          <w:lang w:val="es-CO"/>
        </w:rPr>
      </w:pPr>
      <w:r>
        <w:rPr>
          <w:rFonts w:ascii="Century Gothic" w:hAnsi="Century Gothic" w:cs="Tahoma"/>
          <w:b/>
          <w:lang w:val="es-CO"/>
        </w:rPr>
        <w:t xml:space="preserve">CUADRAGÉSIMO </w:t>
      </w:r>
      <w:r w:rsidR="00D95924">
        <w:rPr>
          <w:rFonts w:ascii="Century Gothic" w:hAnsi="Century Gothic" w:cs="Tahoma"/>
          <w:b/>
          <w:lang w:val="es-CO"/>
        </w:rPr>
        <w:t>SÉPTIMO</w:t>
      </w:r>
      <w:r>
        <w:rPr>
          <w:rFonts w:ascii="Century Gothic" w:hAnsi="Century Gothic" w:cs="Tahoma"/>
          <w:b/>
          <w:lang w:val="es-CO"/>
        </w:rPr>
        <w:t xml:space="preserve">: </w:t>
      </w:r>
      <w:r>
        <w:rPr>
          <w:rFonts w:ascii="Century Gothic" w:hAnsi="Century Gothic" w:cs="Tahoma"/>
          <w:lang w:val="es-CO"/>
        </w:rPr>
        <w:t xml:space="preserve">Que </w:t>
      </w:r>
      <w:r w:rsidRPr="00003493">
        <w:rPr>
          <w:rFonts w:ascii="Century Gothic" w:hAnsi="Century Gothic" w:cs="Tahoma"/>
          <w:b/>
          <w:u w:val="single"/>
          <w:lang w:val="es-CO"/>
        </w:rPr>
        <w:t xml:space="preserve">en el Auto con radicado No. </w:t>
      </w:r>
      <w:r w:rsidR="00A3270C" w:rsidRPr="00A3270C">
        <w:rPr>
          <w:rFonts w:ascii="Century Gothic" w:hAnsi="Century Gothic" w:cs="Tahoma"/>
          <w:b/>
          <w:u w:val="single"/>
          <w:lang w:val="es-CO"/>
        </w:rPr>
        <w:t>2022-03-005350</w:t>
      </w:r>
      <w:r w:rsidRPr="00003493">
        <w:rPr>
          <w:rFonts w:ascii="Century Gothic" w:hAnsi="Century Gothic" w:cs="Tahoma"/>
          <w:b/>
          <w:u w:val="single"/>
          <w:lang w:val="es-CO"/>
        </w:rPr>
        <w:t>, se configuro un error judicial por la inobservancia de un elemento normativo deci</w:t>
      </w:r>
      <w:r w:rsidR="00796DE9" w:rsidRPr="00003493">
        <w:rPr>
          <w:rFonts w:ascii="Century Gothic" w:hAnsi="Century Gothic" w:cs="Tahoma"/>
          <w:b/>
          <w:u w:val="single"/>
          <w:lang w:val="es-CO"/>
        </w:rPr>
        <w:t>sivo e incidente en el proceso,</w:t>
      </w:r>
      <w:r w:rsidR="00796DE9">
        <w:rPr>
          <w:rFonts w:ascii="Century Gothic" w:hAnsi="Century Gothic" w:cs="Tahoma"/>
          <w:lang w:val="es-CO"/>
        </w:rPr>
        <w:t xml:space="preserve"> lo cual conllevó a la incorrecta aplicación de la disposición jurídica al caso de su conocimiento y por tanto, a proferir una decisión contraria al ordenamiento jurídico. </w:t>
      </w:r>
      <w:r w:rsidR="00796DE9" w:rsidRPr="00796DE9">
        <w:rPr>
          <w:rFonts w:ascii="Century Gothic" w:hAnsi="Century Gothic" w:cs="Tahoma"/>
          <w:lang w:val="es-CO"/>
        </w:rPr>
        <w:t xml:space="preserve">En ese escenario, se tiene que </w:t>
      </w:r>
      <w:r w:rsidR="00796DE9">
        <w:rPr>
          <w:rFonts w:ascii="Century Gothic" w:hAnsi="Century Gothic" w:cs="Tahoma"/>
          <w:lang w:val="es-CO"/>
        </w:rPr>
        <w:t xml:space="preserve">la convocada </w:t>
      </w:r>
      <w:r w:rsidR="00796DE9" w:rsidRPr="00796DE9">
        <w:rPr>
          <w:rFonts w:ascii="Century Gothic" w:hAnsi="Century Gothic" w:cs="Tahoma"/>
          <w:lang w:val="es-CO"/>
        </w:rPr>
        <w:t xml:space="preserve">dio una interpretación totalmente errónea al artículo 2.2.2.9.3.1 del Decreto 1074 de 2015, en el sentido que conforme al artículo 8 del Estatuto de Insolvencia Empresarial, las cuestiones accesorias que se susciten dentro del proceso de intervención, deben regirse conforme a las disposiciones para los incidentes </w:t>
      </w:r>
      <w:r w:rsidR="00796DE9">
        <w:rPr>
          <w:rFonts w:ascii="Century Gothic" w:hAnsi="Century Gothic" w:cs="Tahoma"/>
          <w:lang w:val="es-CO"/>
        </w:rPr>
        <w:t>de la Ley 1564 de 2012.</w:t>
      </w:r>
      <w:r w:rsidR="00796DE9" w:rsidRPr="00796DE9">
        <w:rPr>
          <w:rFonts w:ascii="Century Gothic" w:hAnsi="Century Gothic" w:cs="Tahoma"/>
          <w:lang w:val="es-CO"/>
        </w:rPr>
        <w:t xml:space="preserve"> </w:t>
      </w:r>
    </w:p>
    <w:p w14:paraId="21A6D020" w14:textId="77777777" w:rsidR="00796DE9" w:rsidRDefault="00796DE9" w:rsidP="00796DE9">
      <w:pPr>
        <w:jc w:val="both"/>
        <w:rPr>
          <w:rFonts w:ascii="Century Gothic" w:hAnsi="Century Gothic" w:cs="Tahoma"/>
          <w:lang w:val="es-CO"/>
        </w:rPr>
      </w:pPr>
    </w:p>
    <w:p w14:paraId="178B28A7" w14:textId="180EF523" w:rsidR="00796DE9" w:rsidRDefault="00796DE9" w:rsidP="00796DE9">
      <w:pPr>
        <w:jc w:val="both"/>
        <w:rPr>
          <w:rFonts w:ascii="Century Gothic" w:hAnsi="Century Gothic" w:cs="Tahoma"/>
          <w:lang w:val="es-CO"/>
        </w:rPr>
      </w:pPr>
      <w:r w:rsidRPr="00796DE9">
        <w:rPr>
          <w:rFonts w:ascii="Century Gothic" w:hAnsi="Century Gothic" w:cs="Tahoma"/>
          <w:lang w:val="es-CO"/>
        </w:rPr>
        <w:t xml:space="preserve">De esta forma, ante la inexistencia de una norma que regule su trámite, la remoción del interventor/liquidador por incumplimiento de sus funciones se ha considerado como un hecho accesorio, en cuanto escapa del objeto mismo del proceso, </w:t>
      </w:r>
      <w:r w:rsidRPr="00003493">
        <w:rPr>
          <w:rFonts w:ascii="Century Gothic" w:hAnsi="Century Gothic" w:cs="Tahoma"/>
          <w:b/>
          <w:u w:val="single"/>
          <w:lang w:val="es-CO"/>
        </w:rPr>
        <w:t>por lo que debe resolverse como incidente</w:t>
      </w:r>
      <w:r w:rsidRPr="00796DE9">
        <w:rPr>
          <w:rFonts w:ascii="Century Gothic" w:hAnsi="Century Gothic" w:cs="Tahoma"/>
          <w:lang w:val="es-CO"/>
        </w:rPr>
        <w:t xml:space="preserve">, tal como lo señala el artículo 129 ibídem, tanto es así, que inclusive la propia Superintendencia de Sociedades en el proceso de intervención judicial de DMG Grupo Holding S.A., expediente 59.979, mediante Auto con radicado de baranda virtual No. 2022-01-547357 del 21 de junio de 2022, dio apertura a incidente de remoción y sustitución de la auxiliar de justicia que para tal asunto funge como interventora/liquidadora, razón por la que es palmario el error judicial cometido por la Intendencia Regional de Cali en el caso de </w:t>
      </w:r>
      <w:proofErr w:type="spellStart"/>
      <w:r w:rsidRPr="00796DE9">
        <w:rPr>
          <w:rFonts w:ascii="Century Gothic" w:hAnsi="Century Gothic" w:cs="Tahoma"/>
          <w:lang w:val="es-CO"/>
        </w:rPr>
        <w:t>Multipolímeros</w:t>
      </w:r>
      <w:proofErr w:type="spellEnd"/>
      <w:r w:rsidRPr="00796DE9">
        <w:rPr>
          <w:rFonts w:ascii="Century Gothic" w:hAnsi="Century Gothic" w:cs="Tahoma"/>
          <w:lang w:val="es-CO"/>
        </w:rPr>
        <w:t xml:space="preserve"> S.A.S., </w:t>
      </w:r>
      <w:r w:rsidRPr="00003493">
        <w:rPr>
          <w:rFonts w:ascii="Century Gothic" w:hAnsi="Century Gothic" w:cs="Tahoma"/>
          <w:b/>
          <w:u w:val="single"/>
          <w:lang w:val="es-CO"/>
        </w:rPr>
        <w:t>al omitir el trámite incidental,</w:t>
      </w:r>
      <w:r w:rsidRPr="00796DE9">
        <w:rPr>
          <w:rFonts w:ascii="Century Gothic" w:hAnsi="Century Gothic" w:cs="Tahoma"/>
          <w:lang w:val="es-CO"/>
        </w:rPr>
        <w:t xml:space="preserve"> con lo que se dejó de decretar y practicar pruebas para estudiar si en efecto el liquidador faltó a sus deberes y debió ser removido y sustituido</w:t>
      </w:r>
      <w:r w:rsidR="00E17185">
        <w:rPr>
          <w:rFonts w:ascii="Century Gothic" w:hAnsi="Century Gothic" w:cs="Tahoma"/>
          <w:lang w:val="es-CO"/>
        </w:rPr>
        <w:t xml:space="preserve">, </w:t>
      </w:r>
      <w:r w:rsidR="00E17185" w:rsidRPr="00E17185">
        <w:rPr>
          <w:rFonts w:ascii="Century Gothic" w:hAnsi="Century Gothic" w:cs="Tahoma"/>
          <w:b/>
          <w:u w:val="single"/>
          <w:lang w:val="es-CO"/>
        </w:rPr>
        <w:t xml:space="preserve">lo que configura una </w:t>
      </w:r>
      <w:proofErr w:type="spellStart"/>
      <w:r w:rsidR="00E17185" w:rsidRPr="00E17185">
        <w:rPr>
          <w:rFonts w:ascii="Century Gothic" w:hAnsi="Century Gothic" w:cs="Tahoma"/>
          <w:b/>
          <w:u w:val="single"/>
          <w:lang w:val="es-CO"/>
        </w:rPr>
        <w:t>perdida</w:t>
      </w:r>
      <w:proofErr w:type="spellEnd"/>
      <w:r w:rsidR="00E17185" w:rsidRPr="00E17185">
        <w:rPr>
          <w:rFonts w:ascii="Century Gothic" w:hAnsi="Century Gothic" w:cs="Tahoma"/>
          <w:b/>
          <w:u w:val="single"/>
          <w:lang w:val="es-CO"/>
        </w:rPr>
        <w:t xml:space="preserve"> de oportunidad que debe ser indemnizada</w:t>
      </w:r>
      <w:r w:rsidRPr="00796DE9">
        <w:rPr>
          <w:rFonts w:ascii="Century Gothic" w:hAnsi="Century Gothic" w:cs="Tahoma"/>
          <w:lang w:val="es-CO"/>
        </w:rPr>
        <w:t>.  </w:t>
      </w:r>
    </w:p>
    <w:p w14:paraId="50A35E04" w14:textId="77777777" w:rsidR="00A1123F" w:rsidRDefault="00A1123F" w:rsidP="00796DE9">
      <w:pPr>
        <w:jc w:val="both"/>
        <w:rPr>
          <w:rFonts w:ascii="Century Gothic" w:hAnsi="Century Gothic" w:cs="Tahoma"/>
          <w:lang w:val="es-CO"/>
        </w:rPr>
      </w:pPr>
    </w:p>
    <w:p w14:paraId="265AA702" w14:textId="7A3862D9" w:rsidR="00A1123F" w:rsidRDefault="00A1123F" w:rsidP="00796DE9">
      <w:pPr>
        <w:jc w:val="both"/>
        <w:rPr>
          <w:rFonts w:ascii="Century Gothic" w:hAnsi="Century Gothic" w:cs="Tahoma"/>
          <w:lang w:val="es-CO"/>
        </w:rPr>
      </w:pPr>
      <w:r>
        <w:rPr>
          <w:rFonts w:ascii="Century Gothic" w:hAnsi="Century Gothic" w:cs="Tahoma"/>
          <w:b/>
          <w:lang w:val="es-CO"/>
        </w:rPr>
        <w:t xml:space="preserve">CUADRAGÉSIMO </w:t>
      </w:r>
      <w:r w:rsidR="00D95924">
        <w:rPr>
          <w:rFonts w:ascii="Century Gothic" w:hAnsi="Century Gothic" w:cs="Tahoma"/>
          <w:b/>
          <w:lang w:val="es-CO"/>
        </w:rPr>
        <w:t>OCTAVO</w:t>
      </w:r>
      <w:r>
        <w:rPr>
          <w:rFonts w:ascii="Century Gothic" w:hAnsi="Century Gothic" w:cs="Tahoma"/>
          <w:b/>
          <w:lang w:val="es-CO"/>
        </w:rPr>
        <w:t xml:space="preserve">: </w:t>
      </w:r>
      <w:r w:rsidR="00587415">
        <w:rPr>
          <w:rFonts w:ascii="Century Gothic" w:hAnsi="Century Gothic" w:cs="Tahoma"/>
          <w:lang w:val="es-CO"/>
        </w:rPr>
        <w:t>Que mediante radicado No. 2022-01-</w:t>
      </w:r>
      <w:r w:rsidR="006521E3">
        <w:rPr>
          <w:rFonts w:ascii="Century Gothic" w:hAnsi="Century Gothic" w:cs="Tahoma"/>
          <w:lang w:val="es-CO"/>
        </w:rPr>
        <w:t>509176</w:t>
      </w:r>
      <w:r w:rsidR="00587415">
        <w:rPr>
          <w:rFonts w:ascii="Century Gothic" w:hAnsi="Century Gothic" w:cs="Tahoma"/>
          <w:lang w:val="es-CO"/>
        </w:rPr>
        <w:t>, el señor RODRIGUEZ GANTIVA, presentó ante la convocada el documento denominado “informe de gestión”, el cual acompañó de estados financieros a corte de 30 de abril de 2022, así como notas a los mismos y certificaciones. Se resalta que en la nota 3 del documento de notas a los estados financieros, se consigna sobre propiedad, planta y equipo lo siguiente:</w:t>
      </w:r>
    </w:p>
    <w:p w14:paraId="7EC5AC3F" w14:textId="77777777" w:rsidR="00587415" w:rsidRDefault="00587415" w:rsidP="00796DE9">
      <w:pPr>
        <w:jc w:val="both"/>
        <w:rPr>
          <w:rFonts w:ascii="Century Gothic" w:hAnsi="Century Gothic" w:cs="Tahoma"/>
          <w:lang w:val="es-CO"/>
        </w:rPr>
      </w:pPr>
    </w:p>
    <w:p w14:paraId="006DF9C2" w14:textId="77777777" w:rsidR="00587415" w:rsidRPr="00A1123F" w:rsidRDefault="00587415" w:rsidP="00587415">
      <w:pPr>
        <w:jc w:val="center"/>
        <w:rPr>
          <w:rFonts w:ascii="Century Gothic" w:hAnsi="Century Gothic" w:cs="Tahoma"/>
          <w:lang w:val="es-CO"/>
        </w:rPr>
      </w:pPr>
      <w:r>
        <w:rPr>
          <w:noProof/>
          <w:lang w:val="es-CO" w:eastAsia="es-CO"/>
        </w:rPr>
        <w:lastRenderedPageBreak/>
        <w:drawing>
          <wp:inline distT="0" distB="0" distL="0" distR="0" wp14:anchorId="7C7E6381" wp14:editId="20695579">
            <wp:extent cx="3634867" cy="1045322"/>
            <wp:effectExtent l="0" t="0" r="381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BEBA8EAE-BF5A-486C-A8C5-ECC9F3942E4B}">
                          <a14:imgProps xmlns:a14="http://schemas.microsoft.com/office/drawing/2010/main">
                            <a14:imgLayer r:embed="rId60">
                              <a14:imgEffect>
                                <a14:sharpenSoften amount="25000"/>
                              </a14:imgEffect>
                            </a14:imgLayer>
                          </a14:imgProps>
                        </a:ext>
                      </a:extLst>
                    </a:blip>
                    <a:srcRect l="6624" t="27190" r="67387" b="59517"/>
                    <a:stretch/>
                  </pic:blipFill>
                  <pic:spPr bwMode="auto">
                    <a:xfrm>
                      <a:off x="0" y="0"/>
                      <a:ext cx="3649591" cy="1049556"/>
                    </a:xfrm>
                    <a:prstGeom prst="rect">
                      <a:avLst/>
                    </a:prstGeom>
                    <a:ln>
                      <a:noFill/>
                    </a:ln>
                    <a:extLst>
                      <a:ext uri="{53640926-AAD7-44D8-BBD7-CCE9431645EC}">
                        <a14:shadowObscured xmlns:a14="http://schemas.microsoft.com/office/drawing/2010/main"/>
                      </a:ext>
                    </a:extLst>
                  </pic:spPr>
                </pic:pic>
              </a:graphicData>
            </a:graphic>
          </wp:inline>
        </w:drawing>
      </w:r>
    </w:p>
    <w:p w14:paraId="1613272D" w14:textId="77777777" w:rsidR="00920F6E" w:rsidRPr="009B4F54" w:rsidRDefault="00920F6E" w:rsidP="003E4283">
      <w:pPr>
        <w:jc w:val="both"/>
        <w:rPr>
          <w:rFonts w:ascii="Century Gothic" w:hAnsi="Century Gothic" w:cs="Tahoma"/>
          <w:lang w:val="es-CO"/>
        </w:rPr>
      </w:pPr>
    </w:p>
    <w:p w14:paraId="77D29674" w14:textId="71420A99" w:rsidR="00920F6E" w:rsidRDefault="006521E3" w:rsidP="00587415">
      <w:pPr>
        <w:jc w:val="both"/>
        <w:rPr>
          <w:rFonts w:ascii="Century Gothic" w:hAnsi="Century Gothic" w:cs="Tahoma"/>
          <w:lang w:val="es-CO"/>
        </w:rPr>
      </w:pPr>
      <w:r>
        <w:rPr>
          <w:rFonts w:ascii="Century Gothic" w:hAnsi="Century Gothic" w:cs="Tahoma"/>
          <w:b/>
          <w:lang w:val="es-CO"/>
        </w:rPr>
        <w:t xml:space="preserve">CUADRAGÉSIMO </w:t>
      </w:r>
      <w:r w:rsidR="00D95924">
        <w:rPr>
          <w:rFonts w:ascii="Century Gothic" w:hAnsi="Century Gothic" w:cs="Tahoma"/>
          <w:b/>
          <w:lang w:val="es-CO"/>
        </w:rPr>
        <w:t>NOVENO</w:t>
      </w:r>
      <w:r>
        <w:rPr>
          <w:rFonts w:ascii="Century Gothic" w:hAnsi="Century Gothic" w:cs="Tahoma"/>
          <w:b/>
          <w:lang w:val="es-CO"/>
        </w:rPr>
        <w:t xml:space="preserve">: </w:t>
      </w:r>
      <w:r w:rsidR="00081C66">
        <w:rPr>
          <w:rFonts w:ascii="Century Gothic" w:hAnsi="Century Gothic" w:cs="Tahoma"/>
          <w:lang w:val="es-CO"/>
        </w:rPr>
        <w:t xml:space="preserve">Que mediante radicado No. 2022-01-741626, el señor RODRIGUEZ GANTIVA, presentó informe de gestión y contable, durante el periodo de mayo a agosto de 2022, el cual acompañó de estados financieros a corte del 31 de agosto de 2022, así como </w:t>
      </w:r>
      <w:r w:rsidR="00B036A6">
        <w:rPr>
          <w:rFonts w:ascii="Century Gothic" w:hAnsi="Century Gothic" w:cs="Tahoma"/>
          <w:lang w:val="es-CO"/>
        </w:rPr>
        <w:t xml:space="preserve">graduación y calificación de créditos, </w:t>
      </w:r>
      <w:r w:rsidR="00081C66">
        <w:rPr>
          <w:rFonts w:ascii="Century Gothic" w:hAnsi="Century Gothic" w:cs="Tahoma"/>
          <w:lang w:val="es-CO"/>
        </w:rPr>
        <w:t xml:space="preserve">sus notas </w:t>
      </w:r>
      <w:r w:rsidR="00B036A6">
        <w:rPr>
          <w:rFonts w:ascii="Century Gothic" w:hAnsi="Century Gothic" w:cs="Tahoma"/>
          <w:lang w:val="es-CO"/>
        </w:rPr>
        <w:t>y relación de gastos del proceso. En la nota 3 de las notas a los estados financieros, sobre propiedad planta y equipo se consignó:</w:t>
      </w:r>
    </w:p>
    <w:p w14:paraId="64E2D2D1" w14:textId="77777777" w:rsidR="00B036A6" w:rsidRDefault="00B036A6" w:rsidP="00587415">
      <w:pPr>
        <w:jc w:val="both"/>
        <w:rPr>
          <w:rFonts w:ascii="Century Gothic" w:hAnsi="Century Gothic" w:cs="Tahoma"/>
          <w:lang w:val="es-CO"/>
        </w:rPr>
      </w:pPr>
    </w:p>
    <w:p w14:paraId="6CBE8918" w14:textId="77777777" w:rsidR="00B036A6" w:rsidRPr="006521E3" w:rsidRDefault="00B036A6" w:rsidP="00B036A6">
      <w:pPr>
        <w:jc w:val="center"/>
        <w:rPr>
          <w:rFonts w:ascii="Century Gothic" w:hAnsi="Century Gothic" w:cs="Tahoma"/>
          <w:lang w:val="es-CO"/>
        </w:rPr>
      </w:pPr>
      <w:r>
        <w:rPr>
          <w:noProof/>
          <w:lang w:val="es-CO" w:eastAsia="es-CO"/>
        </w:rPr>
        <w:drawing>
          <wp:inline distT="0" distB="0" distL="0" distR="0" wp14:anchorId="2EC1AE49" wp14:editId="46FDD8F6">
            <wp:extent cx="3667125" cy="931568"/>
            <wp:effectExtent l="0" t="0" r="0" b="19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BEBA8EAE-BF5A-486C-A8C5-ECC9F3942E4B}">
                          <a14:imgProps xmlns:a14="http://schemas.microsoft.com/office/drawing/2010/main">
                            <a14:imgLayer r:embed="rId62">
                              <a14:imgEffect>
                                <a14:sharpenSoften amount="25000"/>
                              </a14:imgEffect>
                            </a14:imgLayer>
                          </a14:imgProps>
                        </a:ext>
                      </a:extLst>
                    </a:blip>
                    <a:srcRect l="12060" t="29003" r="45815" b="51963"/>
                    <a:stretch/>
                  </pic:blipFill>
                  <pic:spPr bwMode="auto">
                    <a:xfrm>
                      <a:off x="0" y="0"/>
                      <a:ext cx="3671878" cy="932775"/>
                    </a:xfrm>
                    <a:prstGeom prst="rect">
                      <a:avLst/>
                    </a:prstGeom>
                    <a:ln>
                      <a:noFill/>
                    </a:ln>
                    <a:extLst>
                      <a:ext uri="{53640926-AAD7-44D8-BBD7-CCE9431645EC}">
                        <a14:shadowObscured xmlns:a14="http://schemas.microsoft.com/office/drawing/2010/main"/>
                      </a:ext>
                    </a:extLst>
                  </pic:spPr>
                </pic:pic>
              </a:graphicData>
            </a:graphic>
          </wp:inline>
        </w:drawing>
      </w:r>
    </w:p>
    <w:p w14:paraId="649E5082" w14:textId="77777777" w:rsidR="00920F6E" w:rsidRDefault="00920F6E" w:rsidP="00674765">
      <w:pPr>
        <w:jc w:val="center"/>
        <w:rPr>
          <w:rFonts w:ascii="Century Gothic" w:hAnsi="Century Gothic" w:cs="Tahoma"/>
          <w:lang w:val="es-CO"/>
        </w:rPr>
      </w:pPr>
    </w:p>
    <w:p w14:paraId="28836F8F" w14:textId="02645B29" w:rsidR="00920F6E" w:rsidRDefault="00D95924" w:rsidP="00B036A6">
      <w:pPr>
        <w:jc w:val="both"/>
        <w:rPr>
          <w:rFonts w:ascii="Century Gothic" w:hAnsi="Century Gothic" w:cs="Tahoma"/>
          <w:lang w:val="es-CO"/>
        </w:rPr>
      </w:pPr>
      <w:r>
        <w:rPr>
          <w:rFonts w:ascii="Century Gothic" w:hAnsi="Century Gothic" w:cs="Tahoma"/>
          <w:b/>
          <w:lang w:val="es-CO"/>
        </w:rPr>
        <w:t>QUINCUAGÉSIMO</w:t>
      </w:r>
      <w:r w:rsidR="00B036A6">
        <w:rPr>
          <w:rFonts w:ascii="Century Gothic" w:hAnsi="Century Gothic" w:cs="Tahoma"/>
          <w:b/>
          <w:lang w:val="es-CO"/>
        </w:rPr>
        <w:t xml:space="preserve">: </w:t>
      </w:r>
      <w:r w:rsidR="00B036A6">
        <w:rPr>
          <w:rFonts w:ascii="Century Gothic" w:hAnsi="Century Gothic" w:cs="Tahoma"/>
          <w:lang w:val="es-CO"/>
        </w:rPr>
        <w:t>Que el día 16 de agosto de 2022, mediante A</w:t>
      </w:r>
      <w:r w:rsidR="00E65388">
        <w:rPr>
          <w:rFonts w:ascii="Century Gothic" w:hAnsi="Century Gothic" w:cs="Tahoma"/>
          <w:lang w:val="es-CO"/>
        </w:rPr>
        <w:t>u</w:t>
      </w:r>
      <w:r w:rsidR="00B036A6">
        <w:rPr>
          <w:rFonts w:ascii="Century Gothic" w:hAnsi="Century Gothic" w:cs="Tahoma"/>
          <w:lang w:val="es-CO"/>
        </w:rPr>
        <w:t xml:space="preserve">to con radicado No. 2022-03-007724, </w:t>
      </w:r>
      <w:r w:rsidR="006743DA">
        <w:rPr>
          <w:rFonts w:ascii="Century Gothic" w:hAnsi="Century Gothic" w:cs="Tahoma"/>
          <w:lang w:val="es-CO"/>
        </w:rPr>
        <w:t>“</w:t>
      </w:r>
      <w:r w:rsidR="006743DA" w:rsidRPr="00C177DB">
        <w:rPr>
          <w:rFonts w:ascii="Century Gothic" w:hAnsi="Century Gothic" w:cs="Tahoma"/>
          <w:i/>
          <w:iCs/>
          <w:lang w:val="es-CO"/>
        </w:rPr>
        <w:t>por medio del cual se tiene por cumplido un requerimiento por parte del liquidador y se adjudican bienes</w:t>
      </w:r>
      <w:r w:rsidR="006743DA">
        <w:rPr>
          <w:rFonts w:ascii="Century Gothic" w:hAnsi="Century Gothic" w:cs="Tahoma"/>
          <w:lang w:val="es-CO"/>
        </w:rPr>
        <w:t xml:space="preserve">”, la </w:t>
      </w:r>
      <w:proofErr w:type="spellStart"/>
      <w:r w:rsidR="006743DA">
        <w:rPr>
          <w:rFonts w:ascii="Century Gothic" w:hAnsi="Century Gothic" w:cs="Tahoma"/>
          <w:lang w:val="es-CO"/>
        </w:rPr>
        <w:t>Supersociedades</w:t>
      </w:r>
      <w:proofErr w:type="spellEnd"/>
      <w:r w:rsidR="006743DA">
        <w:rPr>
          <w:rFonts w:ascii="Century Gothic" w:hAnsi="Century Gothic" w:cs="Tahoma"/>
          <w:lang w:val="es-CO"/>
        </w:rPr>
        <w:t xml:space="preserve">, </w:t>
      </w:r>
      <w:r w:rsidR="0067452B">
        <w:rPr>
          <w:rFonts w:ascii="Century Gothic" w:hAnsi="Century Gothic" w:cs="Tahoma"/>
          <w:lang w:val="es-CO"/>
        </w:rPr>
        <w:t>relacionó los siguientes bienes a adjudicar con su valor, así:</w:t>
      </w:r>
    </w:p>
    <w:p w14:paraId="555B7CBE" w14:textId="77777777" w:rsidR="0067452B" w:rsidRDefault="0067452B" w:rsidP="00B036A6">
      <w:pPr>
        <w:jc w:val="both"/>
        <w:rPr>
          <w:rFonts w:ascii="Century Gothic" w:hAnsi="Century Gothic" w:cs="Tahoma"/>
          <w:lang w:val="es-CO"/>
        </w:rPr>
      </w:pPr>
    </w:p>
    <w:p w14:paraId="31CD5CEA" w14:textId="77777777" w:rsidR="0067452B" w:rsidRDefault="0067452B" w:rsidP="0067452B">
      <w:pPr>
        <w:jc w:val="center"/>
        <w:rPr>
          <w:rFonts w:ascii="Century Gothic" w:hAnsi="Century Gothic" w:cs="Tahoma"/>
          <w:lang w:val="es-CO"/>
        </w:rPr>
      </w:pPr>
      <w:r>
        <w:rPr>
          <w:noProof/>
          <w:lang w:val="es-CO" w:eastAsia="es-CO"/>
        </w:rPr>
        <w:drawing>
          <wp:inline distT="0" distB="0" distL="0" distR="0" wp14:anchorId="7D659C12" wp14:editId="2D119F09">
            <wp:extent cx="4650807" cy="28194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BEBA8EAE-BF5A-486C-A8C5-ECC9F3942E4B}">
                          <a14:imgProps xmlns:a14="http://schemas.microsoft.com/office/drawing/2010/main">
                            <a14:imgLayer r:embed="rId64">
                              <a14:imgEffect>
                                <a14:sharpenSoften amount="25000"/>
                              </a14:imgEffect>
                            </a14:imgLayer>
                          </a14:imgProps>
                        </a:ext>
                      </a:extLst>
                    </a:blip>
                    <a:srcRect l="5606" t="29003" r="61612" b="35649"/>
                    <a:stretch/>
                  </pic:blipFill>
                  <pic:spPr bwMode="auto">
                    <a:xfrm>
                      <a:off x="0" y="0"/>
                      <a:ext cx="4654554" cy="2821672"/>
                    </a:xfrm>
                    <a:prstGeom prst="rect">
                      <a:avLst/>
                    </a:prstGeom>
                    <a:ln>
                      <a:noFill/>
                    </a:ln>
                    <a:extLst>
                      <a:ext uri="{53640926-AAD7-44D8-BBD7-CCE9431645EC}">
                        <a14:shadowObscured xmlns:a14="http://schemas.microsoft.com/office/drawing/2010/main"/>
                      </a:ext>
                    </a:extLst>
                  </pic:spPr>
                </pic:pic>
              </a:graphicData>
            </a:graphic>
          </wp:inline>
        </w:drawing>
      </w:r>
    </w:p>
    <w:p w14:paraId="2E725952" w14:textId="77777777" w:rsidR="0067452B" w:rsidRDefault="0067452B" w:rsidP="0067452B">
      <w:pPr>
        <w:jc w:val="center"/>
        <w:rPr>
          <w:rFonts w:ascii="Century Gothic" w:hAnsi="Century Gothic" w:cs="Tahoma"/>
          <w:lang w:val="es-CO"/>
        </w:rPr>
      </w:pPr>
    </w:p>
    <w:p w14:paraId="73D9703C" w14:textId="62FED6E6" w:rsidR="0067452B" w:rsidRDefault="00D95924" w:rsidP="0067452B">
      <w:pPr>
        <w:jc w:val="both"/>
        <w:rPr>
          <w:rFonts w:ascii="Century Gothic" w:hAnsi="Century Gothic" w:cs="Tahoma"/>
          <w:lang w:val="es-CO"/>
        </w:rPr>
      </w:pPr>
      <w:r>
        <w:rPr>
          <w:rFonts w:ascii="Century Gothic" w:hAnsi="Century Gothic" w:cs="Tahoma"/>
          <w:b/>
          <w:lang w:val="es-CO"/>
        </w:rPr>
        <w:t>QUINCUAGÉSIMO PRIMERO</w:t>
      </w:r>
      <w:r w:rsidR="00BB618F">
        <w:rPr>
          <w:rFonts w:ascii="Century Gothic" w:hAnsi="Century Gothic" w:cs="Tahoma"/>
          <w:b/>
          <w:lang w:val="es-CO"/>
        </w:rPr>
        <w:t xml:space="preserve">: </w:t>
      </w:r>
      <w:r w:rsidR="00BB618F">
        <w:rPr>
          <w:rFonts w:ascii="Century Gothic" w:hAnsi="Century Gothic" w:cs="Tahoma"/>
          <w:lang w:val="es-CO"/>
        </w:rPr>
        <w:t xml:space="preserve">Que el día 19 de agosto de 2022, mediante documento con radicado No. 2022-01-658982 del 5 de septiembre del mismo año, mi mandante presentó recurso de reposición en contra del auto con radicado No. 2022-03-007724, de que trata el hecho anterior, recurso en el que se solicitó mencionar y garantizar el crédito litigioso de mi representado, </w:t>
      </w:r>
      <w:r w:rsidR="0022005A">
        <w:rPr>
          <w:rFonts w:ascii="Century Gothic" w:hAnsi="Century Gothic" w:cs="Tahoma"/>
          <w:lang w:val="es-CO"/>
        </w:rPr>
        <w:t xml:space="preserve">y pidiendo que se ordene al liquidador efectuar todos los actos de aprovisionamiento legal y contable del crédito litigioso de primera clase laboral ya reconocido. </w:t>
      </w:r>
    </w:p>
    <w:p w14:paraId="77B398A4" w14:textId="77777777" w:rsidR="00BB618F" w:rsidRDefault="00BB618F" w:rsidP="0067452B">
      <w:pPr>
        <w:jc w:val="both"/>
        <w:rPr>
          <w:rFonts w:ascii="Century Gothic" w:hAnsi="Century Gothic" w:cs="Tahoma"/>
          <w:lang w:val="es-CO"/>
        </w:rPr>
      </w:pPr>
    </w:p>
    <w:p w14:paraId="3FF3CCAE" w14:textId="658715FC" w:rsidR="00BB618F" w:rsidRDefault="00BB618F" w:rsidP="0067452B">
      <w:pPr>
        <w:jc w:val="both"/>
        <w:rPr>
          <w:rFonts w:ascii="Century Gothic" w:hAnsi="Century Gothic" w:cs="Tahoma"/>
          <w:lang w:val="es-CO"/>
        </w:rPr>
      </w:pPr>
      <w:r>
        <w:rPr>
          <w:rFonts w:ascii="Century Gothic" w:hAnsi="Century Gothic" w:cs="Tahoma"/>
          <w:b/>
          <w:lang w:val="es-CO"/>
        </w:rPr>
        <w:t>QUINCUAGÉSIMO</w:t>
      </w:r>
      <w:r w:rsidR="00D95924">
        <w:rPr>
          <w:rFonts w:ascii="Century Gothic" w:hAnsi="Century Gothic" w:cs="Tahoma"/>
          <w:b/>
          <w:lang w:val="es-CO"/>
        </w:rPr>
        <w:t xml:space="preserve"> SEGUNDO</w:t>
      </w:r>
      <w:r>
        <w:rPr>
          <w:rFonts w:ascii="Century Gothic" w:hAnsi="Century Gothic" w:cs="Tahoma"/>
          <w:b/>
          <w:lang w:val="es-CO"/>
        </w:rPr>
        <w:t xml:space="preserve">: </w:t>
      </w:r>
      <w:r w:rsidR="00303029">
        <w:rPr>
          <w:rFonts w:ascii="Century Gothic" w:hAnsi="Century Gothic" w:cs="Tahoma"/>
          <w:lang w:val="es-CO"/>
        </w:rPr>
        <w:t>Que el día 5 de octubre de 2022, mediante Auto con radicado No. 2022-03-009807, “</w:t>
      </w:r>
      <w:r w:rsidR="00303029" w:rsidRPr="00C177DB">
        <w:rPr>
          <w:rFonts w:ascii="Century Gothic" w:hAnsi="Century Gothic" w:cs="Tahoma"/>
          <w:i/>
          <w:iCs/>
          <w:lang w:val="es-CO"/>
        </w:rPr>
        <w:t>por medio del cual se resuelve un recurso de reposición, se realiza control de legalidad, se requiere al liquidador, se modifica y se advierte</w:t>
      </w:r>
      <w:r w:rsidR="00303029">
        <w:rPr>
          <w:rFonts w:ascii="Century Gothic" w:hAnsi="Century Gothic" w:cs="Tahoma"/>
          <w:lang w:val="es-CO"/>
        </w:rPr>
        <w:t xml:space="preserve">”, negó el recurso interpuesto por mi representado y de que trata el hecho que antecede, por cuanto el crédito litigioso fue debidamente reconocido, sin embargo, los bienes de la sociedad concursada solo cubrieron parcialmente los gastos de administración del </w:t>
      </w:r>
      <w:r w:rsidR="00303029">
        <w:rPr>
          <w:rFonts w:ascii="Century Gothic" w:hAnsi="Century Gothic" w:cs="Tahoma"/>
          <w:lang w:val="es-CO"/>
        </w:rPr>
        <w:lastRenderedPageBreak/>
        <w:t>concurso, sin que se alcanzara a pagar los créditos de primera clase</w:t>
      </w:r>
      <w:r w:rsidR="00C26D30">
        <w:rPr>
          <w:rFonts w:ascii="Century Gothic" w:hAnsi="Century Gothic" w:cs="Tahoma"/>
          <w:lang w:val="es-CO"/>
        </w:rPr>
        <w:t>, no siendo viable la constitución de garantía para su cancelación, pues se incurriría en una violación legal por vulnerar la prelación de pagos, razón por la que se desestimó el recurso.</w:t>
      </w:r>
    </w:p>
    <w:p w14:paraId="070007DB" w14:textId="77777777" w:rsidR="00C26D30" w:rsidRDefault="00C26D30" w:rsidP="0067452B">
      <w:pPr>
        <w:jc w:val="both"/>
        <w:rPr>
          <w:rFonts w:ascii="Century Gothic" w:hAnsi="Century Gothic" w:cs="Tahoma"/>
          <w:lang w:val="es-CO"/>
        </w:rPr>
      </w:pPr>
    </w:p>
    <w:p w14:paraId="273A0B77" w14:textId="20CC9A8E" w:rsidR="009B751B" w:rsidRPr="009B751B" w:rsidRDefault="009B751B" w:rsidP="0067452B">
      <w:pPr>
        <w:jc w:val="both"/>
        <w:rPr>
          <w:rFonts w:ascii="Century Gothic" w:hAnsi="Century Gothic" w:cs="Tahoma"/>
          <w:lang w:val="es-CO"/>
        </w:rPr>
      </w:pPr>
      <w:r>
        <w:rPr>
          <w:rFonts w:ascii="Century Gothic" w:hAnsi="Century Gothic" w:cs="Tahoma"/>
          <w:b/>
          <w:lang w:val="es-CO"/>
        </w:rPr>
        <w:t xml:space="preserve">QUINCUAGÉSIMO </w:t>
      </w:r>
      <w:r w:rsidR="00D95924">
        <w:rPr>
          <w:rFonts w:ascii="Century Gothic" w:hAnsi="Century Gothic" w:cs="Tahoma"/>
          <w:b/>
          <w:lang w:val="es-CO"/>
        </w:rPr>
        <w:t>TERCERO</w:t>
      </w:r>
      <w:r>
        <w:rPr>
          <w:rFonts w:ascii="Century Gothic" w:hAnsi="Century Gothic" w:cs="Tahoma"/>
          <w:b/>
          <w:lang w:val="es-CO"/>
        </w:rPr>
        <w:t xml:space="preserve">: </w:t>
      </w:r>
      <w:r>
        <w:rPr>
          <w:rFonts w:ascii="Century Gothic" w:hAnsi="Century Gothic" w:cs="Tahoma"/>
          <w:lang w:val="es-CO"/>
        </w:rPr>
        <w:t>Que el día 28 de octubre de 2022, mi mandante formuló incidente de nulidad con radicado No. 2022-01-729438, ingresado el 4 de noviembre de 2022, en contra de los Autos con radicados Nos. 2022-03-007724 y 2022-03-009807.</w:t>
      </w:r>
    </w:p>
    <w:p w14:paraId="78D6A2D4" w14:textId="77777777" w:rsidR="009B751B" w:rsidRDefault="009B751B" w:rsidP="0067452B">
      <w:pPr>
        <w:jc w:val="both"/>
        <w:rPr>
          <w:rFonts w:ascii="Century Gothic" w:hAnsi="Century Gothic" w:cs="Tahoma"/>
          <w:b/>
          <w:lang w:val="es-CO"/>
        </w:rPr>
      </w:pPr>
    </w:p>
    <w:p w14:paraId="5D318D9C" w14:textId="39338BA1" w:rsidR="00C26D30" w:rsidRDefault="009B751B" w:rsidP="0067452B">
      <w:pPr>
        <w:jc w:val="both"/>
        <w:rPr>
          <w:rFonts w:ascii="Century Gothic" w:hAnsi="Century Gothic" w:cs="Tahoma"/>
          <w:lang w:val="es-CO"/>
        </w:rPr>
      </w:pPr>
      <w:r>
        <w:rPr>
          <w:rFonts w:ascii="Century Gothic" w:hAnsi="Century Gothic" w:cs="Tahoma"/>
          <w:b/>
          <w:lang w:val="es-CO"/>
        </w:rPr>
        <w:t xml:space="preserve">QUINCUAGÉSIMO </w:t>
      </w:r>
      <w:r w:rsidR="00D95924">
        <w:rPr>
          <w:rFonts w:ascii="Century Gothic" w:hAnsi="Century Gothic" w:cs="Tahoma"/>
          <w:b/>
          <w:lang w:val="es-CO"/>
        </w:rPr>
        <w:t>CUARTO</w:t>
      </w:r>
      <w:r>
        <w:rPr>
          <w:rFonts w:ascii="Century Gothic" w:hAnsi="Century Gothic" w:cs="Tahoma"/>
          <w:b/>
          <w:lang w:val="es-CO"/>
        </w:rPr>
        <w:t xml:space="preserve">: </w:t>
      </w:r>
      <w:r>
        <w:rPr>
          <w:rFonts w:ascii="Century Gothic" w:hAnsi="Century Gothic" w:cs="Tahoma"/>
          <w:lang w:val="es-CO"/>
        </w:rPr>
        <w:t>Que el día 15 de noviembre de 2022, mediante Auto con radicado No. 2022-03-010734, “</w:t>
      </w:r>
      <w:r w:rsidRPr="00C177DB">
        <w:rPr>
          <w:rFonts w:ascii="Century Gothic" w:hAnsi="Century Gothic" w:cs="Tahoma"/>
          <w:i/>
          <w:iCs/>
          <w:lang w:val="es-CO"/>
        </w:rPr>
        <w:t>por medio del cual se rechaza de plano un incidente de nulidad y previene</w:t>
      </w:r>
      <w:r>
        <w:rPr>
          <w:rFonts w:ascii="Century Gothic" w:hAnsi="Century Gothic" w:cs="Tahoma"/>
          <w:lang w:val="es-CO"/>
        </w:rPr>
        <w:t xml:space="preserve">”, la </w:t>
      </w:r>
      <w:proofErr w:type="spellStart"/>
      <w:r>
        <w:rPr>
          <w:rFonts w:ascii="Century Gothic" w:hAnsi="Century Gothic" w:cs="Tahoma"/>
          <w:lang w:val="es-CO"/>
        </w:rPr>
        <w:t>Supersociedades</w:t>
      </w:r>
      <w:proofErr w:type="spellEnd"/>
      <w:r>
        <w:rPr>
          <w:rFonts w:ascii="Century Gothic" w:hAnsi="Century Gothic" w:cs="Tahoma"/>
          <w:lang w:val="es-CO"/>
        </w:rPr>
        <w:t xml:space="preserve">, </w:t>
      </w:r>
      <w:r w:rsidR="008E2270">
        <w:rPr>
          <w:rFonts w:ascii="Century Gothic" w:hAnsi="Century Gothic" w:cs="Tahoma"/>
          <w:lang w:val="es-CO"/>
        </w:rPr>
        <w:t xml:space="preserve">denegó la nulidad propuesta por </w:t>
      </w:r>
      <w:r w:rsidR="00BD0639">
        <w:rPr>
          <w:rFonts w:ascii="Century Gothic" w:hAnsi="Century Gothic" w:cs="Tahoma"/>
          <w:lang w:val="es-CO"/>
        </w:rPr>
        <w:t>mí</w:t>
      </w:r>
      <w:r w:rsidR="008E2270">
        <w:rPr>
          <w:rFonts w:ascii="Century Gothic" w:hAnsi="Century Gothic" w:cs="Tahoma"/>
          <w:lang w:val="es-CO"/>
        </w:rPr>
        <w:t xml:space="preserve"> representado con motivo de que no se expresó la causal de nulidad invocada.</w:t>
      </w:r>
    </w:p>
    <w:p w14:paraId="51127768" w14:textId="77777777" w:rsidR="002210DC" w:rsidRDefault="002210DC" w:rsidP="0067452B">
      <w:pPr>
        <w:jc w:val="both"/>
        <w:rPr>
          <w:rFonts w:ascii="Century Gothic" w:hAnsi="Century Gothic" w:cs="Tahoma"/>
          <w:lang w:val="es-CO"/>
        </w:rPr>
      </w:pPr>
    </w:p>
    <w:p w14:paraId="4C7BB389" w14:textId="1D20A6B4" w:rsidR="002210DC" w:rsidRDefault="008335EB" w:rsidP="0067452B">
      <w:pPr>
        <w:jc w:val="both"/>
        <w:rPr>
          <w:rFonts w:ascii="Century Gothic" w:hAnsi="Century Gothic" w:cs="Tahoma"/>
          <w:lang w:val="es-CO"/>
        </w:rPr>
      </w:pPr>
      <w:r>
        <w:rPr>
          <w:rFonts w:ascii="Century Gothic" w:hAnsi="Century Gothic" w:cs="Tahoma"/>
          <w:b/>
          <w:lang w:val="es-CO"/>
        </w:rPr>
        <w:t xml:space="preserve">QUINCUAGÉSIMO </w:t>
      </w:r>
      <w:r w:rsidR="00D95924">
        <w:rPr>
          <w:rFonts w:ascii="Century Gothic" w:hAnsi="Century Gothic" w:cs="Tahoma"/>
          <w:b/>
          <w:lang w:val="es-CO"/>
        </w:rPr>
        <w:t>QUINTO</w:t>
      </w:r>
      <w:r>
        <w:rPr>
          <w:rFonts w:ascii="Century Gothic" w:hAnsi="Century Gothic" w:cs="Tahoma"/>
          <w:b/>
          <w:lang w:val="es-CO"/>
        </w:rPr>
        <w:t xml:space="preserve">: </w:t>
      </w:r>
      <w:r>
        <w:rPr>
          <w:rFonts w:ascii="Century Gothic" w:hAnsi="Century Gothic" w:cs="Tahoma"/>
          <w:lang w:val="es-CO"/>
        </w:rPr>
        <w:t>Que mediante documento con radicado No. 2023-01-078408, el señor RODRIGUEZ GANTIVA, presentó ante la convocada, notas a los estados financieros con corte a 31 de diciembre de 2022, donde se consigna en el acápite de “activo”, lo siguiente:</w:t>
      </w:r>
    </w:p>
    <w:p w14:paraId="40A3780B" w14:textId="77777777" w:rsidR="008335EB" w:rsidRDefault="008335EB" w:rsidP="0067452B">
      <w:pPr>
        <w:jc w:val="both"/>
        <w:rPr>
          <w:rFonts w:ascii="Century Gothic" w:hAnsi="Century Gothic" w:cs="Tahoma"/>
          <w:lang w:val="es-CO"/>
        </w:rPr>
      </w:pPr>
    </w:p>
    <w:p w14:paraId="5A411FB4" w14:textId="77777777" w:rsidR="008335EB" w:rsidRPr="008335EB" w:rsidRDefault="002378CC" w:rsidP="008335EB">
      <w:pPr>
        <w:jc w:val="center"/>
        <w:rPr>
          <w:rFonts w:ascii="Century Gothic" w:hAnsi="Century Gothic" w:cs="Tahoma"/>
          <w:lang w:val="es-CO"/>
        </w:rPr>
      </w:pPr>
      <w:r>
        <w:rPr>
          <w:noProof/>
          <w:lang w:val="es-CO" w:eastAsia="es-CO"/>
        </w:rPr>
        <w:drawing>
          <wp:inline distT="0" distB="0" distL="0" distR="0" wp14:anchorId="1DAD39D8" wp14:editId="2F03DBC5">
            <wp:extent cx="5723434" cy="14287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BEBA8EAE-BF5A-486C-A8C5-ECC9F3942E4B}">
                          <a14:imgProps xmlns:a14="http://schemas.microsoft.com/office/drawing/2010/main">
                            <a14:imgLayer r:embed="rId66">
                              <a14:imgEffect>
                                <a14:sharpenSoften amount="25000"/>
                              </a14:imgEffect>
                            </a14:imgLayer>
                          </a14:imgProps>
                        </a:ext>
                      </a:extLst>
                    </a:blip>
                    <a:srcRect l="3396" t="40786" r="59575" b="45619"/>
                    <a:stretch/>
                  </pic:blipFill>
                  <pic:spPr bwMode="auto">
                    <a:xfrm>
                      <a:off x="0" y="0"/>
                      <a:ext cx="5728045" cy="1429901"/>
                    </a:xfrm>
                    <a:prstGeom prst="rect">
                      <a:avLst/>
                    </a:prstGeom>
                    <a:ln>
                      <a:noFill/>
                    </a:ln>
                    <a:extLst>
                      <a:ext uri="{53640926-AAD7-44D8-BBD7-CCE9431645EC}">
                        <a14:shadowObscured xmlns:a14="http://schemas.microsoft.com/office/drawing/2010/main"/>
                      </a:ext>
                    </a:extLst>
                  </pic:spPr>
                </pic:pic>
              </a:graphicData>
            </a:graphic>
          </wp:inline>
        </w:drawing>
      </w:r>
    </w:p>
    <w:p w14:paraId="0F6A10D7" w14:textId="77777777" w:rsidR="0067452B" w:rsidRDefault="0067452B" w:rsidP="0067452B">
      <w:pPr>
        <w:jc w:val="center"/>
        <w:rPr>
          <w:rFonts w:ascii="Century Gothic" w:hAnsi="Century Gothic" w:cs="Tahoma"/>
          <w:lang w:val="es-CO"/>
        </w:rPr>
      </w:pPr>
    </w:p>
    <w:p w14:paraId="7314B06A" w14:textId="77777777" w:rsidR="0067452B" w:rsidRDefault="002378CC" w:rsidP="008335EB">
      <w:pPr>
        <w:jc w:val="both"/>
        <w:rPr>
          <w:rFonts w:ascii="Century Gothic" w:hAnsi="Century Gothic" w:cs="Tahoma"/>
          <w:lang w:val="es-CO"/>
        </w:rPr>
      </w:pPr>
      <w:r>
        <w:rPr>
          <w:rFonts w:ascii="Century Gothic" w:hAnsi="Century Gothic" w:cs="Tahoma"/>
          <w:lang w:val="es-CO"/>
        </w:rPr>
        <w:t>Es decir, el valor adjudicado corresponde al de planta y equipo, como se evidencia en el hecho cuadragésimo octavo.</w:t>
      </w:r>
    </w:p>
    <w:p w14:paraId="7BC0C811" w14:textId="77777777" w:rsidR="00BD7109" w:rsidRDefault="00BD7109" w:rsidP="008335EB">
      <w:pPr>
        <w:jc w:val="both"/>
        <w:rPr>
          <w:rFonts w:ascii="Century Gothic" w:hAnsi="Century Gothic" w:cs="Tahoma"/>
          <w:lang w:val="es-CO"/>
        </w:rPr>
      </w:pPr>
    </w:p>
    <w:p w14:paraId="2DC8343B" w14:textId="3204A927" w:rsidR="00BD7109" w:rsidRDefault="007965DE" w:rsidP="008335EB">
      <w:pPr>
        <w:jc w:val="both"/>
        <w:rPr>
          <w:rFonts w:ascii="Century Gothic" w:hAnsi="Century Gothic" w:cs="Tahoma"/>
          <w:lang w:val="es-CO"/>
        </w:rPr>
      </w:pPr>
      <w:r>
        <w:rPr>
          <w:rFonts w:ascii="Century Gothic" w:hAnsi="Century Gothic" w:cs="Tahoma"/>
          <w:b/>
          <w:lang w:val="es-CO"/>
        </w:rPr>
        <w:t xml:space="preserve">QUINCUAGÉSIMO </w:t>
      </w:r>
      <w:r w:rsidR="00D95924">
        <w:rPr>
          <w:rFonts w:ascii="Century Gothic" w:hAnsi="Century Gothic" w:cs="Tahoma"/>
          <w:b/>
          <w:lang w:val="es-CO"/>
        </w:rPr>
        <w:t>SEXTO</w:t>
      </w:r>
      <w:r>
        <w:rPr>
          <w:rFonts w:ascii="Century Gothic" w:hAnsi="Century Gothic" w:cs="Tahoma"/>
          <w:b/>
          <w:lang w:val="es-CO"/>
        </w:rPr>
        <w:t xml:space="preserve">: </w:t>
      </w:r>
      <w:r>
        <w:rPr>
          <w:rFonts w:ascii="Century Gothic" w:hAnsi="Century Gothic" w:cs="Tahoma"/>
          <w:lang w:val="es-CO"/>
        </w:rPr>
        <w:t xml:space="preserve">Que mediante documento con radicado No. 2023-01-148773, el señor RODRIGUEZ GANTIVA, presentó ante la convocada informe final completado, esto atendiendo a lo ordenado por Auto con radicado No. 2023-03-001796. </w:t>
      </w:r>
    </w:p>
    <w:p w14:paraId="74887F3E" w14:textId="77777777" w:rsidR="00A91C16" w:rsidRDefault="00A91C16" w:rsidP="008335EB">
      <w:pPr>
        <w:jc w:val="both"/>
        <w:rPr>
          <w:rFonts w:ascii="Century Gothic" w:hAnsi="Century Gothic" w:cs="Tahoma"/>
          <w:lang w:val="es-CO"/>
        </w:rPr>
      </w:pPr>
    </w:p>
    <w:p w14:paraId="33865620" w14:textId="4BC5B300" w:rsidR="00900778" w:rsidRDefault="00A91C16" w:rsidP="008335EB">
      <w:pPr>
        <w:jc w:val="both"/>
        <w:rPr>
          <w:rFonts w:ascii="Century Gothic" w:hAnsi="Century Gothic" w:cs="Tahoma"/>
          <w:lang w:val="es-CO"/>
        </w:rPr>
      </w:pPr>
      <w:r>
        <w:rPr>
          <w:rFonts w:ascii="Century Gothic" w:hAnsi="Century Gothic" w:cs="Tahoma"/>
          <w:b/>
          <w:lang w:val="es-CO"/>
        </w:rPr>
        <w:t xml:space="preserve">QUINCUAGÉSIMO </w:t>
      </w:r>
      <w:r w:rsidR="00D95924">
        <w:rPr>
          <w:rFonts w:ascii="Century Gothic" w:hAnsi="Century Gothic" w:cs="Tahoma"/>
          <w:b/>
          <w:lang w:val="es-CO"/>
        </w:rPr>
        <w:t>SÉPTIMO</w:t>
      </w:r>
      <w:r>
        <w:rPr>
          <w:rFonts w:ascii="Century Gothic" w:hAnsi="Century Gothic" w:cs="Tahoma"/>
          <w:b/>
          <w:lang w:val="es-CO"/>
        </w:rPr>
        <w:t xml:space="preserve">: </w:t>
      </w:r>
      <w:r>
        <w:rPr>
          <w:rFonts w:ascii="Century Gothic" w:hAnsi="Century Gothic" w:cs="Tahoma"/>
          <w:lang w:val="es-CO"/>
        </w:rPr>
        <w:t xml:space="preserve">Que </w:t>
      </w:r>
      <w:r w:rsidR="00636342">
        <w:rPr>
          <w:rFonts w:ascii="Century Gothic" w:hAnsi="Century Gothic" w:cs="Tahoma"/>
          <w:lang w:val="es-CO"/>
        </w:rPr>
        <w:t xml:space="preserve">el 2 de mayo de 2023, </w:t>
      </w:r>
      <w:r>
        <w:rPr>
          <w:rFonts w:ascii="Century Gothic" w:hAnsi="Century Gothic" w:cs="Tahoma"/>
          <w:lang w:val="es-CO"/>
        </w:rPr>
        <w:t xml:space="preserve">con documento bajo radicado No. 2023-01-391204, mi poderdante descorrió el informe final de que trata el hecho que antecede, precisando a la convocada una serie de puntos relativos a las labores y funciones incumplidas por el liquidador que afectó el patrimonio de la deudora y la protección del mismo, </w:t>
      </w:r>
      <w:r w:rsidR="00D72350">
        <w:rPr>
          <w:rFonts w:ascii="Century Gothic" w:hAnsi="Century Gothic" w:cs="Tahoma"/>
          <w:lang w:val="es-CO"/>
        </w:rPr>
        <w:t>como lo son la ausencia de repo</w:t>
      </w:r>
      <w:r w:rsidR="00A47242">
        <w:rPr>
          <w:rFonts w:ascii="Century Gothic" w:hAnsi="Century Gothic" w:cs="Tahoma"/>
          <w:lang w:val="es-CO"/>
        </w:rPr>
        <w:t xml:space="preserve">rtes de retiro de personal, así como </w:t>
      </w:r>
      <w:r w:rsidR="00D72350">
        <w:rPr>
          <w:rFonts w:ascii="Century Gothic" w:hAnsi="Century Gothic" w:cs="Tahoma"/>
          <w:lang w:val="es-CO"/>
        </w:rPr>
        <w:t xml:space="preserve">de la gestión en procura de la cancelación de sumas adeudadas al Sistema Integral de Seguridad Social. De igual manera, se </w:t>
      </w:r>
      <w:r w:rsidR="00A47242">
        <w:rPr>
          <w:rFonts w:ascii="Century Gothic" w:hAnsi="Century Gothic" w:cs="Tahoma"/>
          <w:lang w:val="es-CO"/>
        </w:rPr>
        <w:t>cuestiona</w:t>
      </w:r>
      <w:r w:rsidR="00D72350">
        <w:rPr>
          <w:rFonts w:ascii="Century Gothic" w:hAnsi="Century Gothic" w:cs="Tahoma"/>
          <w:lang w:val="es-CO"/>
        </w:rPr>
        <w:t xml:space="preserve"> que el liquidador no desplegó acción alguna para verificar la existencia de devoluciones que pudieran acrecentar los activo</w:t>
      </w:r>
      <w:r w:rsidR="00A47242">
        <w:rPr>
          <w:rFonts w:ascii="Century Gothic" w:hAnsi="Century Gothic" w:cs="Tahoma"/>
          <w:lang w:val="es-CO"/>
        </w:rPr>
        <w:t>s</w:t>
      </w:r>
      <w:r w:rsidR="00D72350">
        <w:rPr>
          <w:rFonts w:ascii="Century Gothic" w:hAnsi="Century Gothic" w:cs="Tahoma"/>
          <w:lang w:val="es-CO"/>
        </w:rPr>
        <w:t xml:space="preserve"> de MULTIPOLIMEROS S.A.S.</w:t>
      </w:r>
      <w:r w:rsidR="00A47242">
        <w:rPr>
          <w:rFonts w:ascii="Century Gothic" w:hAnsi="Century Gothic" w:cs="Tahoma"/>
          <w:lang w:val="es-CO"/>
        </w:rPr>
        <w:t xml:space="preserve"> También, se critica la falta de protección de la prenda general de los acreedores, pues siendo que el liquidador no renovó los contratos de vigilancia de los señores Leonardo </w:t>
      </w:r>
      <w:r w:rsidR="006735F8">
        <w:rPr>
          <w:rFonts w:ascii="Century Gothic" w:hAnsi="Century Gothic" w:cs="Tahoma"/>
          <w:lang w:val="es-CO"/>
        </w:rPr>
        <w:t>Gonzáles</w:t>
      </w:r>
      <w:r w:rsidR="00A47242">
        <w:rPr>
          <w:rFonts w:ascii="Century Gothic" w:hAnsi="Century Gothic" w:cs="Tahoma"/>
          <w:lang w:val="es-CO"/>
        </w:rPr>
        <w:t xml:space="preserve">, </w:t>
      </w:r>
      <w:proofErr w:type="spellStart"/>
      <w:r w:rsidR="00A47242">
        <w:rPr>
          <w:rFonts w:ascii="Century Gothic" w:hAnsi="Century Gothic" w:cs="Tahoma"/>
          <w:lang w:val="es-CO"/>
        </w:rPr>
        <w:t>Duvanar</w:t>
      </w:r>
      <w:proofErr w:type="spellEnd"/>
      <w:r w:rsidR="00A47242">
        <w:rPr>
          <w:rFonts w:ascii="Century Gothic" w:hAnsi="Century Gothic" w:cs="Tahoma"/>
          <w:lang w:val="es-CO"/>
        </w:rPr>
        <w:t xml:space="preserve"> Ramírez y Jorge Gonz</w:t>
      </w:r>
      <w:r w:rsidR="006735F8">
        <w:rPr>
          <w:rFonts w:ascii="Century Gothic" w:hAnsi="Century Gothic" w:cs="Tahoma"/>
          <w:lang w:val="es-CO"/>
        </w:rPr>
        <w:t>á</w:t>
      </w:r>
      <w:r w:rsidR="00A47242">
        <w:rPr>
          <w:rFonts w:ascii="Century Gothic" w:hAnsi="Century Gothic" w:cs="Tahoma"/>
          <w:lang w:val="es-CO"/>
        </w:rPr>
        <w:t xml:space="preserve">les, </w:t>
      </w:r>
      <w:r w:rsidR="005B75EB">
        <w:rPr>
          <w:rFonts w:ascii="Century Gothic" w:hAnsi="Century Gothic" w:cs="Tahoma"/>
          <w:lang w:val="es-CO"/>
        </w:rPr>
        <w:t>se</w:t>
      </w:r>
      <w:r w:rsidR="00A47242">
        <w:rPr>
          <w:rFonts w:ascii="Century Gothic" w:hAnsi="Century Gothic" w:cs="Tahoma"/>
          <w:lang w:val="es-CO"/>
        </w:rPr>
        <w:t xml:space="preserve"> incidió en el hurto de una prensa hidráulica por valor de $2.000.000 M/Cte., de la bodega ubicada en la Carrera 7 No. 52-44, aunado a la poca diligencia en la presentación de denuncia por destrucción de contabilidad</w:t>
      </w:r>
      <w:r w:rsidR="005B75EB">
        <w:rPr>
          <w:rFonts w:ascii="Century Gothic" w:hAnsi="Century Gothic" w:cs="Tahoma"/>
          <w:lang w:val="es-CO"/>
        </w:rPr>
        <w:t>, sumado al abandono del objeto social, depreciación de los bienes de la sociedad, irregularidades en recaudo de cartera y la insuficiencia de activos y bienes para pagar las acreencias.</w:t>
      </w:r>
    </w:p>
    <w:p w14:paraId="43A2D2FB" w14:textId="77777777" w:rsidR="00900778" w:rsidRDefault="00900778" w:rsidP="008335EB">
      <w:pPr>
        <w:jc w:val="both"/>
        <w:rPr>
          <w:rFonts w:ascii="Century Gothic" w:hAnsi="Century Gothic" w:cs="Tahoma"/>
          <w:lang w:val="es-CO"/>
        </w:rPr>
      </w:pPr>
    </w:p>
    <w:p w14:paraId="5884BA5A" w14:textId="0A34370B" w:rsidR="003B0563" w:rsidRDefault="00900778" w:rsidP="008335EB">
      <w:pPr>
        <w:jc w:val="both"/>
        <w:rPr>
          <w:rFonts w:ascii="Century Gothic" w:hAnsi="Century Gothic" w:cs="Tahoma"/>
          <w:lang w:val="es-CO"/>
        </w:rPr>
      </w:pPr>
      <w:r>
        <w:rPr>
          <w:rFonts w:ascii="Century Gothic" w:hAnsi="Century Gothic" w:cs="Tahoma"/>
          <w:b/>
          <w:lang w:val="es-CO"/>
        </w:rPr>
        <w:t xml:space="preserve">QUINCUAGÉSIMO </w:t>
      </w:r>
      <w:r w:rsidR="00D95924">
        <w:rPr>
          <w:rFonts w:ascii="Century Gothic" w:hAnsi="Century Gothic" w:cs="Tahoma"/>
          <w:b/>
          <w:lang w:val="es-CO"/>
        </w:rPr>
        <w:t>OCTAVO</w:t>
      </w:r>
      <w:r>
        <w:rPr>
          <w:rFonts w:ascii="Century Gothic" w:hAnsi="Century Gothic" w:cs="Tahoma"/>
          <w:b/>
          <w:lang w:val="es-CO"/>
        </w:rPr>
        <w:t xml:space="preserve">: </w:t>
      </w:r>
      <w:r>
        <w:rPr>
          <w:rFonts w:ascii="Century Gothic" w:hAnsi="Century Gothic" w:cs="Tahoma"/>
          <w:lang w:val="es-CO"/>
        </w:rPr>
        <w:t xml:space="preserve">Que por escrito con radicado No. </w:t>
      </w:r>
      <w:r w:rsidR="003B0563">
        <w:rPr>
          <w:rFonts w:ascii="Century Gothic" w:hAnsi="Century Gothic" w:cs="Tahoma"/>
          <w:lang w:val="es-CO"/>
        </w:rPr>
        <w:t>2023-01-582707, el liquidador se manifestó frente al escrito de objeciones presentado por mi mandante y de que trata el facto anterior, en el sentido de que las mismas no se circunscriben a falsedad, inexactitud o error grave, siendo que inclusive ya fueron resueltas, por lo que solicitó sean desestimadas.</w:t>
      </w:r>
    </w:p>
    <w:p w14:paraId="76EE005C" w14:textId="77777777" w:rsidR="003B0563" w:rsidRDefault="003B0563" w:rsidP="008335EB">
      <w:pPr>
        <w:jc w:val="both"/>
        <w:rPr>
          <w:rFonts w:ascii="Century Gothic" w:hAnsi="Century Gothic" w:cs="Tahoma"/>
          <w:lang w:val="es-CO"/>
        </w:rPr>
      </w:pPr>
    </w:p>
    <w:p w14:paraId="2390B851" w14:textId="2A9E06B0" w:rsidR="00636342" w:rsidRDefault="003B0563" w:rsidP="008335EB">
      <w:pPr>
        <w:jc w:val="both"/>
        <w:rPr>
          <w:rFonts w:ascii="Century Gothic" w:hAnsi="Century Gothic" w:cs="Tahoma"/>
          <w:lang w:val="es-CO"/>
        </w:rPr>
      </w:pPr>
      <w:r>
        <w:rPr>
          <w:rFonts w:ascii="Century Gothic" w:hAnsi="Century Gothic" w:cs="Tahoma"/>
          <w:b/>
          <w:lang w:val="es-CO"/>
        </w:rPr>
        <w:lastRenderedPageBreak/>
        <w:t xml:space="preserve">QUINCUAGÉSIMO </w:t>
      </w:r>
      <w:r w:rsidR="00D95924">
        <w:rPr>
          <w:rFonts w:ascii="Century Gothic" w:hAnsi="Century Gothic" w:cs="Tahoma"/>
          <w:b/>
          <w:lang w:val="es-CO"/>
        </w:rPr>
        <w:t>NOVENO</w:t>
      </w:r>
      <w:r>
        <w:rPr>
          <w:rFonts w:ascii="Century Gothic" w:hAnsi="Century Gothic" w:cs="Tahoma"/>
          <w:b/>
          <w:lang w:val="es-CO"/>
        </w:rPr>
        <w:t xml:space="preserve">: </w:t>
      </w:r>
      <w:r w:rsidR="00BA1F81">
        <w:rPr>
          <w:rFonts w:ascii="Century Gothic" w:hAnsi="Century Gothic" w:cs="Tahoma"/>
          <w:lang w:val="es-CO"/>
        </w:rPr>
        <w:t>Que el día 25 de mayo de 2023, mediante Auto con radicado No. 2023-03-004072, “por medio del cual se aprueba la rendición final de cuentas presentada por el liquidador y se termina el proceso de liquidación judicial”, la convocada resolvió aprobar la liquidación final de cuentas, estarse a lo dispuesto en los estados financieros y rendición final de cuentas, aceptar la gestión del liquidador, declarar terminada la liquidación judicial, cancelar la matrícula mercantil, archivar el expediente, entre otras.</w:t>
      </w:r>
      <w:r w:rsidR="00A47242">
        <w:rPr>
          <w:rFonts w:ascii="Century Gothic" w:hAnsi="Century Gothic" w:cs="Tahoma"/>
          <w:lang w:val="es-CO"/>
        </w:rPr>
        <w:t xml:space="preserve"> </w:t>
      </w:r>
    </w:p>
    <w:p w14:paraId="01FBCEAD" w14:textId="77777777" w:rsidR="00636342" w:rsidRDefault="00636342" w:rsidP="008335EB">
      <w:pPr>
        <w:jc w:val="both"/>
        <w:rPr>
          <w:rFonts w:ascii="Century Gothic" w:hAnsi="Century Gothic" w:cs="Tahoma"/>
          <w:lang w:val="es-CO"/>
        </w:rPr>
      </w:pPr>
    </w:p>
    <w:p w14:paraId="34346EC2" w14:textId="7EEA2CF5" w:rsidR="00A47242" w:rsidRPr="00A91C16" w:rsidRDefault="00D95924" w:rsidP="008335EB">
      <w:pPr>
        <w:jc w:val="both"/>
        <w:rPr>
          <w:rFonts w:ascii="Century Gothic" w:hAnsi="Century Gothic" w:cs="Tahoma"/>
          <w:lang w:val="es-CO"/>
        </w:rPr>
      </w:pPr>
      <w:r>
        <w:rPr>
          <w:rFonts w:ascii="Century Gothic" w:hAnsi="Century Gothic" w:cs="Tahoma"/>
          <w:b/>
          <w:lang w:val="es-CO"/>
        </w:rPr>
        <w:t>SEXTAGÉSIMO</w:t>
      </w:r>
      <w:r w:rsidR="00636342">
        <w:rPr>
          <w:rFonts w:ascii="Century Gothic" w:hAnsi="Century Gothic" w:cs="Tahoma"/>
          <w:b/>
          <w:lang w:val="es-CO"/>
        </w:rPr>
        <w:t xml:space="preserve">: </w:t>
      </w:r>
      <w:r w:rsidR="007F3DC2">
        <w:rPr>
          <w:rFonts w:ascii="Century Gothic" w:hAnsi="Century Gothic" w:cs="Tahoma"/>
          <w:lang w:val="es-CO"/>
        </w:rPr>
        <w:t xml:space="preserve">Que </w:t>
      </w:r>
      <w:r w:rsidR="00976776">
        <w:rPr>
          <w:rFonts w:ascii="Century Gothic" w:hAnsi="Century Gothic" w:cs="Tahoma"/>
          <w:lang w:val="es-CO"/>
        </w:rPr>
        <w:t xml:space="preserve">el día 31 de mayo de 2023, </w:t>
      </w:r>
      <w:r w:rsidR="007F3DC2">
        <w:rPr>
          <w:rFonts w:ascii="Century Gothic" w:hAnsi="Century Gothic" w:cs="Tahoma"/>
          <w:lang w:val="es-CO"/>
        </w:rPr>
        <w:t xml:space="preserve">mediante documento con radicado No. </w:t>
      </w:r>
      <w:r w:rsidR="00A47242">
        <w:rPr>
          <w:rFonts w:ascii="Century Gothic" w:hAnsi="Century Gothic" w:cs="Tahoma"/>
          <w:lang w:val="es-CO"/>
        </w:rPr>
        <w:t xml:space="preserve"> </w:t>
      </w:r>
      <w:r w:rsidR="00976776">
        <w:rPr>
          <w:rFonts w:ascii="Century Gothic" w:hAnsi="Century Gothic" w:cs="Tahoma"/>
          <w:lang w:val="es-CO"/>
        </w:rPr>
        <w:t xml:space="preserve">2023-01-489683, mi poderdante elevó solicitud de aclaración del Auto de terminación del proceso de </w:t>
      </w:r>
      <w:proofErr w:type="spellStart"/>
      <w:r w:rsidR="00976776">
        <w:rPr>
          <w:rFonts w:ascii="Century Gothic" w:hAnsi="Century Gothic" w:cs="Tahoma"/>
          <w:lang w:val="es-CO"/>
        </w:rPr>
        <w:t>que</w:t>
      </w:r>
      <w:proofErr w:type="spellEnd"/>
      <w:r w:rsidR="00976776">
        <w:rPr>
          <w:rFonts w:ascii="Century Gothic" w:hAnsi="Century Gothic" w:cs="Tahoma"/>
          <w:lang w:val="es-CO"/>
        </w:rPr>
        <w:t xml:space="preserve"> trata el hecho antecedente, en razón a que mi mandante consideró que la convocada pretermitió la radicación del 2 de mayo de 2023 (hecho quincuagésimo </w:t>
      </w:r>
      <w:r w:rsidR="007B559B">
        <w:rPr>
          <w:rFonts w:ascii="Century Gothic" w:hAnsi="Century Gothic" w:cs="Tahoma"/>
          <w:lang w:val="es-CO"/>
        </w:rPr>
        <w:t>séptimo</w:t>
      </w:r>
      <w:r w:rsidR="00976776">
        <w:rPr>
          <w:rFonts w:ascii="Century Gothic" w:hAnsi="Century Gothic" w:cs="Tahoma"/>
          <w:lang w:val="es-CO"/>
        </w:rPr>
        <w:t>), cuando expuso que el informe final de rendición de cuentas no fue objetado, lo que vulnera el ejercicio de la contradicción y defensa, razón por la que pidió que se aclara el referido Auto y se le imprimiera trámite a sus objeciones.</w:t>
      </w:r>
    </w:p>
    <w:p w14:paraId="5A89CCE3" w14:textId="77777777" w:rsidR="0067452B" w:rsidRDefault="0067452B" w:rsidP="0067452B">
      <w:pPr>
        <w:jc w:val="center"/>
        <w:rPr>
          <w:rFonts w:ascii="Century Gothic" w:hAnsi="Century Gothic" w:cs="Tahoma"/>
          <w:lang w:val="es-CO"/>
        </w:rPr>
      </w:pPr>
    </w:p>
    <w:p w14:paraId="73860B16" w14:textId="1E7DEF43" w:rsidR="0067452B" w:rsidRDefault="00D95924" w:rsidP="00976776">
      <w:pPr>
        <w:jc w:val="both"/>
        <w:rPr>
          <w:rFonts w:ascii="Century Gothic" w:hAnsi="Century Gothic" w:cs="Tahoma"/>
          <w:lang w:val="es-CO"/>
        </w:rPr>
      </w:pPr>
      <w:r>
        <w:rPr>
          <w:rFonts w:ascii="Century Gothic" w:hAnsi="Century Gothic" w:cs="Tahoma"/>
          <w:b/>
          <w:lang w:val="es-CO"/>
        </w:rPr>
        <w:t>SEXTAGÉSIMO PRIMERO</w:t>
      </w:r>
      <w:r w:rsidR="00976776">
        <w:rPr>
          <w:rFonts w:ascii="Century Gothic" w:hAnsi="Century Gothic" w:cs="Tahoma"/>
          <w:b/>
          <w:lang w:val="es-CO"/>
        </w:rPr>
        <w:t xml:space="preserve">: </w:t>
      </w:r>
      <w:r w:rsidR="006806C7">
        <w:rPr>
          <w:rFonts w:ascii="Century Gothic" w:hAnsi="Century Gothic" w:cs="Tahoma"/>
          <w:lang w:val="es-CO"/>
        </w:rPr>
        <w:t>Que el 7 de julio de 2023, mediante Auto con radicado No. 2023-03-005140, la convocada dejó sin efectos la providencia de terminación del proceso del 5 de mayo de 2023, y puso en conocimiento del liquidador el memorial presentado por mi mandante, siendo que el liquidador se pronunció solicitando se desestimen la objeciones.</w:t>
      </w:r>
    </w:p>
    <w:p w14:paraId="78643709" w14:textId="77777777" w:rsidR="006806C7" w:rsidRDefault="006806C7" w:rsidP="00976776">
      <w:pPr>
        <w:jc w:val="both"/>
        <w:rPr>
          <w:rFonts w:ascii="Century Gothic" w:hAnsi="Century Gothic" w:cs="Tahoma"/>
          <w:lang w:val="es-CO"/>
        </w:rPr>
      </w:pPr>
    </w:p>
    <w:p w14:paraId="37A051C6" w14:textId="60509409" w:rsidR="006806C7" w:rsidRDefault="006806C7" w:rsidP="00976776">
      <w:pPr>
        <w:jc w:val="both"/>
        <w:rPr>
          <w:rFonts w:ascii="Century Gothic" w:hAnsi="Century Gothic" w:cs="Tahoma"/>
          <w:lang w:val="es-CO"/>
        </w:rPr>
      </w:pPr>
      <w:r>
        <w:rPr>
          <w:rFonts w:ascii="Century Gothic" w:hAnsi="Century Gothic" w:cs="Tahoma"/>
          <w:b/>
          <w:lang w:val="es-CO"/>
        </w:rPr>
        <w:t>SEXTAGÉSIMO</w:t>
      </w:r>
      <w:r w:rsidR="00D95924">
        <w:rPr>
          <w:rFonts w:ascii="Century Gothic" w:hAnsi="Century Gothic" w:cs="Tahoma"/>
          <w:b/>
          <w:lang w:val="es-CO"/>
        </w:rPr>
        <w:t xml:space="preserve"> SEGUNDO</w:t>
      </w:r>
      <w:r>
        <w:rPr>
          <w:rFonts w:ascii="Century Gothic" w:hAnsi="Century Gothic" w:cs="Tahoma"/>
          <w:b/>
          <w:lang w:val="es-CO"/>
        </w:rPr>
        <w:t xml:space="preserve">: </w:t>
      </w:r>
      <w:r>
        <w:rPr>
          <w:rFonts w:ascii="Century Gothic" w:hAnsi="Century Gothic" w:cs="Tahoma"/>
          <w:lang w:val="es-CO"/>
        </w:rPr>
        <w:t>Que en el Auto</w:t>
      </w:r>
      <w:r w:rsidR="004C4E1A">
        <w:rPr>
          <w:rFonts w:ascii="Century Gothic" w:hAnsi="Century Gothic" w:cs="Tahoma"/>
          <w:lang w:val="es-CO"/>
        </w:rPr>
        <w:t xml:space="preserve"> con radicado No. 2023-03-007698</w:t>
      </w:r>
      <w:r>
        <w:rPr>
          <w:rFonts w:ascii="Century Gothic" w:hAnsi="Century Gothic" w:cs="Tahoma"/>
          <w:lang w:val="es-CO"/>
        </w:rPr>
        <w:t xml:space="preserve">, </w:t>
      </w:r>
      <w:r w:rsidR="004C4E1A">
        <w:rPr>
          <w:rFonts w:ascii="Century Gothic" w:hAnsi="Century Gothic" w:cs="Tahoma"/>
          <w:lang w:val="es-CO"/>
        </w:rPr>
        <w:t xml:space="preserve">del 22 de septiembre de 2023, </w:t>
      </w:r>
      <w:r>
        <w:rPr>
          <w:rFonts w:ascii="Century Gothic" w:hAnsi="Century Gothic" w:cs="Tahoma"/>
          <w:lang w:val="es-CO"/>
        </w:rPr>
        <w:t xml:space="preserve">la convocada desestimó las objeciones presentadas por mi representado el día 2 de mayo de 2023, en el entendido de que las mismas </w:t>
      </w:r>
      <w:r w:rsidR="00842572">
        <w:rPr>
          <w:rFonts w:ascii="Century Gothic" w:hAnsi="Century Gothic" w:cs="Tahoma"/>
          <w:lang w:val="es-CO"/>
        </w:rPr>
        <w:t>no se dirigieron contra la gestión del liquidador con relación a la entrega de los bienes adjudicados, aseverando que todos los cargos ya habían sido resueltos con anterioridad, y para efecto se cita:</w:t>
      </w:r>
    </w:p>
    <w:p w14:paraId="1C6DFC5D" w14:textId="77777777" w:rsidR="00842572" w:rsidRDefault="00842572" w:rsidP="00976776">
      <w:pPr>
        <w:jc w:val="both"/>
        <w:rPr>
          <w:rFonts w:ascii="Century Gothic" w:hAnsi="Century Gothic" w:cs="Tahoma"/>
          <w:lang w:val="es-CO"/>
        </w:rPr>
      </w:pPr>
    </w:p>
    <w:p w14:paraId="427730AF" w14:textId="77777777" w:rsidR="00842572" w:rsidRPr="006806C7" w:rsidRDefault="00842572" w:rsidP="00842572">
      <w:pPr>
        <w:jc w:val="center"/>
        <w:rPr>
          <w:rFonts w:ascii="Century Gothic" w:hAnsi="Century Gothic" w:cs="Tahoma"/>
          <w:lang w:val="es-CO"/>
        </w:rPr>
      </w:pPr>
      <w:r>
        <w:rPr>
          <w:noProof/>
          <w:lang w:val="es-CO" w:eastAsia="es-CO"/>
        </w:rPr>
        <w:drawing>
          <wp:inline distT="0" distB="0" distL="0" distR="0" wp14:anchorId="648008D0" wp14:editId="2D775F8E">
            <wp:extent cx="4843903" cy="2286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BEBA8EAE-BF5A-486C-A8C5-ECC9F3942E4B}">
                          <a14:imgProps xmlns:a14="http://schemas.microsoft.com/office/drawing/2010/main">
                            <a14:imgLayer r:embed="rId68">
                              <a14:imgEffect>
                                <a14:sharpenSoften amount="25000"/>
                              </a14:imgEffect>
                            </a14:imgLayer>
                          </a14:imgProps>
                        </a:ext>
                      </a:extLst>
                    </a:blip>
                    <a:srcRect l="3691" t="43807" r="57705" b="28668"/>
                    <a:stretch/>
                  </pic:blipFill>
                  <pic:spPr bwMode="auto">
                    <a:xfrm>
                      <a:off x="0" y="0"/>
                      <a:ext cx="4857936" cy="2292623"/>
                    </a:xfrm>
                    <a:prstGeom prst="rect">
                      <a:avLst/>
                    </a:prstGeom>
                    <a:ln>
                      <a:noFill/>
                    </a:ln>
                    <a:extLst>
                      <a:ext uri="{53640926-AAD7-44D8-BBD7-CCE9431645EC}">
                        <a14:shadowObscured xmlns:a14="http://schemas.microsoft.com/office/drawing/2010/main"/>
                      </a:ext>
                    </a:extLst>
                  </pic:spPr>
                </pic:pic>
              </a:graphicData>
            </a:graphic>
          </wp:inline>
        </w:drawing>
      </w:r>
    </w:p>
    <w:p w14:paraId="71938C8D" w14:textId="77777777" w:rsidR="0067452B" w:rsidRDefault="0067452B" w:rsidP="0067452B">
      <w:pPr>
        <w:jc w:val="center"/>
        <w:rPr>
          <w:rFonts w:ascii="Century Gothic" w:hAnsi="Century Gothic" w:cs="Tahoma"/>
          <w:lang w:val="es-CO"/>
        </w:rPr>
      </w:pPr>
    </w:p>
    <w:p w14:paraId="4483FB67" w14:textId="16C35746" w:rsidR="0067452B" w:rsidRDefault="00FA0CC5" w:rsidP="00842572">
      <w:pPr>
        <w:jc w:val="both"/>
        <w:rPr>
          <w:rFonts w:ascii="Century Gothic" w:hAnsi="Century Gothic" w:cs="Tahoma"/>
          <w:lang w:val="es-CO"/>
        </w:rPr>
      </w:pPr>
      <w:r>
        <w:rPr>
          <w:rFonts w:ascii="Century Gothic" w:hAnsi="Century Gothic" w:cs="Tahoma"/>
          <w:b/>
          <w:lang w:val="es-CO"/>
        </w:rPr>
        <w:t xml:space="preserve">SEXTAGÉSIMO </w:t>
      </w:r>
      <w:r w:rsidR="00D95924">
        <w:rPr>
          <w:rFonts w:ascii="Century Gothic" w:hAnsi="Century Gothic" w:cs="Tahoma"/>
          <w:b/>
          <w:lang w:val="es-CO"/>
        </w:rPr>
        <w:t>TERCERO</w:t>
      </w:r>
      <w:r>
        <w:rPr>
          <w:rFonts w:ascii="Century Gothic" w:hAnsi="Century Gothic" w:cs="Tahoma"/>
          <w:b/>
          <w:lang w:val="es-CO"/>
        </w:rPr>
        <w:t xml:space="preserve">: </w:t>
      </w:r>
      <w:r>
        <w:rPr>
          <w:rFonts w:ascii="Century Gothic" w:hAnsi="Century Gothic" w:cs="Tahoma"/>
          <w:lang w:val="es-CO"/>
        </w:rPr>
        <w:t>Que en el Auto</w:t>
      </w:r>
      <w:r w:rsidR="004C4E1A">
        <w:rPr>
          <w:rFonts w:ascii="Century Gothic" w:hAnsi="Century Gothic" w:cs="Tahoma"/>
          <w:lang w:val="es-CO"/>
        </w:rPr>
        <w:t xml:space="preserve"> con radicado No. 2023-03-007698 del 22 de septiembre de 2023</w:t>
      </w:r>
      <w:r>
        <w:rPr>
          <w:rFonts w:ascii="Century Gothic" w:hAnsi="Century Gothic" w:cs="Tahoma"/>
          <w:lang w:val="es-CO"/>
        </w:rPr>
        <w:t>, y una vez desestimadas las objeciones presentadas por mi poderdante, se resolvió aprobar la rendición final de cuentas, estarse a lo dispuesto en los estados financieros, tener por aceptada la gestión del liquidador, declarar terminada la liquidación judicial de los bienes que conforman el patrimonio de MULTIPOLIMEROS S.A.S., así como ordenar la cancelación de la matrícula mercantil, advertir la improcedencia de recursos, entre otras.</w:t>
      </w:r>
    </w:p>
    <w:p w14:paraId="165073C4" w14:textId="77777777" w:rsidR="008D0AB5" w:rsidRDefault="008D0AB5" w:rsidP="00842572">
      <w:pPr>
        <w:jc w:val="both"/>
        <w:rPr>
          <w:rFonts w:ascii="Century Gothic" w:hAnsi="Century Gothic" w:cs="Tahoma"/>
          <w:lang w:val="es-CO"/>
        </w:rPr>
      </w:pPr>
    </w:p>
    <w:p w14:paraId="2775D569" w14:textId="6402CD31" w:rsidR="00C42CD6" w:rsidRDefault="008D0AB5" w:rsidP="00C42CD6">
      <w:pPr>
        <w:jc w:val="both"/>
        <w:rPr>
          <w:rFonts w:ascii="Century Gothic" w:hAnsi="Century Gothic" w:cs="Tahoma"/>
          <w:lang w:val="es-CO"/>
        </w:rPr>
      </w:pPr>
      <w:r>
        <w:rPr>
          <w:rFonts w:ascii="Century Gothic" w:hAnsi="Century Gothic" w:cs="Tahoma"/>
          <w:b/>
          <w:lang w:val="es-CO"/>
        </w:rPr>
        <w:t xml:space="preserve">SEXTAGÉSIMO </w:t>
      </w:r>
      <w:r w:rsidR="00D95924">
        <w:rPr>
          <w:rFonts w:ascii="Century Gothic" w:hAnsi="Century Gothic" w:cs="Tahoma"/>
          <w:b/>
          <w:lang w:val="es-CO"/>
        </w:rPr>
        <w:t>CUARTO</w:t>
      </w:r>
      <w:r>
        <w:rPr>
          <w:rFonts w:ascii="Century Gothic" w:hAnsi="Century Gothic" w:cs="Tahoma"/>
          <w:b/>
          <w:lang w:val="es-CO"/>
        </w:rPr>
        <w:t xml:space="preserve">: </w:t>
      </w:r>
      <w:r>
        <w:rPr>
          <w:rFonts w:ascii="Century Gothic" w:hAnsi="Century Gothic" w:cs="Tahoma"/>
          <w:lang w:val="es-CO"/>
        </w:rPr>
        <w:t xml:space="preserve">Que como se pudo advertir de la relación fáctica que antecede, pese a que la convocada durante todo el trámite procesal de liquidación de MULTIPOLIMEROS S.A.S., fue advertida de una serie de irregularidades en que incurrió el liquidador, </w:t>
      </w:r>
      <w:r w:rsidRPr="00E83E2A">
        <w:rPr>
          <w:rFonts w:ascii="Century Gothic" w:hAnsi="Century Gothic" w:cs="Tahoma"/>
          <w:b/>
          <w:u w:val="single"/>
          <w:lang w:val="es-CO"/>
        </w:rPr>
        <w:t>y habiéndose elevado ante esta el correspondiente incidente de remoción y sustitución</w:t>
      </w:r>
      <w:r>
        <w:rPr>
          <w:rFonts w:ascii="Century Gothic" w:hAnsi="Century Gothic" w:cs="Tahoma"/>
          <w:lang w:val="es-CO"/>
        </w:rPr>
        <w:t xml:space="preserve"> del mismo, la </w:t>
      </w:r>
      <w:proofErr w:type="spellStart"/>
      <w:r>
        <w:rPr>
          <w:rFonts w:ascii="Century Gothic" w:hAnsi="Century Gothic" w:cs="Tahoma"/>
          <w:lang w:val="es-CO"/>
        </w:rPr>
        <w:t>Supersociedades</w:t>
      </w:r>
      <w:proofErr w:type="spellEnd"/>
      <w:r>
        <w:rPr>
          <w:rFonts w:ascii="Century Gothic" w:hAnsi="Century Gothic" w:cs="Tahoma"/>
          <w:lang w:val="es-CO"/>
        </w:rPr>
        <w:t xml:space="preserve"> nunca lo tramitó como tal, es decir, se limitó a resolver </w:t>
      </w:r>
      <w:r w:rsidR="00C42CD6">
        <w:rPr>
          <w:rFonts w:ascii="Century Gothic" w:hAnsi="Century Gothic" w:cs="Tahoma"/>
          <w:lang w:val="es-CO"/>
        </w:rPr>
        <w:t xml:space="preserve">el tema como un asunto propio del proceso mediante autos, aplicando en </w:t>
      </w:r>
      <w:r w:rsidR="00C42CD6">
        <w:rPr>
          <w:rFonts w:ascii="Century Gothic" w:hAnsi="Century Gothic" w:cs="Tahoma"/>
          <w:lang w:val="es-CO"/>
        </w:rPr>
        <w:lastRenderedPageBreak/>
        <w:t>principio una norma derogada, y posteriormente dando una interpretación errónea a la misma (</w:t>
      </w:r>
      <w:r w:rsidR="00C42CD6" w:rsidRPr="00C42CD6">
        <w:rPr>
          <w:rFonts w:ascii="Century Gothic" w:hAnsi="Century Gothic" w:cs="Tahoma"/>
          <w:lang w:val="es-CO"/>
        </w:rPr>
        <w:t>artículo 2.2.2.9.3.1 del Decreto 1074 de 2015</w:t>
      </w:r>
      <w:r w:rsidR="00C42CD6">
        <w:rPr>
          <w:rFonts w:ascii="Century Gothic" w:hAnsi="Century Gothic" w:cs="Tahoma"/>
          <w:lang w:val="es-CO"/>
        </w:rPr>
        <w:t xml:space="preserve">), situación que nunca corrigió, </w:t>
      </w:r>
      <w:r w:rsidR="0006517F">
        <w:rPr>
          <w:rFonts w:ascii="Century Gothic" w:hAnsi="Century Gothic" w:cs="Tahoma"/>
          <w:lang w:val="es-CO"/>
        </w:rPr>
        <w:t xml:space="preserve">agotándose frente a tal decisión los recursos de ley </w:t>
      </w:r>
      <w:r w:rsidR="00DF3901">
        <w:rPr>
          <w:rFonts w:ascii="Century Gothic" w:hAnsi="Century Gothic" w:cs="Tahoma"/>
          <w:lang w:val="es-CO"/>
        </w:rPr>
        <w:t xml:space="preserve">de </w:t>
      </w:r>
      <w:r w:rsidR="0006517F">
        <w:rPr>
          <w:rFonts w:ascii="Century Gothic" w:hAnsi="Century Gothic" w:cs="Tahoma"/>
          <w:lang w:val="es-CO"/>
        </w:rPr>
        <w:t xml:space="preserve">que disponía mi mandante, </w:t>
      </w:r>
      <w:r w:rsidR="00C42CD6">
        <w:rPr>
          <w:rFonts w:ascii="Century Gothic" w:hAnsi="Century Gothic" w:cs="Tahoma"/>
          <w:lang w:val="es-CO"/>
        </w:rPr>
        <w:t>siendo claro que tal omisión constituye un inobservancia de un elemento normativo decisivo e incidente en el proceso, que no tiene justificación alguna por el operador judicial.</w:t>
      </w:r>
    </w:p>
    <w:p w14:paraId="6E88E140" w14:textId="77777777" w:rsidR="00C42CD6" w:rsidRDefault="00C42CD6" w:rsidP="00C42CD6">
      <w:pPr>
        <w:jc w:val="both"/>
        <w:rPr>
          <w:rFonts w:ascii="Century Gothic" w:hAnsi="Century Gothic" w:cs="Tahoma"/>
          <w:lang w:val="es-CO"/>
        </w:rPr>
      </w:pPr>
    </w:p>
    <w:p w14:paraId="143658BA" w14:textId="7E6C434B" w:rsidR="00C42CD6" w:rsidRDefault="00C42CD6" w:rsidP="00C42CD6">
      <w:pPr>
        <w:jc w:val="both"/>
        <w:rPr>
          <w:rFonts w:ascii="Century Gothic" w:hAnsi="Century Gothic" w:cs="Tahoma"/>
          <w:lang w:val="es-CO"/>
        </w:rPr>
      </w:pPr>
      <w:r w:rsidRPr="00047D4C">
        <w:rPr>
          <w:rFonts w:ascii="Century Gothic" w:hAnsi="Century Gothic" w:cs="Tahoma"/>
          <w:b/>
          <w:lang w:val="es-CO"/>
        </w:rPr>
        <w:t xml:space="preserve">SEXTAGÉSIMO </w:t>
      </w:r>
      <w:r w:rsidR="00D95924">
        <w:rPr>
          <w:rFonts w:ascii="Century Gothic" w:hAnsi="Century Gothic" w:cs="Tahoma"/>
          <w:b/>
          <w:lang w:val="es-CO"/>
        </w:rPr>
        <w:t>QUINTO</w:t>
      </w:r>
      <w:r w:rsidRPr="00047D4C">
        <w:rPr>
          <w:rFonts w:ascii="Century Gothic" w:hAnsi="Century Gothic" w:cs="Tahoma"/>
          <w:b/>
          <w:lang w:val="es-CO"/>
        </w:rPr>
        <w:t>:</w:t>
      </w:r>
      <w:r>
        <w:rPr>
          <w:rFonts w:ascii="Century Gothic" w:hAnsi="Century Gothic" w:cs="Tahoma"/>
          <w:b/>
          <w:lang w:val="es-CO"/>
        </w:rPr>
        <w:t xml:space="preserve"> </w:t>
      </w:r>
      <w:r>
        <w:rPr>
          <w:rFonts w:ascii="Century Gothic" w:hAnsi="Century Gothic" w:cs="Tahoma"/>
          <w:lang w:val="es-CO"/>
        </w:rPr>
        <w:t>Que de la decisión totalmente errónea contenida en el</w:t>
      </w:r>
      <w:r w:rsidRPr="0002706A">
        <w:rPr>
          <w:rFonts w:ascii="Century Gothic" w:hAnsi="Century Gothic" w:cs="Tahoma"/>
          <w:lang w:val="es-CO"/>
        </w:rPr>
        <w:t xml:space="preserve"> </w:t>
      </w:r>
      <w:r w:rsidR="00047D4C">
        <w:rPr>
          <w:rFonts w:ascii="Century Gothic" w:hAnsi="Century Gothic" w:cs="Tahoma"/>
          <w:lang w:val="es-CO"/>
        </w:rPr>
        <w:t>auto 2022-03-005350, “</w:t>
      </w:r>
      <w:r w:rsidR="00047D4C"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sidR="00047D4C">
        <w:rPr>
          <w:rFonts w:ascii="Century Gothic" w:hAnsi="Century Gothic" w:cs="Tahoma"/>
          <w:lang w:val="es-CO"/>
        </w:rPr>
        <w:t>” del 11 de mayo de 2022</w:t>
      </w:r>
      <w:r>
        <w:rPr>
          <w:rFonts w:ascii="Century Gothic" w:hAnsi="Century Gothic" w:cs="Tahoma"/>
          <w:lang w:val="es-CO"/>
        </w:rPr>
        <w:t>, se han ocasionado una serie de perjuicios de carácter patrimonial y extrapatrimonial a mi representado</w:t>
      </w:r>
      <w:r w:rsidR="0006517F">
        <w:rPr>
          <w:rFonts w:ascii="Century Gothic" w:hAnsi="Century Gothic" w:cs="Tahoma"/>
          <w:lang w:val="es-CO"/>
        </w:rPr>
        <w:t>.</w:t>
      </w:r>
    </w:p>
    <w:p w14:paraId="03F69072" w14:textId="77777777" w:rsidR="0006517F" w:rsidRDefault="0006517F" w:rsidP="00C42CD6">
      <w:pPr>
        <w:jc w:val="both"/>
        <w:rPr>
          <w:rFonts w:ascii="Century Gothic" w:hAnsi="Century Gothic" w:cs="Tahoma"/>
          <w:lang w:val="es-CO"/>
        </w:rPr>
      </w:pPr>
    </w:p>
    <w:p w14:paraId="251013B9" w14:textId="76985FA2" w:rsidR="0006517F" w:rsidRDefault="0006517F" w:rsidP="00C42CD6">
      <w:pPr>
        <w:jc w:val="both"/>
        <w:rPr>
          <w:rFonts w:ascii="Century Gothic" w:hAnsi="Century Gothic" w:cs="Tahoma"/>
          <w:lang w:val="es-CO"/>
        </w:rPr>
      </w:pPr>
      <w:r>
        <w:rPr>
          <w:rFonts w:ascii="Century Gothic" w:hAnsi="Century Gothic" w:cs="Tahoma"/>
          <w:b/>
          <w:lang w:val="es-CO"/>
        </w:rPr>
        <w:t xml:space="preserve">SEXTAGÉSIMO </w:t>
      </w:r>
      <w:r w:rsidR="00D95924">
        <w:rPr>
          <w:rFonts w:ascii="Century Gothic" w:hAnsi="Century Gothic" w:cs="Tahoma"/>
          <w:b/>
          <w:lang w:val="es-CO"/>
        </w:rPr>
        <w:t>SEXTO</w:t>
      </w:r>
      <w:r>
        <w:rPr>
          <w:rFonts w:ascii="Century Gothic" w:hAnsi="Century Gothic" w:cs="Tahoma"/>
          <w:b/>
          <w:lang w:val="es-CO"/>
        </w:rPr>
        <w:t xml:space="preserve">: </w:t>
      </w:r>
      <w:r>
        <w:rPr>
          <w:rFonts w:ascii="Century Gothic" w:hAnsi="Century Gothic" w:cs="Tahoma"/>
          <w:lang w:val="es-CO"/>
        </w:rPr>
        <w:t xml:space="preserve">Que producto del error judicial en el que incurrió la </w:t>
      </w:r>
      <w:r w:rsidR="00DF3901">
        <w:rPr>
          <w:rFonts w:ascii="Century Gothic" w:hAnsi="Century Gothic" w:cs="Tahoma"/>
          <w:lang w:val="es-CO"/>
        </w:rPr>
        <w:t>demandada</w:t>
      </w:r>
      <w:r>
        <w:rPr>
          <w:rFonts w:ascii="Century Gothic" w:hAnsi="Century Gothic" w:cs="Tahoma"/>
          <w:lang w:val="es-CO"/>
        </w:rPr>
        <w:t>, mi mandante se ha visto seriamente afectado a nivel emocional, ya que el hecho de tener que soportar durante más de un año una decisión infundada, vulneradora del debido proceso, y que se tomó sobre una empresa familiar, que en sí misma para su constitución y funcionamiento requirió de gran cantidad de esfuerzo, se erige como un sufrimiento constante en la humanidad de mi poderdante, quien ha perdido su relación afectiva con su hermano José Luis Hoyos Valderrama y padre Manuel José Hoyos Bueno</w:t>
      </w:r>
      <w:r w:rsidR="00CE7E71">
        <w:rPr>
          <w:rFonts w:ascii="Century Gothic" w:hAnsi="Century Gothic" w:cs="Tahoma"/>
          <w:lang w:val="es-CO"/>
        </w:rPr>
        <w:t xml:space="preserve">, perjuicio moral grave, constante </w:t>
      </w:r>
      <w:r w:rsidR="00387680">
        <w:rPr>
          <w:rFonts w:ascii="Century Gothic" w:hAnsi="Century Gothic" w:cs="Tahoma"/>
          <w:lang w:val="es-CO"/>
        </w:rPr>
        <w:t>y reparable por la suma de 100 SMMLV</w:t>
      </w:r>
      <w:r>
        <w:rPr>
          <w:rFonts w:ascii="Century Gothic" w:hAnsi="Century Gothic" w:cs="Tahoma"/>
          <w:lang w:val="es-CO"/>
        </w:rPr>
        <w:t>.</w:t>
      </w:r>
      <w:r w:rsidR="00CC1A9F">
        <w:rPr>
          <w:rFonts w:ascii="Century Gothic" w:hAnsi="Century Gothic" w:cs="Tahoma"/>
          <w:lang w:val="es-CO"/>
        </w:rPr>
        <w:t>, perjuicio que inclusive se soporta de su historia clínica y de las testimoniales que se relacionaran en el acápite correspondiente.</w:t>
      </w:r>
    </w:p>
    <w:p w14:paraId="74D15D6C" w14:textId="77777777" w:rsidR="0006517F" w:rsidRDefault="0006517F" w:rsidP="00C42CD6">
      <w:pPr>
        <w:jc w:val="both"/>
        <w:rPr>
          <w:rFonts w:ascii="Century Gothic" w:hAnsi="Century Gothic" w:cs="Tahoma"/>
          <w:lang w:val="es-CO"/>
        </w:rPr>
      </w:pPr>
    </w:p>
    <w:p w14:paraId="73DCB6FC" w14:textId="3832D7F3" w:rsidR="00910693" w:rsidRPr="00910693" w:rsidRDefault="0006517F" w:rsidP="00C42CD6">
      <w:pPr>
        <w:jc w:val="both"/>
        <w:rPr>
          <w:rFonts w:ascii="Century Gothic" w:hAnsi="Century Gothic" w:cs="Tahoma"/>
          <w:lang w:val="es-CO"/>
        </w:rPr>
      </w:pPr>
      <w:r>
        <w:rPr>
          <w:rFonts w:ascii="Century Gothic" w:hAnsi="Century Gothic" w:cs="Tahoma"/>
          <w:b/>
          <w:lang w:val="es-CO"/>
        </w:rPr>
        <w:t xml:space="preserve">SEXTAGÉSIMO </w:t>
      </w:r>
      <w:r w:rsidR="00D95924">
        <w:rPr>
          <w:rFonts w:ascii="Century Gothic" w:hAnsi="Century Gothic" w:cs="Tahoma"/>
          <w:b/>
          <w:lang w:val="es-CO"/>
        </w:rPr>
        <w:t>SÉPTIMO</w:t>
      </w:r>
      <w:r>
        <w:rPr>
          <w:rFonts w:ascii="Century Gothic" w:hAnsi="Century Gothic" w:cs="Tahoma"/>
          <w:b/>
          <w:lang w:val="es-CO"/>
        </w:rPr>
        <w:t xml:space="preserve">: </w:t>
      </w:r>
      <w:r w:rsidR="00910693">
        <w:rPr>
          <w:rFonts w:ascii="Century Gothic" w:hAnsi="Century Gothic" w:cs="Tahoma"/>
          <w:lang w:val="es-CO"/>
        </w:rPr>
        <w:t xml:space="preserve">Que por el error judicial demandado y generado con el Auto de radicado No. 2022-03-005350, </w:t>
      </w:r>
      <w:r w:rsidR="0023347D">
        <w:rPr>
          <w:rFonts w:ascii="Century Gothic" w:hAnsi="Century Gothic" w:cs="Tahoma"/>
          <w:lang w:val="es-CO"/>
        </w:rPr>
        <w:t>al omitirse por parte de la demandada llevar a cabo el trámite incidental de sustitución y remoción del liquidador, mi mandante perdió la oportunidad de ser sujeto de una recta y justa administración de justicia, así como la oportunidad de que se removiera al liquidador</w:t>
      </w:r>
      <w:r w:rsidR="00226CC2">
        <w:rPr>
          <w:rFonts w:ascii="Century Gothic" w:hAnsi="Century Gothic" w:cs="Tahoma"/>
          <w:lang w:val="es-CO"/>
        </w:rPr>
        <w:t xml:space="preserve"> por la seria expectativa de que esto sucediera de acuerdo a las irregularidades denunciadas,</w:t>
      </w:r>
      <w:r w:rsidR="0023347D">
        <w:rPr>
          <w:rFonts w:ascii="Century Gothic" w:hAnsi="Century Gothic" w:cs="Tahoma"/>
          <w:lang w:val="es-CO"/>
        </w:rPr>
        <w:t xml:space="preserve"> y </w:t>
      </w:r>
      <w:r w:rsidR="00226CC2">
        <w:rPr>
          <w:rFonts w:ascii="Century Gothic" w:hAnsi="Century Gothic" w:cs="Tahoma"/>
          <w:lang w:val="es-CO"/>
        </w:rPr>
        <w:t xml:space="preserve">que a su turno, </w:t>
      </w:r>
      <w:r w:rsidR="0023347D">
        <w:rPr>
          <w:rFonts w:ascii="Century Gothic" w:hAnsi="Century Gothic" w:cs="Tahoma"/>
          <w:lang w:val="es-CO"/>
        </w:rPr>
        <w:t xml:space="preserve">se evitara la depreciación de la maquinaria, planta y equipo de </w:t>
      </w:r>
      <w:proofErr w:type="spellStart"/>
      <w:r w:rsidR="0023347D">
        <w:rPr>
          <w:rFonts w:ascii="Century Gothic" w:hAnsi="Century Gothic" w:cs="Tahoma"/>
          <w:lang w:val="es-CO"/>
        </w:rPr>
        <w:t>Multipolímeros</w:t>
      </w:r>
      <w:proofErr w:type="spellEnd"/>
      <w:r w:rsidR="0023347D">
        <w:rPr>
          <w:rFonts w:ascii="Century Gothic" w:hAnsi="Century Gothic" w:cs="Tahoma"/>
          <w:lang w:val="es-CO"/>
        </w:rPr>
        <w:t xml:space="preserve"> S.A.S., con lo cual se podría cubrir de mejor forma los créditos de sus acreedores. Es por ello, que de manera subsidiaria se perseguirá una indemnización de 100 SMMLV.</w:t>
      </w:r>
    </w:p>
    <w:p w14:paraId="38526A39" w14:textId="77777777" w:rsidR="00910693" w:rsidRDefault="00910693" w:rsidP="00C42CD6">
      <w:pPr>
        <w:jc w:val="both"/>
        <w:rPr>
          <w:rFonts w:ascii="Century Gothic" w:hAnsi="Century Gothic" w:cs="Tahoma"/>
          <w:b/>
          <w:lang w:val="es-CO"/>
        </w:rPr>
      </w:pPr>
    </w:p>
    <w:p w14:paraId="1EF9E170" w14:textId="6D34E616" w:rsidR="0006517F" w:rsidRDefault="0023347D" w:rsidP="00C42CD6">
      <w:pPr>
        <w:jc w:val="both"/>
        <w:rPr>
          <w:rFonts w:ascii="Century Gothic" w:hAnsi="Century Gothic" w:cs="Tahoma"/>
          <w:lang w:val="es-CO"/>
        </w:rPr>
      </w:pPr>
      <w:r>
        <w:rPr>
          <w:rFonts w:ascii="Century Gothic" w:hAnsi="Century Gothic" w:cs="Tahoma"/>
          <w:b/>
          <w:lang w:val="es-CO"/>
        </w:rPr>
        <w:t xml:space="preserve">SEXTAGÉSIMO OCTAVO: </w:t>
      </w:r>
      <w:r w:rsidR="0006517F">
        <w:rPr>
          <w:rFonts w:ascii="Century Gothic" w:hAnsi="Century Gothic" w:cs="Tahoma"/>
          <w:lang w:val="es-CO"/>
        </w:rPr>
        <w:t>Que en cuanto</w:t>
      </w:r>
      <w:r w:rsidR="00D60B58">
        <w:rPr>
          <w:rFonts w:ascii="Century Gothic" w:hAnsi="Century Gothic" w:cs="Tahoma"/>
          <w:lang w:val="es-CO"/>
        </w:rPr>
        <w:t xml:space="preserve"> a los perjuicios patrimoniales, se tiene la configuración de un daño emergente, derivado de la depreciación económica de los bienes que constituyeron el patrimonio de MULTIPOLIMEROS S.A.S., </w:t>
      </w:r>
      <w:r w:rsidR="006234E6">
        <w:rPr>
          <w:rFonts w:ascii="Century Gothic" w:hAnsi="Century Gothic" w:cs="Tahoma"/>
          <w:lang w:val="es-CO"/>
        </w:rPr>
        <w:t xml:space="preserve">pues los bienes muebles con categoría de </w:t>
      </w:r>
      <w:r w:rsidR="00824298">
        <w:rPr>
          <w:rFonts w:ascii="Century Gothic" w:hAnsi="Century Gothic" w:cs="Tahoma"/>
          <w:lang w:val="es-CO"/>
        </w:rPr>
        <w:t>propiedad, planta</w:t>
      </w:r>
      <w:r w:rsidR="006234E6">
        <w:rPr>
          <w:rFonts w:ascii="Century Gothic" w:hAnsi="Century Gothic" w:cs="Tahoma"/>
          <w:lang w:val="es-CO"/>
        </w:rPr>
        <w:t xml:space="preserve"> y equipo</w:t>
      </w:r>
      <w:r w:rsidR="00824298">
        <w:rPr>
          <w:rFonts w:ascii="Century Gothic" w:hAnsi="Century Gothic" w:cs="Tahoma"/>
          <w:lang w:val="es-CO"/>
        </w:rPr>
        <w:t xml:space="preserve"> a 31 de diciembre de 2018 estaban valorados por $2.406.671.000 M/Cte., como se soporta en los estados financieros individuales presentados por el revisor fiscal de MULTIPOLIMEROS S.A.S., el 12 de marzo de 2019</w:t>
      </w:r>
      <w:r w:rsidR="009E1399">
        <w:rPr>
          <w:rFonts w:ascii="Century Gothic" w:hAnsi="Century Gothic" w:cs="Tahoma"/>
          <w:lang w:val="es-CO"/>
        </w:rPr>
        <w:t>.</w:t>
      </w:r>
      <w:r w:rsidR="006234E6">
        <w:rPr>
          <w:rFonts w:ascii="Century Gothic" w:hAnsi="Century Gothic" w:cs="Tahoma"/>
          <w:lang w:val="es-CO"/>
        </w:rPr>
        <w:t xml:space="preserve"> </w:t>
      </w:r>
    </w:p>
    <w:p w14:paraId="734A3A0F" w14:textId="77777777" w:rsidR="00D23439" w:rsidRDefault="00D23439" w:rsidP="00C42CD6">
      <w:pPr>
        <w:jc w:val="both"/>
        <w:rPr>
          <w:rFonts w:ascii="Century Gothic" w:hAnsi="Century Gothic" w:cs="Tahoma"/>
          <w:lang w:val="es-CO"/>
        </w:rPr>
      </w:pPr>
    </w:p>
    <w:p w14:paraId="01A25062" w14:textId="77777777" w:rsidR="00D23439" w:rsidRDefault="00D23439" w:rsidP="00C42CD6">
      <w:pPr>
        <w:jc w:val="both"/>
        <w:rPr>
          <w:rFonts w:ascii="Century Gothic" w:hAnsi="Century Gothic" w:cs="Tahoma"/>
          <w:lang w:val="es-CO"/>
        </w:rPr>
      </w:pPr>
      <w:r>
        <w:rPr>
          <w:rFonts w:ascii="Century Gothic" w:hAnsi="Century Gothic" w:cs="Tahoma"/>
          <w:lang w:val="es-CO"/>
        </w:rPr>
        <w:t>Sin embargo, conforme se narra en este acápite de hechos, podemos apreciar que la cuenta de propiedad, planta y equipo se depreció así:</w:t>
      </w:r>
    </w:p>
    <w:p w14:paraId="4AF267B0" w14:textId="77777777" w:rsidR="00D23439" w:rsidRDefault="00D23439" w:rsidP="00C42CD6">
      <w:pPr>
        <w:jc w:val="both"/>
        <w:rPr>
          <w:rFonts w:ascii="Century Gothic" w:hAnsi="Century Gothic" w:cs="Tahoma"/>
          <w:lang w:val="es-CO"/>
        </w:rPr>
      </w:pPr>
    </w:p>
    <w:p w14:paraId="5080AB98" w14:textId="3CA36C33" w:rsidR="00D23439" w:rsidRDefault="00D23439" w:rsidP="00C42CD6">
      <w:pPr>
        <w:jc w:val="both"/>
        <w:rPr>
          <w:rFonts w:ascii="Century Gothic" w:hAnsi="Century Gothic" w:cs="Tahoma"/>
          <w:lang w:val="es-CO"/>
        </w:rPr>
      </w:pPr>
      <w:r>
        <w:rPr>
          <w:rFonts w:ascii="Century Gothic" w:hAnsi="Century Gothic" w:cs="Tahoma"/>
          <w:lang w:val="es-CO"/>
        </w:rPr>
        <w:t>.- Hecho déci</w:t>
      </w:r>
      <w:r w:rsidR="00747032">
        <w:rPr>
          <w:rFonts w:ascii="Century Gothic" w:hAnsi="Century Gothic" w:cs="Tahoma"/>
          <w:lang w:val="es-CO"/>
        </w:rPr>
        <w:t>mo segundo</w:t>
      </w:r>
      <w:r>
        <w:rPr>
          <w:rFonts w:ascii="Century Gothic" w:hAnsi="Century Gothic" w:cs="Tahoma"/>
          <w:lang w:val="es-CO"/>
        </w:rPr>
        <w:t>: $1.848.447.000;</w:t>
      </w:r>
    </w:p>
    <w:p w14:paraId="7343D7A8" w14:textId="782B4066" w:rsidR="00D23439" w:rsidRDefault="001C24DD" w:rsidP="00C42CD6">
      <w:pPr>
        <w:jc w:val="both"/>
        <w:rPr>
          <w:rFonts w:ascii="Century Gothic" w:hAnsi="Century Gothic" w:cs="Tahoma"/>
          <w:lang w:val="es-CO"/>
        </w:rPr>
      </w:pPr>
      <w:r>
        <w:rPr>
          <w:rFonts w:ascii="Century Gothic" w:hAnsi="Century Gothic" w:cs="Tahoma"/>
          <w:lang w:val="es-CO"/>
        </w:rPr>
        <w:t>.- Hecho décimo séptimo</w:t>
      </w:r>
      <w:r w:rsidR="00D23439">
        <w:rPr>
          <w:rFonts w:ascii="Century Gothic" w:hAnsi="Century Gothic" w:cs="Tahoma"/>
          <w:lang w:val="es-CO"/>
        </w:rPr>
        <w:t>: $1.367.596.628;</w:t>
      </w:r>
    </w:p>
    <w:p w14:paraId="0CB54863" w14:textId="3D59A74D" w:rsidR="00D23439" w:rsidRDefault="00D23439" w:rsidP="00C42CD6">
      <w:pPr>
        <w:jc w:val="both"/>
        <w:rPr>
          <w:rFonts w:ascii="Century Gothic" w:hAnsi="Century Gothic" w:cs="Tahoma"/>
          <w:lang w:val="es-CO"/>
        </w:rPr>
      </w:pPr>
      <w:r>
        <w:rPr>
          <w:rFonts w:ascii="Century Gothic" w:hAnsi="Century Gothic" w:cs="Tahoma"/>
          <w:lang w:val="es-CO"/>
        </w:rPr>
        <w:t xml:space="preserve">.- Hecho vigésimo </w:t>
      </w:r>
      <w:r w:rsidR="00A44202">
        <w:rPr>
          <w:rFonts w:ascii="Century Gothic" w:hAnsi="Century Gothic" w:cs="Tahoma"/>
          <w:lang w:val="es-CO"/>
        </w:rPr>
        <w:t>cuarto</w:t>
      </w:r>
      <w:r>
        <w:rPr>
          <w:rFonts w:ascii="Century Gothic" w:hAnsi="Century Gothic" w:cs="Tahoma"/>
          <w:lang w:val="es-CO"/>
        </w:rPr>
        <w:t>: $1.367.596.628;</w:t>
      </w:r>
    </w:p>
    <w:p w14:paraId="21A6B74A" w14:textId="40F3A162" w:rsidR="00D23439" w:rsidRDefault="00483C7B" w:rsidP="00C42CD6">
      <w:pPr>
        <w:jc w:val="both"/>
        <w:rPr>
          <w:rFonts w:ascii="Century Gothic" w:hAnsi="Century Gothic" w:cs="Tahoma"/>
          <w:lang w:val="es-CO"/>
        </w:rPr>
      </w:pPr>
      <w:r>
        <w:rPr>
          <w:rFonts w:ascii="Century Gothic" w:hAnsi="Century Gothic" w:cs="Tahoma"/>
          <w:lang w:val="es-CO"/>
        </w:rPr>
        <w:t>.- Hecho trigésimo sexto</w:t>
      </w:r>
      <w:r w:rsidR="00D23439">
        <w:rPr>
          <w:rFonts w:ascii="Century Gothic" w:hAnsi="Century Gothic" w:cs="Tahoma"/>
          <w:lang w:val="es-CO"/>
        </w:rPr>
        <w:t>: $847.754.708;</w:t>
      </w:r>
    </w:p>
    <w:p w14:paraId="13D243A3" w14:textId="69850A12" w:rsidR="00D23439" w:rsidRDefault="00D23439" w:rsidP="00C42CD6">
      <w:pPr>
        <w:jc w:val="both"/>
        <w:rPr>
          <w:rFonts w:ascii="Century Gothic" w:hAnsi="Century Gothic" w:cs="Tahoma"/>
          <w:lang w:val="es-CO"/>
        </w:rPr>
      </w:pPr>
      <w:r>
        <w:rPr>
          <w:rFonts w:ascii="Century Gothic" w:hAnsi="Century Gothic" w:cs="Tahoma"/>
          <w:lang w:val="es-CO"/>
        </w:rPr>
        <w:t xml:space="preserve">.- Hecho </w:t>
      </w:r>
      <w:r w:rsidR="002A5320">
        <w:rPr>
          <w:rFonts w:ascii="Century Gothic" w:hAnsi="Century Gothic" w:cs="Tahoma"/>
          <w:lang w:val="es-CO"/>
        </w:rPr>
        <w:t>cuadragésimo primero</w:t>
      </w:r>
      <w:r>
        <w:rPr>
          <w:rFonts w:ascii="Century Gothic" w:hAnsi="Century Gothic" w:cs="Tahoma"/>
          <w:lang w:val="es-CO"/>
        </w:rPr>
        <w:t>: $356.409.704;</w:t>
      </w:r>
    </w:p>
    <w:p w14:paraId="04798F12" w14:textId="529A204C" w:rsidR="00D23439" w:rsidRDefault="00D23439" w:rsidP="00C42CD6">
      <w:pPr>
        <w:jc w:val="both"/>
        <w:rPr>
          <w:rFonts w:ascii="Century Gothic" w:hAnsi="Century Gothic" w:cs="Tahoma"/>
          <w:lang w:val="es-CO"/>
        </w:rPr>
      </w:pPr>
      <w:r>
        <w:rPr>
          <w:rFonts w:ascii="Century Gothic" w:hAnsi="Century Gothic" w:cs="Tahoma"/>
          <w:lang w:val="es-CO"/>
        </w:rPr>
        <w:t xml:space="preserve">.- Hecho cuadragésimo </w:t>
      </w:r>
      <w:r w:rsidR="00FC55EB">
        <w:rPr>
          <w:rFonts w:ascii="Century Gothic" w:hAnsi="Century Gothic" w:cs="Tahoma"/>
          <w:lang w:val="es-CO"/>
        </w:rPr>
        <w:t>noveno</w:t>
      </w:r>
      <w:r>
        <w:rPr>
          <w:rFonts w:ascii="Century Gothic" w:hAnsi="Century Gothic" w:cs="Tahoma"/>
          <w:lang w:val="es-CO"/>
        </w:rPr>
        <w:t>: $294.497.210; y</w:t>
      </w:r>
    </w:p>
    <w:p w14:paraId="46726A9F" w14:textId="21A0D50F" w:rsidR="00D23439" w:rsidRDefault="00D23439" w:rsidP="00C42CD6">
      <w:pPr>
        <w:jc w:val="both"/>
        <w:rPr>
          <w:rFonts w:ascii="Century Gothic" w:hAnsi="Century Gothic" w:cs="Tahoma"/>
          <w:lang w:val="es-CO"/>
        </w:rPr>
      </w:pPr>
      <w:r>
        <w:rPr>
          <w:rFonts w:ascii="Century Gothic" w:hAnsi="Century Gothic" w:cs="Tahoma"/>
          <w:lang w:val="es-CO"/>
        </w:rPr>
        <w:t>.- Hecho quincuag</w:t>
      </w:r>
      <w:r w:rsidR="00FC55EB">
        <w:rPr>
          <w:rFonts w:ascii="Century Gothic" w:hAnsi="Century Gothic" w:cs="Tahoma"/>
          <w:lang w:val="es-CO"/>
        </w:rPr>
        <w:t>ésimo quinto</w:t>
      </w:r>
      <w:r>
        <w:rPr>
          <w:rFonts w:ascii="Century Gothic" w:hAnsi="Century Gothic" w:cs="Tahoma"/>
          <w:lang w:val="es-CO"/>
        </w:rPr>
        <w:t>: $294.497.209,56.</w:t>
      </w:r>
    </w:p>
    <w:p w14:paraId="2E7141BC" w14:textId="77777777" w:rsidR="00D23439" w:rsidRDefault="00D23439" w:rsidP="00C42CD6">
      <w:pPr>
        <w:jc w:val="both"/>
        <w:rPr>
          <w:rFonts w:ascii="Century Gothic" w:hAnsi="Century Gothic" w:cs="Tahoma"/>
          <w:lang w:val="es-CO"/>
        </w:rPr>
      </w:pPr>
    </w:p>
    <w:p w14:paraId="49F39952" w14:textId="77777777" w:rsidR="00D23439" w:rsidRDefault="00232D1B" w:rsidP="00C42CD6">
      <w:pPr>
        <w:jc w:val="both"/>
        <w:rPr>
          <w:rFonts w:ascii="Century Gothic" w:hAnsi="Century Gothic" w:cs="Tahoma"/>
          <w:u w:val="single"/>
          <w:lang w:val="es-CO"/>
        </w:rPr>
      </w:pPr>
      <w:r>
        <w:rPr>
          <w:rFonts w:ascii="Century Gothic" w:hAnsi="Century Gothic" w:cs="Tahoma"/>
          <w:lang w:val="es-CO"/>
        </w:rPr>
        <w:t xml:space="preserve">Así las cosas, del 100% del valor original de la cuenta de propiedad, planta y equipo ($2.406.671.000) M/Cte., tenemos una depreciación del 87.77%, tomando en consideración que la suma de $294.497.209,56 M/Cte., corresponde solo al 12.23% del valor original. Por lo tanto, el daño emergente corresponde a la suma de </w:t>
      </w:r>
      <w:r w:rsidRPr="006E0F84">
        <w:rPr>
          <w:rFonts w:ascii="Century Gothic" w:hAnsi="Century Gothic" w:cs="Tahoma"/>
          <w:u w:val="single"/>
          <w:lang w:val="es-CO"/>
        </w:rPr>
        <w:t>$2.112.335.136,70 M/Cte.</w:t>
      </w:r>
    </w:p>
    <w:p w14:paraId="214DB855" w14:textId="77777777" w:rsidR="006E0F84" w:rsidRDefault="006E0F84" w:rsidP="00C42CD6">
      <w:pPr>
        <w:jc w:val="both"/>
        <w:rPr>
          <w:rFonts w:ascii="Century Gothic" w:hAnsi="Century Gothic" w:cs="Tahoma"/>
          <w:u w:val="single"/>
          <w:lang w:val="es-CO"/>
        </w:rPr>
      </w:pPr>
    </w:p>
    <w:p w14:paraId="3DA54AAE" w14:textId="413426C5" w:rsidR="0048011A" w:rsidRPr="0048011A" w:rsidRDefault="006E0F84" w:rsidP="00C42CD6">
      <w:pPr>
        <w:jc w:val="both"/>
        <w:rPr>
          <w:rFonts w:ascii="Century Gothic" w:hAnsi="Century Gothic" w:cs="Tahoma"/>
          <w:lang w:val="es-CO"/>
        </w:rPr>
      </w:pPr>
      <w:r>
        <w:rPr>
          <w:rFonts w:ascii="Century Gothic" w:hAnsi="Century Gothic" w:cs="Tahoma"/>
          <w:b/>
          <w:lang w:val="es-CO"/>
        </w:rPr>
        <w:t xml:space="preserve">SEXTAGÉSIMO </w:t>
      </w:r>
      <w:r w:rsidR="0023347D">
        <w:rPr>
          <w:rFonts w:ascii="Century Gothic" w:hAnsi="Century Gothic" w:cs="Tahoma"/>
          <w:b/>
          <w:lang w:val="es-CO"/>
        </w:rPr>
        <w:t>NOVENO</w:t>
      </w:r>
      <w:r>
        <w:rPr>
          <w:rFonts w:ascii="Century Gothic" w:hAnsi="Century Gothic" w:cs="Tahoma"/>
          <w:b/>
          <w:lang w:val="es-CO"/>
        </w:rPr>
        <w:t xml:space="preserve">: </w:t>
      </w:r>
      <w:r w:rsidR="0048011A">
        <w:rPr>
          <w:rFonts w:ascii="Century Gothic" w:hAnsi="Century Gothic" w:cs="Tahoma"/>
          <w:lang w:val="es-CO"/>
        </w:rPr>
        <w:t xml:space="preserve">A su turno, dentro del proceso de liquidación judicial de MULTIPOLIMEROS S.A.S., el señor CARLOS MANUEL HOYOS VALDERRAMA, tuvo que incurrir en gastos de representación jurídica con el abogado ALBERTO MARIO PÁEZ BASTIDAS, por la suma de </w:t>
      </w:r>
      <w:r w:rsidR="0048011A">
        <w:rPr>
          <w:rFonts w:ascii="Century Gothic" w:hAnsi="Century Gothic" w:cs="Tahoma"/>
          <w:u w:val="single"/>
          <w:lang w:val="es-CO"/>
        </w:rPr>
        <w:t>$91.554.000 M/Cte.</w:t>
      </w:r>
      <w:r w:rsidR="0048011A">
        <w:rPr>
          <w:rFonts w:ascii="Century Gothic" w:hAnsi="Century Gothic" w:cs="Tahoma"/>
          <w:lang w:val="es-CO"/>
        </w:rPr>
        <w:t>, de lo cual se adjuntan las cuentas de cobro de los periodos de noviembre de 2018 a enero de 2019, y de febrero de 2020 a julio de 2020.</w:t>
      </w:r>
    </w:p>
    <w:p w14:paraId="092EB8BA" w14:textId="77777777" w:rsidR="0048011A" w:rsidRDefault="0048011A" w:rsidP="00C42CD6">
      <w:pPr>
        <w:jc w:val="both"/>
        <w:rPr>
          <w:rFonts w:ascii="Century Gothic" w:hAnsi="Century Gothic" w:cs="Tahoma"/>
          <w:b/>
          <w:lang w:val="es-CO"/>
        </w:rPr>
      </w:pPr>
    </w:p>
    <w:p w14:paraId="60715DEF" w14:textId="6EC50F45" w:rsidR="0048011A" w:rsidRDefault="0048011A" w:rsidP="00C42CD6">
      <w:pPr>
        <w:jc w:val="both"/>
        <w:rPr>
          <w:rFonts w:ascii="Century Gothic" w:hAnsi="Century Gothic" w:cs="Tahoma"/>
          <w:lang w:val="es-CO"/>
        </w:rPr>
      </w:pPr>
      <w:r>
        <w:rPr>
          <w:rFonts w:ascii="Century Gothic" w:hAnsi="Century Gothic" w:cs="Tahoma"/>
          <w:b/>
          <w:lang w:val="es-CO"/>
        </w:rPr>
        <w:t>SE</w:t>
      </w:r>
      <w:r w:rsidR="0023347D">
        <w:rPr>
          <w:rFonts w:ascii="Century Gothic" w:hAnsi="Century Gothic" w:cs="Tahoma"/>
          <w:b/>
          <w:lang w:val="es-CO"/>
        </w:rPr>
        <w:t>PTAGÉSIMO</w:t>
      </w:r>
      <w:r>
        <w:rPr>
          <w:rFonts w:ascii="Century Gothic" w:hAnsi="Century Gothic" w:cs="Tahoma"/>
          <w:b/>
          <w:lang w:val="es-CO"/>
        </w:rPr>
        <w:t xml:space="preserve">: </w:t>
      </w:r>
      <w:r w:rsidR="006E0F84">
        <w:rPr>
          <w:rFonts w:ascii="Century Gothic" w:hAnsi="Century Gothic" w:cs="Tahoma"/>
          <w:lang w:val="es-CO"/>
        </w:rPr>
        <w:t xml:space="preserve">De igual manera, se ha causado un daño emergente por la suma de </w:t>
      </w:r>
      <w:r w:rsidR="006E0F84" w:rsidRPr="00C12B76">
        <w:rPr>
          <w:rFonts w:ascii="Century Gothic" w:hAnsi="Century Gothic" w:cs="Tahoma"/>
          <w:u w:val="single"/>
          <w:lang w:val="es-CO"/>
        </w:rPr>
        <w:t>$</w:t>
      </w:r>
      <w:r w:rsidR="00984909" w:rsidRPr="00C12B76">
        <w:rPr>
          <w:rFonts w:ascii="Century Gothic" w:hAnsi="Century Gothic" w:cs="Tahoma"/>
          <w:u w:val="single"/>
          <w:lang w:val="es-CO"/>
        </w:rPr>
        <w:t>29.0</w:t>
      </w:r>
      <w:r w:rsidR="006E0F84" w:rsidRPr="00C12B76">
        <w:rPr>
          <w:rFonts w:ascii="Century Gothic" w:hAnsi="Century Gothic" w:cs="Tahoma"/>
          <w:u w:val="single"/>
          <w:lang w:val="es-CO"/>
        </w:rPr>
        <w:t>00.000 M/Cte.,</w:t>
      </w:r>
      <w:r w:rsidR="006E0F84" w:rsidRPr="00C12B76">
        <w:rPr>
          <w:rFonts w:ascii="Century Gothic" w:hAnsi="Century Gothic" w:cs="Tahoma"/>
          <w:lang w:val="es-CO"/>
        </w:rPr>
        <w:t xml:space="preserve"> </w:t>
      </w:r>
      <w:r w:rsidR="006E0F84">
        <w:rPr>
          <w:rFonts w:ascii="Century Gothic" w:hAnsi="Century Gothic" w:cs="Tahoma"/>
          <w:lang w:val="es-CO"/>
        </w:rPr>
        <w:t xml:space="preserve">por concepto de cancelación de honorarios de servicios profesionales de representación jurídica, ocasionados con la presentación de </w:t>
      </w:r>
      <w:r w:rsidR="00F31B7B">
        <w:rPr>
          <w:rFonts w:ascii="Century Gothic" w:hAnsi="Century Gothic" w:cs="Tahoma"/>
          <w:lang w:val="es-CO"/>
        </w:rPr>
        <w:t>la</w:t>
      </w:r>
      <w:r w:rsidR="006E0F84">
        <w:rPr>
          <w:rFonts w:ascii="Century Gothic" w:hAnsi="Century Gothic" w:cs="Tahoma"/>
          <w:lang w:val="es-CO"/>
        </w:rPr>
        <w:t xml:space="preserve"> solicitud de conciliación y </w:t>
      </w:r>
      <w:r w:rsidR="00984909">
        <w:rPr>
          <w:rFonts w:ascii="Century Gothic" w:hAnsi="Century Gothic" w:cs="Tahoma"/>
          <w:lang w:val="es-CO"/>
        </w:rPr>
        <w:t xml:space="preserve">el medio ce control de reparación directa, </w:t>
      </w:r>
      <w:r w:rsidR="006E0F84">
        <w:rPr>
          <w:rFonts w:ascii="Century Gothic" w:hAnsi="Century Gothic" w:cs="Tahoma"/>
          <w:lang w:val="es-CO"/>
        </w:rPr>
        <w:t xml:space="preserve">que el señor CARLOS MANUEL HOYOS VALDERRAMA, </w:t>
      </w:r>
      <w:r w:rsidR="00984909">
        <w:rPr>
          <w:rFonts w:ascii="Century Gothic" w:hAnsi="Century Gothic" w:cs="Tahoma"/>
          <w:lang w:val="es-CO"/>
        </w:rPr>
        <w:t xml:space="preserve">debe </w:t>
      </w:r>
      <w:r w:rsidR="006E0F84">
        <w:rPr>
          <w:rFonts w:ascii="Century Gothic" w:hAnsi="Century Gothic" w:cs="Tahoma"/>
          <w:lang w:val="es-CO"/>
        </w:rPr>
        <w:t>cancelar al suscrito.</w:t>
      </w:r>
    </w:p>
    <w:p w14:paraId="782D73A9" w14:textId="77777777" w:rsidR="009C0555" w:rsidRDefault="009C0555" w:rsidP="00C42CD6">
      <w:pPr>
        <w:jc w:val="both"/>
        <w:rPr>
          <w:rFonts w:ascii="Century Gothic" w:hAnsi="Century Gothic" w:cs="Tahoma"/>
          <w:lang w:val="es-CO"/>
        </w:rPr>
      </w:pPr>
    </w:p>
    <w:p w14:paraId="02BB126F" w14:textId="18E7B07F" w:rsidR="009C0555" w:rsidRPr="009C0555" w:rsidRDefault="009C0555" w:rsidP="00C42CD6">
      <w:pPr>
        <w:jc w:val="both"/>
        <w:rPr>
          <w:rFonts w:ascii="Century Gothic" w:hAnsi="Century Gothic" w:cs="Tahoma"/>
          <w:lang w:val="es-CO"/>
        </w:rPr>
      </w:pPr>
      <w:r>
        <w:rPr>
          <w:rFonts w:ascii="Century Gothic" w:hAnsi="Century Gothic" w:cs="Tahoma"/>
          <w:b/>
          <w:lang w:val="es-CO"/>
        </w:rPr>
        <w:t>SE</w:t>
      </w:r>
      <w:r w:rsidR="00D95924">
        <w:rPr>
          <w:rFonts w:ascii="Century Gothic" w:hAnsi="Century Gothic" w:cs="Tahoma"/>
          <w:b/>
          <w:lang w:val="es-CO"/>
        </w:rPr>
        <w:t>PTAGÉSIMO</w:t>
      </w:r>
      <w:r w:rsidR="0023347D">
        <w:rPr>
          <w:rFonts w:ascii="Century Gothic" w:hAnsi="Century Gothic" w:cs="Tahoma"/>
          <w:b/>
          <w:lang w:val="es-CO"/>
        </w:rPr>
        <w:t xml:space="preserve"> PRIMERO</w:t>
      </w:r>
      <w:r>
        <w:rPr>
          <w:rFonts w:ascii="Century Gothic" w:hAnsi="Century Gothic" w:cs="Tahoma"/>
          <w:b/>
          <w:lang w:val="es-CO"/>
        </w:rPr>
        <w:t xml:space="preserve">: </w:t>
      </w:r>
      <w:r>
        <w:rPr>
          <w:rFonts w:ascii="Century Gothic" w:hAnsi="Century Gothic" w:cs="Tahoma"/>
          <w:lang w:val="es-CO"/>
        </w:rPr>
        <w:t xml:space="preserve">Que el día 12 de febrero de 2024, se llevó a cabo audiencia de conciliación </w:t>
      </w:r>
      <w:r w:rsidR="00C36E7B">
        <w:rPr>
          <w:rFonts w:ascii="Century Gothic" w:hAnsi="Century Gothic" w:cs="Tahoma"/>
          <w:lang w:val="es-CO"/>
        </w:rPr>
        <w:t>extrajudicial ante la Procuraduría 19 Judicial II Para Asuntos Administrativos de Cali, la cual se declaró fallida por ausencia de ánimo conciliatorio de la hoy demandada, con lo que se acredita el agotamiento del requisito de procedibilidad</w:t>
      </w:r>
      <w:r w:rsidR="00027BAE">
        <w:rPr>
          <w:rFonts w:ascii="Century Gothic" w:hAnsi="Century Gothic" w:cs="Tahoma"/>
          <w:lang w:val="es-CO"/>
        </w:rPr>
        <w:t xml:space="preserve"> y para el efecto se adjunta la correspondiente acta de audiencia y constancia expedidas por la Procuraduría en mención</w:t>
      </w:r>
      <w:r w:rsidR="00C36E7B">
        <w:rPr>
          <w:rFonts w:ascii="Century Gothic" w:hAnsi="Century Gothic" w:cs="Tahoma"/>
          <w:lang w:val="es-CO"/>
        </w:rPr>
        <w:t>.</w:t>
      </w:r>
    </w:p>
    <w:p w14:paraId="5DBEDF80" w14:textId="77777777" w:rsidR="00A07A3B" w:rsidRPr="009A1E1B" w:rsidRDefault="00A07A3B" w:rsidP="00A07A3B">
      <w:pPr>
        <w:jc w:val="center"/>
        <w:rPr>
          <w:rFonts w:ascii="Century Gothic" w:hAnsi="Century Gothic" w:cs="Tahoma"/>
          <w:lang w:val="es-CO"/>
        </w:rPr>
      </w:pPr>
    </w:p>
    <w:p w14:paraId="7E910DA9" w14:textId="77777777" w:rsidR="009A1E1B" w:rsidRPr="009A1E1B" w:rsidRDefault="009A1E1B" w:rsidP="009A1E1B">
      <w:pPr>
        <w:jc w:val="both"/>
        <w:rPr>
          <w:rFonts w:ascii="Century Gothic" w:hAnsi="Century Gothic" w:cs="Tahoma"/>
          <w:lang w:val="es-CO"/>
        </w:rPr>
      </w:pPr>
    </w:p>
    <w:p w14:paraId="1DC60D46" w14:textId="77777777" w:rsidR="009A1E1B" w:rsidRPr="001E0B1C" w:rsidRDefault="00F25B82" w:rsidP="00F527BF">
      <w:pPr>
        <w:pStyle w:val="Prrafodelista"/>
        <w:numPr>
          <w:ilvl w:val="0"/>
          <w:numId w:val="1"/>
        </w:numPr>
        <w:jc w:val="center"/>
        <w:rPr>
          <w:rFonts w:ascii="Century Gothic" w:hAnsi="Century Gothic" w:cs="Tahoma"/>
          <w:b/>
          <w:sz w:val="22"/>
          <w:szCs w:val="22"/>
          <w:u w:val="single"/>
          <w:lang w:val="es-CO"/>
        </w:rPr>
      </w:pPr>
      <w:r w:rsidRPr="001E0B1C">
        <w:rPr>
          <w:rFonts w:ascii="Century Gothic" w:hAnsi="Century Gothic" w:cs="Tahoma"/>
          <w:b/>
          <w:sz w:val="22"/>
          <w:szCs w:val="22"/>
          <w:u w:val="single"/>
          <w:lang w:val="es-CO"/>
        </w:rPr>
        <w:t>DISPOSICIONES JURÍDICAS VULNERADAS</w:t>
      </w:r>
    </w:p>
    <w:p w14:paraId="51F7FA17" w14:textId="77777777" w:rsidR="009A1E1B" w:rsidRPr="009A1E1B" w:rsidRDefault="009A1E1B" w:rsidP="009A1E1B">
      <w:pPr>
        <w:jc w:val="center"/>
        <w:rPr>
          <w:rFonts w:ascii="Century Gothic" w:hAnsi="Century Gothic" w:cs="Tahoma"/>
          <w:b/>
          <w:lang w:val="es-CO"/>
        </w:rPr>
      </w:pPr>
    </w:p>
    <w:p w14:paraId="31421F05" w14:textId="77777777" w:rsidR="009A1E1B" w:rsidRDefault="009A1E1B" w:rsidP="009A1E1B">
      <w:pPr>
        <w:jc w:val="both"/>
        <w:rPr>
          <w:rFonts w:ascii="Century Gothic" w:hAnsi="Century Gothic" w:cs="Tahoma"/>
          <w:lang w:val="es-CO"/>
        </w:rPr>
      </w:pPr>
    </w:p>
    <w:p w14:paraId="50ACD46A" w14:textId="77777777" w:rsidR="00F25B82" w:rsidRPr="00D50443" w:rsidRDefault="00D50443" w:rsidP="00F527BF">
      <w:pPr>
        <w:pStyle w:val="Prrafodelista"/>
        <w:numPr>
          <w:ilvl w:val="0"/>
          <w:numId w:val="2"/>
        </w:numPr>
        <w:jc w:val="both"/>
        <w:rPr>
          <w:rFonts w:ascii="Century Gothic" w:hAnsi="Century Gothic" w:cs="Tahoma"/>
          <w:lang w:val="es-CO"/>
        </w:rPr>
      </w:pPr>
      <w:r>
        <w:rPr>
          <w:rFonts w:ascii="Century Gothic" w:hAnsi="Century Gothic" w:cs="Tahoma"/>
          <w:sz w:val="22"/>
          <w:szCs w:val="22"/>
          <w:lang w:val="es-CO"/>
        </w:rPr>
        <w:t>Artículo 29</w:t>
      </w:r>
      <w:r w:rsidR="00AF1438">
        <w:rPr>
          <w:rFonts w:ascii="Century Gothic" w:hAnsi="Century Gothic" w:cs="Tahoma"/>
          <w:sz w:val="22"/>
          <w:szCs w:val="22"/>
          <w:lang w:val="es-CO"/>
        </w:rPr>
        <w:t>, 90</w:t>
      </w:r>
      <w:r>
        <w:rPr>
          <w:rFonts w:ascii="Century Gothic" w:hAnsi="Century Gothic" w:cs="Tahoma"/>
          <w:sz w:val="22"/>
          <w:szCs w:val="22"/>
          <w:lang w:val="es-CO"/>
        </w:rPr>
        <w:t xml:space="preserve"> y siguientes de la Constitución Política de C</w:t>
      </w:r>
      <w:r w:rsidR="0077593A">
        <w:rPr>
          <w:rFonts w:ascii="Century Gothic" w:hAnsi="Century Gothic" w:cs="Tahoma"/>
          <w:sz w:val="22"/>
          <w:szCs w:val="22"/>
          <w:lang w:val="es-CO"/>
        </w:rPr>
        <w:t>olombia de 1991;</w:t>
      </w:r>
    </w:p>
    <w:p w14:paraId="115DB8EF" w14:textId="77777777" w:rsidR="00D50443" w:rsidRPr="0077593A" w:rsidRDefault="0077593A" w:rsidP="00F527BF">
      <w:pPr>
        <w:pStyle w:val="Prrafodelista"/>
        <w:numPr>
          <w:ilvl w:val="0"/>
          <w:numId w:val="2"/>
        </w:numPr>
        <w:jc w:val="both"/>
        <w:rPr>
          <w:rFonts w:ascii="Century Gothic" w:hAnsi="Century Gothic" w:cs="Tahoma"/>
          <w:lang w:val="es-CO"/>
        </w:rPr>
      </w:pPr>
      <w:r>
        <w:rPr>
          <w:rFonts w:ascii="Century Gothic" w:hAnsi="Century Gothic" w:cs="Tahoma"/>
          <w:sz w:val="22"/>
          <w:szCs w:val="22"/>
          <w:lang w:val="es-CO"/>
        </w:rPr>
        <w:t>Artículo 65 y siguientes de la Ley 270 de 1996;</w:t>
      </w:r>
    </w:p>
    <w:p w14:paraId="538C54CE" w14:textId="77777777" w:rsidR="0077593A" w:rsidRPr="0077593A" w:rsidRDefault="0077593A" w:rsidP="00F527BF">
      <w:pPr>
        <w:pStyle w:val="Prrafodelista"/>
        <w:numPr>
          <w:ilvl w:val="0"/>
          <w:numId w:val="2"/>
        </w:numPr>
        <w:jc w:val="both"/>
        <w:rPr>
          <w:rFonts w:ascii="Century Gothic" w:hAnsi="Century Gothic" w:cs="Tahoma"/>
          <w:sz w:val="22"/>
          <w:szCs w:val="22"/>
          <w:lang w:val="es-CO"/>
        </w:rPr>
      </w:pPr>
      <w:r w:rsidRPr="0077593A">
        <w:rPr>
          <w:rFonts w:ascii="Century Gothic" w:hAnsi="Century Gothic" w:cs="Tahoma"/>
          <w:sz w:val="22"/>
          <w:szCs w:val="22"/>
          <w:lang w:val="es-CO"/>
        </w:rPr>
        <w:t>Artículo 2.2.2.9.3.1 del Decreto 1074 de 2015;</w:t>
      </w:r>
    </w:p>
    <w:p w14:paraId="499E5494" w14:textId="77777777" w:rsidR="0077593A" w:rsidRDefault="0077593A" w:rsidP="00F527BF">
      <w:pPr>
        <w:pStyle w:val="Prrafodelista"/>
        <w:numPr>
          <w:ilvl w:val="0"/>
          <w:numId w:val="2"/>
        </w:numPr>
        <w:jc w:val="both"/>
        <w:rPr>
          <w:rFonts w:ascii="Century Gothic" w:hAnsi="Century Gothic" w:cs="Tahoma"/>
          <w:sz w:val="22"/>
          <w:szCs w:val="22"/>
          <w:lang w:val="es-CO"/>
        </w:rPr>
      </w:pPr>
      <w:r w:rsidRPr="0077593A">
        <w:rPr>
          <w:rFonts w:ascii="Century Gothic" w:hAnsi="Century Gothic" w:cs="Tahoma"/>
          <w:sz w:val="22"/>
          <w:szCs w:val="22"/>
          <w:lang w:val="es-CO"/>
        </w:rPr>
        <w:t>Artículo 8 del Estatuto de Insolvencia Empresarial;</w:t>
      </w:r>
    </w:p>
    <w:p w14:paraId="5A1F8143" w14:textId="77777777" w:rsidR="0077593A" w:rsidRDefault="0077593A" w:rsidP="00F527BF">
      <w:pPr>
        <w:pStyle w:val="Prrafodelista"/>
        <w:numPr>
          <w:ilvl w:val="0"/>
          <w:numId w:val="2"/>
        </w:numPr>
        <w:jc w:val="both"/>
        <w:rPr>
          <w:rFonts w:ascii="Century Gothic" w:hAnsi="Century Gothic" w:cs="Tahoma"/>
          <w:sz w:val="22"/>
          <w:szCs w:val="22"/>
          <w:lang w:val="es-CO"/>
        </w:rPr>
      </w:pPr>
      <w:r>
        <w:rPr>
          <w:rFonts w:ascii="Century Gothic" w:hAnsi="Century Gothic" w:cs="Tahoma"/>
          <w:sz w:val="22"/>
          <w:szCs w:val="22"/>
          <w:lang w:val="es-CO"/>
        </w:rPr>
        <w:t>Artículo 129 y siguientes de la Ley 1564 de 2012;</w:t>
      </w:r>
    </w:p>
    <w:p w14:paraId="05AEDCD5" w14:textId="77777777" w:rsidR="0077593A" w:rsidRPr="0077593A" w:rsidRDefault="0077593A" w:rsidP="00F527BF">
      <w:pPr>
        <w:pStyle w:val="Prrafodelista"/>
        <w:numPr>
          <w:ilvl w:val="0"/>
          <w:numId w:val="2"/>
        </w:numPr>
        <w:jc w:val="both"/>
        <w:rPr>
          <w:rFonts w:ascii="Century Gothic" w:hAnsi="Century Gothic" w:cs="Tahoma"/>
          <w:sz w:val="22"/>
          <w:szCs w:val="22"/>
          <w:lang w:val="es-CO"/>
        </w:rPr>
      </w:pPr>
      <w:r>
        <w:rPr>
          <w:rFonts w:ascii="Century Gothic" w:hAnsi="Century Gothic" w:cs="Tahoma"/>
          <w:sz w:val="22"/>
          <w:szCs w:val="22"/>
          <w:lang w:val="es-CO"/>
        </w:rPr>
        <w:t>Jurisprudencia de la Corte Suprema de Justicia.</w:t>
      </w:r>
    </w:p>
    <w:p w14:paraId="205A83AA" w14:textId="77777777" w:rsidR="00F25B82" w:rsidRDefault="00F25B82" w:rsidP="009A1E1B">
      <w:pPr>
        <w:jc w:val="both"/>
        <w:rPr>
          <w:rFonts w:ascii="Century Gothic" w:hAnsi="Century Gothic" w:cs="Tahoma"/>
          <w:lang w:val="es-CO"/>
        </w:rPr>
      </w:pPr>
    </w:p>
    <w:p w14:paraId="4B79D1A5" w14:textId="77777777" w:rsidR="001E0B1C" w:rsidRPr="009A1E1B" w:rsidRDefault="001E0B1C" w:rsidP="009A1E1B">
      <w:pPr>
        <w:jc w:val="both"/>
        <w:rPr>
          <w:rFonts w:ascii="Century Gothic" w:hAnsi="Century Gothic" w:cs="Tahoma"/>
          <w:lang w:val="es-CO"/>
        </w:rPr>
      </w:pPr>
    </w:p>
    <w:p w14:paraId="1B6C8C52" w14:textId="77777777" w:rsidR="0077593A" w:rsidRPr="001E0B1C" w:rsidRDefault="0077593A" w:rsidP="00F527BF">
      <w:pPr>
        <w:pStyle w:val="Prrafodelista"/>
        <w:numPr>
          <w:ilvl w:val="0"/>
          <w:numId w:val="1"/>
        </w:numPr>
        <w:jc w:val="center"/>
        <w:rPr>
          <w:rFonts w:ascii="Century Gothic" w:hAnsi="Century Gothic" w:cs="Tahoma"/>
          <w:b/>
          <w:sz w:val="22"/>
          <w:szCs w:val="22"/>
          <w:u w:val="single"/>
          <w:lang w:val="es-CO"/>
        </w:rPr>
      </w:pPr>
      <w:r w:rsidRPr="001E0B1C">
        <w:rPr>
          <w:rFonts w:ascii="Century Gothic" w:hAnsi="Century Gothic" w:cs="Tahoma"/>
          <w:b/>
          <w:sz w:val="22"/>
          <w:szCs w:val="22"/>
          <w:u w:val="single"/>
          <w:lang w:val="es-CO"/>
        </w:rPr>
        <w:t>FUNDAMENTOS DE DERECHO</w:t>
      </w:r>
    </w:p>
    <w:p w14:paraId="2E4FF66A" w14:textId="77777777" w:rsidR="0077593A" w:rsidRDefault="0077593A" w:rsidP="0077593A">
      <w:pPr>
        <w:jc w:val="center"/>
        <w:rPr>
          <w:rFonts w:ascii="Century Gothic" w:hAnsi="Century Gothic" w:cs="Tahoma"/>
          <w:b/>
          <w:lang w:val="es-CO"/>
        </w:rPr>
      </w:pPr>
    </w:p>
    <w:p w14:paraId="4CAD0511" w14:textId="77777777" w:rsidR="001E0B1C" w:rsidRDefault="001E0B1C" w:rsidP="0077593A">
      <w:pPr>
        <w:jc w:val="center"/>
        <w:rPr>
          <w:rFonts w:ascii="Century Gothic" w:hAnsi="Century Gothic" w:cs="Tahoma"/>
          <w:b/>
          <w:lang w:val="es-CO"/>
        </w:rPr>
      </w:pPr>
    </w:p>
    <w:p w14:paraId="24A83EBC" w14:textId="77777777" w:rsidR="0077593A" w:rsidRPr="0077593A" w:rsidRDefault="0077593A" w:rsidP="00F527BF">
      <w:pPr>
        <w:pStyle w:val="Prrafodelista"/>
        <w:numPr>
          <w:ilvl w:val="0"/>
          <w:numId w:val="5"/>
        </w:numPr>
        <w:jc w:val="both"/>
        <w:rPr>
          <w:rFonts w:ascii="Century Gothic" w:hAnsi="Century Gothic" w:cs="Tahoma"/>
          <w:b/>
          <w:lang w:val="es-CO"/>
        </w:rPr>
      </w:pPr>
      <w:r>
        <w:rPr>
          <w:rFonts w:ascii="Century Gothic" w:hAnsi="Century Gothic" w:cs="Tahoma"/>
          <w:b/>
          <w:sz w:val="22"/>
          <w:szCs w:val="22"/>
          <w:lang w:val="es-CO"/>
        </w:rPr>
        <w:t>RESPONSABILIDAD DEL ESTADO POR ERROR JURISDICCIONAL</w:t>
      </w:r>
    </w:p>
    <w:p w14:paraId="657B78CD" w14:textId="77777777" w:rsidR="0077593A" w:rsidRDefault="0077593A" w:rsidP="0077593A">
      <w:pPr>
        <w:jc w:val="both"/>
        <w:rPr>
          <w:rFonts w:ascii="Century Gothic" w:hAnsi="Century Gothic" w:cs="Tahoma"/>
          <w:b/>
          <w:lang w:val="es-CO"/>
        </w:rPr>
      </w:pPr>
    </w:p>
    <w:p w14:paraId="4CD64DC1" w14:textId="77777777" w:rsidR="0077593A" w:rsidRDefault="0077593A" w:rsidP="0077593A">
      <w:pPr>
        <w:jc w:val="both"/>
        <w:rPr>
          <w:rFonts w:ascii="Century Gothic" w:hAnsi="Century Gothic" w:cs="Tahoma"/>
          <w:iCs/>
          <w:lang w:val="es-CO"/>
        </w:rPr>
      </w:pPr>
      <w:r>
        <w:rPr>
          <w:rFonts w:ascii="Century Gothic" w:hAnsi="Century Gothic" w:cs="Tahoma"/>
          <w:lang w:val="es-CO"/>
        </w:rPr>
        <w:t xml:space="preserve">El artículo </w:t>
      </w:r>
      <w:r w:rsidRPr="0077593A">
        <w:rPr>
          <w:rFonts w:ascii="Century Gothic" w:hAnsi="Century Gothic" w:cs="Tahoma"/>
          <w:lang w:val="es-CO"/>
        </w:rPr>
        <w:t>66 de la Ley 270 de 1996 define el error jurisdiccional como aquel "</w:t>
      </w:r>
      <w:r w:rsidRPr="0077593A">
        <w:rPr>
          <w:rFonts w:ascii="Century Gothic" w:hAnsi="Century Gothic" w:cs="Tahoma"/>
          <w:i/>
          <w:iCs/>
          <w:lang w:val="es-CO"/>
        </w:rPr>
        <w:t>cometido por una autoridad investida de facultad jurisdiccional, en su carácter de tal, en el curso de un proceso, materializado a través de una providencia contraria a la ley</w:t>
      </w:r>
      <w:r w:rsidRPr="0077593A">
        <w:rPr>
          <w:rFonts w:ascii="Century Gothic" w:hAnsi="Century Gothic" w:cs="Tahoma"/>
          <w:lang w:val="es-CO"/>
        </w:rPr>
        <w:t>". Adicionalmente, según el artículo 67 de la misma ley, para que proceda la responsabilidad patrimonial por el error jurisdiccional es necesario que concu</w:t>
      </w:r>
      <w:r w:rsidR="00847423">
        <w:rPr>
          <w:rFonts w:ascii="Century Gothic" w:hAnsi="Century Gothic" w:cs="Tahoma"/>
          <w:lang w:val="es-CO"/>
        </w:rPr>
        <w:t>rran los siguientes requisitos</w:t>
      </w:r>
      <w:r w:rsidRPr="0077593A">
        <w:rPr>
          <w:rFonts w:ascii="Century Gothic" w:hAnsi="Century Gothic" w:cs="Tahoma"/>
          <w:lang w:val="es-CO"/>
        </w:rPr>
        <w:t>: (i) que el afectado interponga los recursos de ley, y (ii) que la providencia contentiva del error se encuentre en firme</w:t>
      </w:r>
      <w:r>
        <w:rPr>
          <w:rStyle w:val="Refdenotaalpie"/>
          <w:rFonts w:ascii="Century Gothic" w:hAnsi="Century Gothic" w:cs="Tahoma"/>
          <w:lang w:val="es-CO"/>
        </w:rPr>
        <w:footnoteReference w:id="1"/>
      </w:r>
      <w:r w:rsidRPr="0077593A">
        <w:rPr>
          <w:rFonts w:ascii="Century Gothic" w:hAnsi="Century Gothic" w:cs="Tahoma"/>
          <w:i/>
          <w:iCs/>
          <w:lang w:val="es-CO"/>
        </w:rPr>
        <w:t>.</w:t>
      </w:r>
    </w:p>
    <w:p w14:paraId="5471B390" w14:textId="77777777" w:rsidR="0077593A" w:rsidRDefault="0077593A" w:rsidP="0077593A">
      <w:pPr>
        <w:jc w:val="both"/>
        <w:rPr>
          <w:rFonts w:ascii="Century Gothic" w:hAnsi="Century Gothic" w:cs="Tahoma"/>
          <w:iCs/>
          <w:lang w:val="es-CO"/>
        </w:rPr>
      </w:pPr>
    </w:p>
    <w:p w14:paraId="29358496" w14:textId="19CAD94F" w:rsidR="006735F8" w:rsidRDefault="0077593A" w:rsidP="00C177DB">
      <w:pPr>
        <w:ind w:right="701"/>
        <w:jc w:val="both"/>
        <w:rPr>
          <w:rFonts w:ascii="Century Gothic" w:hAnsi="Century Gothic" w:cs="Tahoma"/>
          <w:lang w:val="es-CO"/>
        </w:rPr>
      </w:pPr>
      <w:r w:rsidRPr="0077593A">
        <w:rPr>
          <w:rFonts w:ascii="Century Gothic" w:hAnsi="Century Gothic" w:cs="Tahoma"/>
          <w:lang w:val="es-CO"/>
        </w:rPr>
        <w:t>El Consejo de Estado en su sentencia bajo radicado 2002-01785-01(39515) del 21 de noviembre de 2017, lo ha definido como el error que se predica frente a las providencias judiciales por medio de las cuales se declara o se hace efectivo el derecho subjetivo, es decir, aquellas resoluciones judiciales mediante las cuales se interpreta y aplica el Derecho</w:t>
      </w:r>
      <w:r>
        <w:rPr>
          <w:rStyle w:val="Refdenotaalpie"/>
          <w:rFonts w:ascii="Century Gothic" w:hAnsi="Century Gothic" w:cs="Tahoma"/>
          <w:lang w:val="es-CO"/>
        </w:rPr>
        <w:footnoteReference w:id="2"/>
      </w:r>
      <w:r w:rsidRPr="0077593A">
        <w:rPr>
          <w:rFonts w:ascii="Century Gothic" w:hAnsi="Century Gothic" w:cs="Tahoma"/>
          <w:lang w:val="es-CO"/>
        </w:rPr>
        <w:t xml:space="preserve">. Asimismo, la </w:t>
      </w:r>
      <w:r w:rsidR="006735F8">
        <w:rPr>
          <w:rFonts w:ascii="Century Gothic" w:hAnsi="Century Gothic" w:cs="Tahoma"/>
          <w:lang w:val="es-CO"/>
        </w:rPr>
        <w:t>s</w:t>
      </w:r>
      <w:r w:rsidRPr="0077593A">
        <w:rPr>
          <w:rFonts w:ascii="Century Gothic" w:hAnsi="Century Gothic" w:cs="Tahoma"/>
          <w:lang w:val="es-CO"/>
        </w:rPr>
        <w:t>ala ha establecido que el error jurisdiccional como título de imputación de responsabilidad del Estado se presenta siempre que:</w:t>
      </w:r>
      <w:r w:rsidR="006735F8">
        <w:rPr>
          <w:rFonts w:ascii="Century Gothic" w:hAnsi="Century Gothic" w:cs="Tahoma"/>
          <w:lang w:val="es-CO"/>
        </w:rPr>
        <w:t xml:space="preserve"> “</w:t>
      </w:r>
      <w:r w:rsidR="006735F8" w:rsidRPr="00C177DB">
        <w:rPr>
          <w:rFonts w:ascii="Century Gothic" w:hAnsi="Century Gothic" w:cs="Tahoma"/>
          <w:i/>
          <w:iCs/>
          <w:lang w:val="es-CO"/>
        </w:rPr>
        <w:t xml:space="preserve">La presentación de la solicitud de conciliación extrajudicial en derecho suspende el término de prescripción o de caducidad, según el caso, hasta que suscriba el acta de conciliación, se expidan las constancias </w:t>
      </w:r>
      <w:r w:rsidR="006735F8" w:rsidRPr="00C177DB">
        <w:rPr>
          <w:rFonts w:ascii="Century Gothic" w:hAnsi="Century Gothic" w:cs="Tahoma"/>
          <w:i/>
          <w:iCs/>
          <w:lang w:val="es-CO"/>
        </w:rPr>
        <w:lastRenderedPageBreak/>
        <w:t>establecidas en la presente ley o hasta que se venza el término de tres (3) meses, o la prórroga a que se refiere el artículo 60 de esta ley, lo que ocurra primero. Esta suspensión operará por una sola vez y será improrrogable.</w:t>
      </w:r>
      <w:r w:rsidR="006735F8">
        <w:rPr>
          <w:rFonts w:ascii="Century Gothic" w:hAnsi="Century Gothic" w:cs="Tahoma"/>
          <w:lang w:val="es-CO"/>
        </w:rPr>
        <w:t>”</w:t>
      </w:r>
    </w:p>
    <w:p w14:paraId="29027BF9" w14:textId="052C4710" w:rsidR="0077593A" w:rsidRDefault="0077593A" w:rsidP="0077593A">
      <w:pPr>
        <w:jc w:val="both"/>
        <w:rPr>
          <w:rFonts w:ascii="Century Gothic" w:hAnsi="Century Gothic" w:cs="Tahoma"/>
          <w:lang w:val="es-CO"/>
        </w:rPr>
      </w:pPr>
    </w:p>
    <w:p w14:paraId="5F5ABF12" w14:textId="77777777" w:rsidR="0077593A" w:rsidRDefault="0077593A" w:rsidP="0077593A">
      <w:pPr>
        <w:jc w:val="both"/>
        <w:rPr>
          <w:rFonts w:ascii="Century Gothic" w:hAnsi="Century Gothic" w:cs="Tahoma"/>
          <w:lang w:val="es-CO"/>
        </w:rPr>
      </w:pPr>
    </w:p>
    <w:p w14:paraId="1E057FD1" w14:textId="77777777" w:rsidR="0077593A" w:rsidRDefault="0077593A" w:rsidP="0077593A">
      <w:pPr>
        <w:jc w:val="both"/>
        <w:rPr>
          <w:rFonts w:ascii="Century Gothic" w:hAnsi="Century Gothic" w:cs="Tahoma"/>
          <w:i/>
          <w:iCs/>
          <w:lang w:val="es-CO"/>
        </w:rPr>
      </w:pPr>
    </w:p>
    <w:p w14:paraId="5405331E" w14:textId="77777777" w:rsidR="0077593A" w:rsidRDefault="0077593A" w:rsidP="0077593A">
      <w:pPr>
        <w:jc w:val="both"/>
        <w:rPr>
          <w:rFonts w:ascii="Century Gothic" w:hAnsi="Century Gothic" w:cs="Tahoma"/>
          <w:lang w:val="es-CO"/>
        </w:rPr>
      </w:pPr>
      <w:r w:rsidRPr="0077593A">
        <w:rPr>
          <w:rFonts w:ascii="Century Gothic" w:hAnsi="Century Gothic" w:cs="Tahoma"/>
          <w:lang w:val="es-CO"/>
        </w:rPr>
        <w:t>Se debe precisar que dicho error requiere de ser cometido por una autoridad jurisdiccional y en ejercicio de sus funciones jurisdiccionales; que ocurra dentro de un proceso judicial y se materialice en una providencia judicial; y que tenga la intensidad suficiente para que la providencia que lo contiene devenga contraria al ordenamiento jurídico.</w:t>
      </w:r>
    </w:p>
    <w:p w14:paraId="6686D698" w14:textId="77777777" w:rsidR="0077593A" w:rsidRDefault="0077593A" w:rsidP="0077593A">
      <w:pPr>
        <w:jc w:val="both"/>
        <w:rPr>
          <w:rFonts w:ascii="Century Gothic" w:hAnsi="Century Gothic" w:cs="Tahoma"/>
          <w:lang w:val="es-CO"/>
        </w:rPr>
      </w:pPr>
    </w:p>
    <w:p w14:paraId="5DE3771C" w14:textId="77777777" w:rsidR="0077593A" w:rsidRDefault="0077593A" w:rsidP="0077593A">
      <w:pPr>
        <w:jc w:val="both"/>
        <w:rPr>
          <w:rFonts w:ascii="Century Gothic" w:hAnsi="Century Gothic" w:cs="Tahoma"/>
          <w:lang w:val="es-CO"/>
        </w:rPr>
      </w:pPr>
      <w:r w:rsidRPr="0077593A">
        <w:rPr>
          <w:rFonts w:ascii="Century Gothic" w:hAnsi="Century Gothic" w:cs="Tahoma"/>
          <w:lang w:val="es-CO"/>
        </w:rPr>
        <w:t>En este orden de ideas útil es determinar que dicho error puede ser de diversos tipos: un error de hecho, que implica una equivoca percepción respecto de las personas, respecto de la naturaleza de la decisión judicial, en cuanto al objeto de la decisión y a los motivos de la misma. De otra parte, el error puede ser derecho, el que se concreta en “</w:t>
      </w:r>
      <w:r w:rsidRPr="00C177DB">
        <w:rPr>
          <w:rFonts w:ascii="Century Gothic" w:hAnsi="Century Gothic" w:cs="Tahoma"/>
          <w:i/>
          <w:iCs/>
          <w:lang w:val="es-CO"/>
        </w:rPr>
        <w:t>cuatro modalidades específicas: violación directa del orden positivo; falsa interpretación del orden positivo; errónea interpretación del orden positivo; y violación por aplicación indebida del orden positivo</w:t>
      </w:r>
      <w:r w:rsidRPr="0077593A">
        <w:rPr>
          <w:rFonts w:ascii="Century Gothic" w:hAnsi="Century Gothic" w:cs="Tahoma"/>
          <w:lang w:val="es-CO"/>
        </w:rPr>
        <w:t>”</w:t>
      </w:r>
      <w:r>
        <w:rPr>
          <w:rStyle w:val="Refdenotaalpie"/>
          <w:rFonts w:ascii="Century Gothic" w:hAnsi="Century Gothic" w:cs="Tahoma"/>
          <w:lang w:val="es-CO"/>
        </w:rPr>
        <w:footnoteReference w:id="3"/>
      </w:r>
      <w:r w:rsidRPr="0077593A">
        <w:rPr>
          <w:rFonts w:ascii="Century Gothic" w:hAnsi="Century Gothic" w:cs="Tahoma"/>
          <w:lang w:val="es-CO"/>
        </w:rPr>
        <w:t>.</w:t>
      </w:r>
    </w:p>
    <w:p w14:paraId="7A5D4A9B" w14:textId="77777777" w:rsidR="009D461F" w:rsidRDefault="009D461F" w:rsidP="0077593A">
      <w:pPr>
        <w:jc w:val="both"/>
        <w:rPr>
          <w:rFonts w:ascii="Century Gothic" w:hAnsi="Century Gothic" w:cs="Tahoma"/>
          <w:lang w:val="es-CO"/>
        </w:rPr>
      </w:pPr>
    </w:p>
    <w:p w14:paraId="6804098D" w14:textId="11FDBB39" w:rsidR="009D461F" w:rsidRDefault="009D461F" w:rsidP="0077593A">
      <w:pPr>
        <w:jc w:val="both"/>
        <w:rPr>
          <w:rFonts w:ascii="Century Gothic" w:hAnsi="Century Gothic" w:cs="Tahoma"/>
          <w:lang w:val="es-CO"/>
        </w:rPr>
      </w:pPr>
      <w:r w:rsidRPr="009D461F">
        <w:rPr>
          <w:rFonts w:ascii="Century Gothic" w:hAnsi="Century Gothic" w:cs="Tahoma"/>
          <w:lang w:val="es-CO"/>
        </w:rPr>
        <w:t xml:space="preserve">La Corte Constitucional ha indicado que la interpretación indebida de normas jurídicas puede conducir a que se configure una vía de hecho por defecto sustantivo. Así, en la </w:t>
      </w:r>
      <w:r w:rsidR="00970005">
        <w:rPr>
          <w:rFonts w:ascii="Century Gothic" w:hAnsi="Century Gothic" w:cs="Tahoma"/>
          <w:lang w:val="es-CO"/>
        </w:rPr>
        <w:t>S</w:t>
      </w:r>
      <w:r w:rsidRPr="009D461F">
        <w:rPr>
          <w:rFonts w:ascii="Century Gothic" w:hAnsi="Century Gothic" w:cs="Tahoma"/>
          <w:lang w:val="es-CO"/>
        </w:rPr>
        <w:t>entencia T-462 de 2003 se expresó al respecto:</w:t>
      </w:r>
    </w:p>
    <w:p w14:paraId="7DEF6021" w14:textId="77777777" w:rsidR="009D461F" w:rsidRDefault="009D461F" w:rsidP="0077593A">
      <w:pPr>
        <w:jc w:val="both"/>
        <w:rPr>
          <w:rFonts w:ascii="Century Gothic" w:hAnsi="Century Gothic" w:cs="Tahoma"/>
          <w:lang w:val="es-CO"/>
        </w:rPr>
      </w:pPr>
    </w:p>
    <w:p w14:paraId="6347C022" w14:textId="14319420" w:rsidR="009D461F" w:rsidRDefault="009D461F" w:rsidP="00970005">
      <w:pPr>
        <w:ind w:left="708" w:right="701"/>
        <w:jc w:val="both"/>
        <w:rPr>
          <w:rFonts w:ascii="Century Gothic" w:hAnsi="Century Gothic" w:cs="Tahoma"/>
          <w:iCs/>
          <w:lang w:val="es-CO"/>
        </w:rPr>
      </w:pPr>
      <w:r w:rsidRPr="00C177DB">
        <w:rPr>
          <w:rFonts w:ascii="Century Gothic" w:hAnsi="Century Gothic" w:cs="Tahoma"/>
          <w:sz w:val="20"/>
          <w:szCs w:val="20"/>
          <w:lang w:val="es-CO"/>
        </w:rPr>
        <w:t xml:space="preserve">En otras palabras, una providencia judicial adolece de un defecto sustantivo (i) cuando la norma aplicable al caso es claramente inadvertida o no tenida en cuenta por el fallador, (ii) cuando a pesar del amplio margen interpretativo que la Constitución le reconoce a las autoridades judiciales, la aplicación final de la regla es inaceptable por tratarse de una interpretación contraevidente (interpretación contra </w:t>
      </w:r>
      <w:proofErr w:type="spellStart"/>
      <w:r w:rsidRPr="00C177DB">
        <w:rPr>
          <w:rFonts w:ascii="Century Gothic" w:hAnsi="Century Gothic" w:cs="Tahoma"/>
          <w:sz w:val="20"/>
          <w:szCs w:val="20"/>
          <w:lang w:val="es-CO"/>
        </w:rPr>
        <w:t>legem</w:t>
      </w:r>
      <w:proofErr w:type="spellEnd"/>
      <w:r w:rsidRPr="00C177DB">
        <w:rPr>
          <w:rFonts w:ascii="Century Gothic" w:hAnsi="Century Gothic" w:cs="Tahoma"/>
          <w:sz w:val="20"/>
          <w:szCs w:val="20"/>
          <w:lang w:val="es-CO"/>
        </w:rPr>
        <w:t>) o claramente perjudicial para los intereses legítimos de una de las partes (irrazonable o desproporcionada), y finalmente (iii) cuando el fallador desconoce las sentencias con efectos erga omnes tanto de la jurisdicción constitucional como de la jurisdicción de lo contencioso administrativo, cuyos precedentes se ubican en el mismo rango de la norma sobre la que pesa la cosa juzgada respectiva.</w:t>
      </w:r>
    </w:p>
    <w:p w14:paraId="52A2B2CA" w14:textId="77777777" w:rsidR="009D461F" w:rsidRDefault="009D461F" w:rsidP="0077593A">
      <w:pPr>
        <w:jc w:val="both"/>
        <w:rPr>
          <w:rFonts w:ascii="Century Gothic" w:hAnsi="Century Gothic" w:cs="Tahoma"/>
          <w:iCs/>
          <w:lang w:val="es-CO"/>
        </w:rPr>
      </w:pPr>
    </w:p>
    <w:p w14:paraId="46B1D270" w14:textId="77777777" w:rsidR="009D461F" w:rsidRDefault="00546D51" w:rsidP="0077593A">
      <w:pPr>
        <w:jc w:val="both"/>
        <w:rPr>
          <w:rFonts w:ascii="Century Gothic" w:hAnsi="Century Gothic" w:cs="Tahoma"/>
          <w:lang w:val="es-CO"/>
        </w:rPr>
      </w:pPr>
      <w:r w:rsidRPr="00546D51">
        <w:rPr>
          <w:rFonts w:ascii="Century Gothic" w:hAnsi="Century Gothic" w:cs="Tahoma"/>
          <w:lang w:val="es-CO"/>
        </w:rPr>
        <w:t>Por otra parte, la reiterada jurisprudencia, la Sección Tercera de la Sala de lo Contencioso Administrativo ha establecido que las condiciones necesarias para estructurar el error jurisdiccional que materializará la responsabilidad patrimonial del estado son las siguientes</w:t>
      </w:r>
      <w:r>
        <w:rPr>
          <w:rStyle w:val="Refdenotaalpie"/>
          <w:rFonts w:ascii="Century Gothic" w:hAnsi="Century Gothic" w:cs="Tahoma"/>
          <w:lang w:val="es-CO"/>
        </w:rPr>
        <w:footnoteReference w:id="4"/>
      </w:r>
      <w:r w:rsidRPr="00546D51">
        <w:rPr>
          <w:rFonts w:ascii="Century Gothic" w:hAnsi="Century Gothic" w:cs="Tahoma"/>
          <w:lang w:val="es-CO"/>
        </w:rPr>
        <w:t>:</w:t>
      </w:r>
    </w:p>
    <w:p w14:paraId="2EE2F179" w14:textId="77777777" w:rsidR="00546D51" w:rsidRDefault="00546D51" w:rsidP="0077593A">
      <w:pPr>
        <w:jc w:val="both"/>
        <w:rPr>
          <w:rFonts w:ascii="Century Gothic" w:hAnsi="Century Gothic" w:cs="Tahoma"/>
          <w:lang w:val="es-CO"/>
        </w:rPr>
      </w:pPr>
    </w:p>
    <w:p w14:paraId="5356802E" w14:textId="77777777" w:rsidR="00546D51" w:rsidRPr="00546D51" w:rsidRDefault="00546D51" w:rsidP="00F527BF">
      <w:pPr>
        <w:pStyle w:val="Prrafodelista"/>
        <w:numPr>
          <w:ilvl w:val="0"/>
          <w:numId w:val="6"/>
        </w:numPr>
        <w:jc w:val="both"/>
        <w:rPr>
          <w:rFonts w:ascii="Century Gothic" w:hAnsi="Century Gothic" w:cs="Tahoma"/>
          <w:sz w:val="22"/>
          <w:szCs w:val="22"/>
          <w:lang w:val="es-CO"/>
        </w:rPr>
      </w:pPr>
      <w:r w:rsidRPr="00546D51">
        <w:rPr>
          <w:rFonts w:ascii="Century Gothic" w:hAnsi="Century Gothic" w:cs="Tahoma"/>
          <w:sz w:val="22"/>
          <w:szCs w:val="22"/>
          <w:lang w:val="es-CO"/>
        </w:rPr>
        <w:t xml:space="preserve">En primer lugar, del concepto mismo, es lógico inferir que el error jurisdiccional debe estar contenido en una providencia judicial que se encuentre en firme. Efectivamente, aun cuando una decisión judicial resulte equivocada, sí ésta aún puede ser revocada o modificada, el daño no resultaría cierto, pues el error no produciría efectos jurídicos y, además, podría superarse con la intervención del superior funcional. (…) </w:t>
      </w:r>
    </w:p>
    <w:p w14:paraId="38803AA8" w14:textId="77777777" w:rsidR="00546D51" w:rsidRDefault="00546D51" w:rsidP="00546D51">
      <w:pPr>
        <w:jc w:val="both"/>
        <w:rPr>
          <w:rFonts w:ascii="Century Gothic" w:hAnsi="Century Gothic" w:cs="Tahoma"/>
          <w:lang w:val="es-CO"/>
        </w:rPr>
      </w:pPr>
    </w:p>
    <w:p w14:paraId="2A56FF9F" w14:textId="60A5D702" w:rsidR="00546D51" w:rsidRPr="00546D51" w:rsidRDefault="00546D51" w:rsidP="00F527BF">
      <w:pPr>
        <w:pStyle w:val="Prrafodelista"/>
        <w:numPr>
          <w:ilvl w:val="0"/>
          <w:numId w:val="6"/>
        </w:numPr>
        <w:jc w:val="both"/>
        <w:rPr>
          <w:rFonts w:ascii="Century Gothic" w:hAnsi="Century Gothic" w:cs="Tahoma"/>
          <w:sz w:val="22"/>
          <w:szCs w:val="22"/>
          <w:lang w:val="es-CO"/>
        </w:rPr>
      </w:pPr>
      <w:r w:rsidRPr="00546D51">
        <w:rPr>
          <w:rFonts w:ascii="Century Gothic" w:hAnsi="Century Gothic" w:cs="Tahoma"/>
          <w:sz w:val="22"/>
          <w:szCs w:val="22"/>
          <w:lang w:val="es-CO"/>
        </w:rPr>
        <w:t>Tal y como se deduce de pronunciamientos anteriores de esta Sección, el error jurisdiccional puede ser de orden fáctico o normativo. El primero, supone diferencias entre la realidad procesal y la decisión judicial, porque i) no consideró un hecho debidamente probado o ii) se consideró como fundamental un hecho que no lo era, o se presentan distancias entre la realidad material y la procesal, i</w:t>
      </w:r>
      <w:r w:rsidR="00650646">
        <w:rPr>
          <w:rFonts w:ascii="Century Gothic" w:hAnsi="Century Gothic" w:cs="Tahoma"/>
          <w:sz w:val="22"/>
          <w:szCs w:val="22"/>
          <w:lang w:val="es-CO"/>
        </w:rPr>
        <w:t>ii</w:t>
      </w:r>
      <w:r w:rsidRPr="00546D51">
        <w:rPr>
          <w:rFonts w:ascii="Century Gothic" w:hAnsi="Century Gothic" w:cs="Tahoma"/>
          <w:sz w:val="22"/>
          <w:szCs w:val="22"/>
          <w:lang w:val="es-CO"/>
        </w:rPr>
        <w:t>) porque no se decretaron pruebas conducentes para determinar el hecho relevante para el derecho o i</w:t>
      </w:r>
      <w:r w:rsidR="00650646">
        <w:rPr>
          <w:rFonts w:ascii="Century Gothic" w:hAnsi="Century Gothic" w:cs="Tahoma"/>
          <w:sz w:val="22"/>
          <w:szCs w:val="22"/>
          <w:lang w:val="es-CO"/>
        </w:rPr>
        <w:t>v</w:t>
      </w:r>
      <w:r w:rsidRPr="00546D51">
        <w:rPr>
          <w:rFonts w:ascii="Century Gothic" w:hAnsi="Century Gothic" w:cs="Tahoma"/>
          <w:sz w:val="22"/>
          <w:szCs w:val="22"/>
          <w:lang w:val="es-CO"/>
        </w:rPr>
        <w:t xml:space="preserve">) porque la decisión judicial se fundamentó en un </w:t>
      </w:r>
      <w:r w:rsidRPr="00546D51">
        <w:rPr>
          <w:rFonts w:ascii="Century Gothic" w:hAnsi="Century Gothic" w:cs="Tahoma"/>
          <w:sz w:val="22"/>
          <w:szCs w:val="22"/>
          <w:lang w:val="es-CO"/>
        </w:rPr>
        <w:lastRenderedPageBreak/>
        <w:t xml:space="preserve">hecho que posteriormente se demostró que era falso. El error normativo o de derecho, supone equivocaciones </w:t>
      </w:r>
      <w:r w:rsidR="00650646">
        <w:rPr>
          <w:rFonts w:ascii="Century Gothic" w:hAnsi="Century Gothic" w:cs="Tahoma"/>
          <w:sz w:val="22"/>
          <w:szCs w:val="22"/>
          <w:lang w:val="es-CO"/>
        </w:rPr>
        <w:t>v</w:t>
      </w:r>
      <w:r w:rsidRPr="00546D51">
        <w:rPr>
          <w:rFonts w:ascii="Century Gothic" w:hAnsi="Century Gothic" w:cs="Tahoma"/>
          <w:sz w:val="22"/>
          <w:szCs w:val="22"/>
          <w:lang w:val="es-CO"/>
        </w:rPr>
        <w:t xml:space="preserve">) en la aplicación del derecho, pues se aplicó al caso concreto una norma que no era relevante o se dejó de aplicar una directa o indirectamente aplicable al mismo y, </w:t>
      </w:r>
      <w:r w:rsidR="00650646">
        <w:rPr>
          <w:rFonts w:ascii="Century Gothic" w:hAnsi="Century Gothic" w:cs="Tahoma"/>
          <w:sz w:val="22"/>
          <w:szCs w:val="22"/>
          <w:lang w:val="es-CO"/>
        </w:rPr>
        <w:t>v</w:t>
      </w:r>
      <w:r w:rsidRPr="00546D51">
        <w:rPr>
          <w:rFonts w:ascii="Century Gothic" w:hAnsi="Century Gothic" w:cs="Tahoma"/>
          <w:sz w:val="22"/>
          <w:szCs w:val="22"/>
          <w:lang w:val="es-CO"/>
        </w:rPr>
        <w:t xml:space="preserve">i) cuando se aplicaron normas inexistentes o derogadas u otros similares. </w:t>
      </w:r>
    </w:p>
    <w:p w14:paraId="66994044" w14:textId="77777777" w:rsidR="00546D51" w:rsidRPr="00546D51" w:rsidRDefault="00546D51" w:rsidP="00546D51">
      <w:pPr>
        <w:jc w:val="both"/>
        <w:rPr>
          <w:rFonts w:ascii="Century Gothic" w:hAnsi="Century Gothic" w:cs="Tahoma"/>
          <w:lang w:val="es-CO"/>
        </w:rPr>
      </w:pPr>
    </w:p>
    <w:p w14:paraId="204351D0" w14:textId="77777777" w:rsidR="00546D51" w:rsidRPr="00546D51" w:rsidRDefault="00546D51" w:rsidP="00F527BF">
      <w:pPr>
        <w:pStyle w:val="Prrafodelista"/>
        <w:numPr>
          <w:ilvl w:val="0"/>
          <w:numId w:val="6"/>
        </w:numPr>
        <w:jc w:val="both"/>
        <w:rPr>
          <w:rFonts w:ascii="Century Gothic" w:hAnsi="Century Gothic" w:cs="Tahoma"/>
          <w:sz w:val="22"/>
          <w:szCs w:val="22"/>
          <w:lang w:val="es-CO"/>
        </w:rPr>
      </w:pPr>
      <w:r w:rsidRPr="00546D51">
        <w:rPr>
          <w:rFonts w:ascii="Century Gothic" w:hAnsi="Century Gothic" w:cs="Tahoma"/>
          <w:sz w:val="22"/>
          <w:szCs w:val="22"/>
          <w:lang w:val="es-CO"/>
        </w:rPr>
        <w:t xml:space="preserve">El error jurisdiccional debe producir un daño personal y cierto que tenga la naturaleza de antijurídico, esto es, que el titular no tenga la obligación jurídica de soportar. Con ello, entonces, se excluyen las decisiones que se mueven en la esfera de lo cuestionable o las sentencias que contienen interpretaciones válidas de los hechos o derechos. </w:t>
      </w:r>
    </w:p>
    <w:p w14:paraId="51A65B9F" w14:textId="77777777" w:rsidR="00546D51" w:rsidRDefault="00546D51" w:rsidP="00546D51">
      <w:pPr>
        <w:jc w:val="both"/>
        <w:rPr>
          <w:rFonts w:ascii="Century Gothic" w:hAnsi="Century Gothic" w:cs="Tahoma"/>
          <w:lang w:val="es-CO"/>
        </w:rPr>
      </w:pPr>
    </w:p>
    <w:p w14:paraId="7615D267" w14:textId="7D39191C" w:rsidR="00546D51" w:rsidRPr="00546D51" w:rsidRDefault="00546D51" w:rsidP="00F527BF">
      <w:pPr>
        <w:pStyle w:val="Prrafodelista"/>
        <w:numPr>
          <w:ilvl w:val="0"/>
          <w:numId w:val="6"/>
        </w:numPr>
        <w:jc w:val="both"/>
        <w:rPr>
          <w:rFonts w:ascii="Century Gothic" w:hAnsi="Century Gothic" w:cs="Tahoma"/>
          <w:sz w:val="22"/>
          <w:szCs w:val="22"/>
          <w:lang w:val="es-CO"/>
        </w:rPr>
      </w:pPr>
      <w:r w:rsidRPr="00546D51">
        <w:rPr>
          <w:rFonts w:ascii="Century Gothic" w:hAnsi="Century Gothic" w:cs="Tahoma"/>
          <w:sz w:val="22"/>
          <w:szCs w:val="22"/>
          <w:lang w:val="es-CO"/>
        </w:rPr>
        <w:t>La equivocación del juez o magistrado debe incidir en la decisión judicial en firme, pues como bien lo sostiene la doctrina española: “</w:t>
      </w:r>
      <w:r w:rsidRPr="00C177DB">
        <w:rPr>
          <w:rFonts w:ascii="Century Gothic" w:hAnsi="Century Gothic" w:cs="Tahoma"/>
          <w:i/>
          <w:iCs/>
          <w:sz w:val="22"/>
          <w:szCs w:val="22"/>
          <w:lang w:val="es-CO"/>
        </w:rPr>
        <w:t>el error comentado (judicial) incide exclusivamente en la potestad jurisdiccional que se materializa en la sentencia o resolución -auténtica declaración de voluntad del órgano que ostenta aquélla-, siempre ha de consistir en aplicar la norma que a cada supuesto corresponde, el error ha de radicar en un equivocado enjuiciamiento o no aplicación a aquél de la solución únicamente querida por el legislador</w:t>
      </w:r>
      <w:r w:rsidR="00E26F86">
        <w:rPr>
          <w:rFonts w:ascii="Century Gothic" w:hAnsi="Century Gothic" w:cs="Tahoma"/>
          <w:i/>
          <w:iCs/>
          <w:sz w:val="22"/>
          <w:szCs w:val="22"/>
          <w:lang w:val="es-CO"/>
        </w:rPr>
        <w:t>”</w:t>
      </w:r>
      <w:r>
        <w:rPr>
          <w:rFonts w:ascii="Century Gothic" w:hAnsi="Century Gothic" w:cs="Tahoma"/>
          <w:sz w:val="22"/>
          <w:szCs w:val="22"/>
          <w:lang w:val="es-CO"/>
        </w:rPr>
        <w:t>.</w:t>
      </w:r>
      <w:r>
        <w:rPr>
          <w:rStyle w:val="Refdenotaalpie"/>
          <w:rFonts w:ascii="Century Gothic" w:hAnsi="Century Gothic" w:cs="Tahoma"/>
          <w:sz w:val="22"/>
          <w:szCs w:val="22"/>
          <w:lang w:val="es-CO"/>
        </w:rPr>
        <w:footnoteReference w:id="5"/>
      </w:r>
      <w:r>
        <w:rPr>
          <w:rStyle w:val="Refdenotaalpie"/>
          <w:rFonts w:ascii="Century Gothic" w:hAnsi="Century Gothic" w:cs="Tahoma"/>
          <w:sz w:val="22"/>
          <w:szCs w:val="22"/>
          <w:lang w:val="es-CO"/>
        </w:rPr>
        <w:footnoteReference w:id="6"/>
      </w:r>
    </w:p>
    <w:p w14:paraId="3E35ABFC" w14:textId="77777777" w:rsidR="00546D51" w:rsidRPr="00546D51" w:rsidRDefault="00546D51" w:rsidP="00546D51">
      <w:pPr>
        <w:jc w:val="both"/>
        <w:rPr>
          <w:rFonts w:ascii="Century Gothic" w:hAnsi="Century Gothic" w:cs="Tahoma"/>
          <w:lang w:val="es-CO"/>
        </w:rPr>
      </w:pPr>
    </w:p>
    <w:p w14:paraId="2C13B20C" w14:textId="77777777" w:rsidR="00546D51" w:rsidRDefault="00546D51" w:rsidP="0077593A">
      <w:pPr>
        <w:jc w:val="both"/>
        <w:rPr>
          <w:rFonts w:ascii="Century Gothic" w:hAnsi="Century Gothic" w:cs="Tahoma"/>
          <w:lang w:val="es-CO"/>
        </w:rPr>
      </w:pPr>
      <w:r w:rsidRPr="00546D51">
        <w:rPr>
          <w:rFonts w:ascii="Century Gothic" w:hAnsi="Century Gothic" w:cs="Tahoma"/>
          <w:lang w:val="es-CO"/>
        </w:rPr>
        <w:t xml:space="preserve">Habiendo dicho lo anterior, ahora es necesario aterrizar la teoría al caso concreto. </w:t>
      </w:r>
      <w:r>
        <w:rPr>
          <w:rFonts w:ascii="Century Gothic" w:hAnsi="Century Gothic" w:cs="Tahoma"/>
          <w:lang w:val="es-CO"/>
        </w:rPr>
        <w:t>CARLOS MANUEL HOYOS VALDERRAMA</w:t>
      </w:r>
      <w:r w:rsidRPr="00546D51">
        <w:rPr>
          <w:rFonts w:ascii="Century Gothic" w:hAnsi="Century Gothic" w:cs="Tahoma"/>
          <w:lang w:val="es-CO"/>
        </w:rPr>
        <w:t xml:space="preserve">, pretende que se declare patrimonialmente responsable a La Nación – </w:t>
      </w:r>
      <w:r>
        <w:rPr>
          <w:rFonts w:ascii="Century Gothic" w:hAnsi="Century Gothic" w:cs="Tahoma"/>
          <w:lang w:val="es-CO"/>
        </w:rPr>
        <w:t>Superintendencia de Sociedades</w:t>
      </w:r>
      <w:r w:rsidRPr="00546D51">
        <w:rPr>
          <w:rFonts w:ascii="Century Gothic" w:hAnsi="Century Gothic" w:cs="Tahoma"/>
          <w:lang w:val="es-CO"/>
        </w:rPr>
        <w:t xml:space="preserve">, de los perjuicios sufridos con ocasión del error judicial por </w:t>
      </w:r>
      <w:r>
        <w:rPr>
          <w:rFonts w:ascii="Century Gothic" w:hAnsi="Century Gothic" w:cs="Tahoma"/>
          <w:lang w:val="es-CO"/>
        </w:rPr>
        <w:t>la inobservancia de un elemento normativo decisivo e incidente en el proceso.</w:t>
      </w:r>
    </w:p>
    <w:p w14:paraId="0AA2457D" w14:textId="77777777" w:rsidR="00FB068E" w:rsidRDefault="00FB068E" w:rsidP="0077593A">
      <w:pPr>
        <w:jc w:val="both"/>
        <w:rPr>
          <w:rFonts w:ascii="Century Gothic" w:hAnsi="Century Gothic" w:cs="Tahoma"/>
          <w:lang w:val="es-CO"/>
        </w:rPr>
      </w:pPr>
    </w:p>
    <w:p w14:paraId="0E5078B2" w14:textId="55364144" w:rsidR="00546D51" w:rsidRDefault="00546D51" w:rsidP="0077593A">
      <w:pPr>
        <w:jc w:val="both"/>
        <w:rPr>
          <w:rFonts w:ascii="Century Gothic" w:hAnsi="Century Gothic" w:cs="Tahoma"/>
          <w:lang w:val="es-CO"/>
        </w:rPr>
      </w:pPr>
      <w:r w:rsidRPr="00546D51">
        <w:rPr>
          <w:rFonts w:ascii="Century Gothic" w:hAnsi="Century Gothic" w:cs="Tahoma"/>
          <w:lang w:val="es-CO"/>
        </w:rPr>
        <w:t xml:space="preserve">En el caso </w:t>
      </w:r>
      <w:r w:rsidR="001C5AF0">
        <w:rPr>
          <w:rFonts w:ascii="Century Gothic" w:hAnsi="Century Gothic" w:cs="Tahoma"/>
          <w:lang w:val="es-CO"/>
        </w:rPr>
        <w:t>bajo estudio</w:t>
      </w:r>
      <w:r w:rsidRPr="00546D51">
        <w:rPr>
          <w:rFonts w:ascii="Century Gothic" w:hAnsi="Century Gothic" w:cs="Tahoma"/>
          <w:lang w:val="es-CO"/>
        </w:rPr>
        <w:t xml:space="preserve"> la configuración del error juri</w:t>
      </w:r>
      <w:r w:rsidR="001C5AF0">
        <w:rPr>
          <w:rFonts w:ascii="Century Gothic" w:hAnsi="Century Gothic" w:cs="Tahoma"/>
          <w:lang w:val="es-CO"/>
        </w:rPr>
        <w:t>sdiccional se encontró contenida</w:t>
      </w:r>
      <w:r>
        <w:rPr>
          <w:rFonts w:ascii="Century Gothic" w:hAnsi="Century Gothic" w:cs="Tahoma"/>
          <w:lang w:val="es-CO"/>
        </w:rPr>
        <w:t xml:space="preserve"> en el</w:t>
      </w:r>
      <w:r w:rsidRPr="00546D51">
        <w:rPr>
          <w:rFonts w:ascii="Century Gothic" w:hAnsi="Century Gothic" w:cs="Tahoma"/>
          <w:lang w:val="es-CO"/>
        </w:rPr>
        <w:t xml:space="preserve"> </w:t>
      </w:r>
      <w:r w:rsidR="00EC43CA">
        <w:rPr>
          <w:rFonts w:ascii="Century Gothic" w:hAnsi="Century Gothic" w:cs="Tahoma"/>
          <w:lang w:val="es-CO"/>
        </w:rPr>
        <w:t>A</w:t>
      </w:r>
      <w:r w:rsidR="00FB068E">
        <w:rPr>
          <w:rFonts w:ascii="Century Gothic" w:hAnsi="Century Gothic" w:cs="Tahoma"/>
          <w:lang w:val="es-CO"/>
        </w:rPr>
        <w:t>uto 2022-03-005350, “</w:t>
      </w:r>
      <w:r w:rsidR="00FB068E"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sidR="00FB068E">
        <w:rPr>
          <w:rFonts w:ascii="Century Gothic" w:hAnsi="Century Gothic" w:cs="Tahoma"/>
          <w:lang w:val="es-CO"/>
        </w:rPr>
        <w:t>” del 11 de mayo de 2022</w:t>
      </w:r>
      <w:r w:rsidRPr="00546D51">
        <w:rPr>
          <w:rFonts w:ascii="Century Gothic" w:hAnsi="Century Gothic" w:cs="Tahoma"/>
          <w:lang w:val="es-CO"/>
        </w:rPr>
        <w:t xml:space="preserve">. En efecto, el error jurisdiccional se reflejó en la </w:t>
      </w:r>
      <w:r w:rsidR="001C5AF0">
        <w:rPr>
          <w:rFonts w:ascii="Century Gothic" w:hAnsi="Century Gothic" w:cs="Tahoma"/>
          <w:lang w:val="es-CO"/>
        </w:rPr>
        <w:t>omisión de tramitar como incidente la solicitud de remoción y sustitución del liquidador elevada por mi mandante el día 16 de marzo de 2022, y en su lugar mediante el auto de notas resolvió:</w:t>
      </w:r>
    </w:p>
    <w:p w14:paraId="4033058D" w14:textId="77777777" w:rsidR="001C5AF0" w:rsidRDefault="001C5AF0" w:rsidP="0077593A">
      <w:pPr>
        <w:jc w:val="both"/>
        <w:rPr>
          <w:rFonts w:ascii="Century Gothic" w:hAnsi="Century Gothic" w:cs="Tahoma"/>
          <w:lang w:val="es-CO"/>
        </w:rPr>
      </w:pPr>
    </w:p>
    <w:p w14:paraId="0068D79B" w14:textId="77777777" w:rsidR="001C5AF0" w:rsidRDefault="00E904B9" w:rsidP="00E904B9">
      <w:pPr>
        <w:jc w:val="center"/>
        <w:rPr>
          <w:rFonts w:ascii="Century Gothic" w:hAnsi="Century Gothic" w:cs="Tahoma"/>
          <w:lang w:val="es-CO"/>
        </w:rPr>
      </w:pPr>
      <w:r>
        <w:rPr>
          <w:noProof/>
          <w:lang w:val="es-CO" w:eastAsia="es-CO"/>
        </w:rPr>
        <w:drawing>
          <wp:inline distT="0" distB="0" distL="0" distR="0" wp14:anchorId="6D99084C" wp14:editId="0553DA5E">
            <wp:extent cx="5005551" cy="107632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Lst>
                    </a:blip>
                    <a:srcRect l="7814" t="33233" r="54987" b="53172"/>
                    <a:stretch/>
                  </pic:blipFill>
                  <pic:spPr bwMode="auto">
                    <a:xfrm>
                      <a:off x="0" y="0"/>
                      <a:ext cx="5030419" cy="1081672"/>
                    </a:xfrm>
                    <a:prstGeom prst="rect">
                      <a:avLst/>
                    </a:prstGeom>
                    <a:ln>
                      <a:noFill/>
                    </a:ln>
                    <a:extLst>
                      <a:ext uri="{53640926-AAD7-44D8-BBD7-CCE9431645EC}">
                        <a14:shadowObscured xmlns:a14="http://schemas.microsoft.com/office/drawing/2010/main"/>
                      </a:ext>
                    </a:extLst>
                  </pic:spPr>
                </pic:pic>
              </a:graphicData>
            </a:graphic>
          </wp:inline>
        </w:drawing>
      </w:r>
    </w:p>
    <w:p w14:paraId="5D820FFA" w14:textId="61ABD44B" w:rsidR="00A54FD7" w:rsidRDefault="00A54FD7" w:rsidP="00E904B9">
      <w:pPr>
        <w:jc w:val="center"/>
        <w:rPr>
          <w:rFonts w:ascii="Century Gothic" w:hAnsi="Century Gothic" w:cs="Tahoma"/>
          <w:lang w:val="es-CO"/>
        </w:rPr>
      </w:pPr>
      <w:r>
        <w:rPr>
          <w:noProof/>
          <w:lang w:val="es-CO" w:eastAsia="es-CO"/>
        </w:rPr>
        <w:drawing>
          <wp:inline distT="0" distB="0" distL="0" distR="0" wp14:anchorId="17FC1F5C" wp14:editId="473749E2">
            <wp:extent cx="5118699" cy="135255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Lst>
                    </a:blip>
                    <a:srcRect l="7474" t="47130" r="54648" b="35439"/>
                    <a:stretch/>
                  </pic:blipFill>
                  <pic:spPr bwMode="auto">
                    <a:xfrm>
                      <a:off x="0" y="0"/>
                      <a:ext cx="5129846" cy="1355495"/>
                    </a:xfrm>
                    <a:prstGeom prst="rect">
                      <a:avLst/>
                    </a:prstGeom>
                    <a:ln>
                      <a:noFill/>
                    </a:ln>
                    <a:extLst>
                      <a:ext uri="{53640926-AAD7-44D8-BBD7-CCE9431645EC}">
                        <a14:shadowObscured xmlns:a14="http://schemas.microsoft.com/office/drawing/2010/main"/>
                      </a:ext>
                    </a:extLst>
                  </pic:spPr>
                </pic:pic>
              </a:graphicData>
            </a:graphic>
          </wp:inline>
        </w:drawing>
      </w:r>
    </w:p>
    <w:p w14:paraId="5123FF91" w14:textId="77777777" w:rsidR="00E904B9" w:rsidRPr="009D461F" w:rsidRDefault="00E904B9" w:rsidP="00E904B9">
      <w:pPr>
        <w:jc w:val="center"/>
        <w:rPr>
          <w:rFonts w:ascii="Century Gothic" w:hAnsi="Century Gothic" w:cs="Tahoma"/>
          <w:lang w:val="es-CO"/>
        </w:rPr>
      </w:pPr>
      <w:r>
        <w:rPr>
          <w:noProof/>
          <w:lang w:val="es-CO" w:eastAsia="es-CO"/>
        </w:rPr>
        <w:drawing>
          <wp:inline distT="0" distB="0" distL="0" distR="0" wp14:anchorId="0FA9F4D4" wp14:editId="1E0DCACD">
            <wp:extent cx="5185029" cy="8858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Lst>
                    </a:blip>
                    <a:srcRect l="7474" t="64561" r="54648" b="24169"/>
                    <a:stretch/>
                  </pic:blipFill>
                  <pic:spPr bwMode="auto">
                    <a:xfrm>
                      <a:off x="0" y="0"/>
                      <a:ext cx="5196317" cy="887753"/>
                    </a:xfrm>
                    <a:prstGeom prst="rect">
                      <a:avLst/>
                    </a:prstGeom>
                    <a:ln>
                      <a:noFill/>
                    </a:ln>
                    <a:extLst>
                      <a:ext uri="{53640926-AAD7-44D8-BBD7-CCE9431645EC}">
                        <a14:shadowObscured xmlns:a14="http://schemas.microsoft.com/office/drawing/2010/main"/>
                      </a:ext>
                    </a:extLst>
                  </pic:spPr>
                </pic:pic>
              </a:graphicData>
            </a:graphic>
          </wp:inline>
        </w:drawing>
      </w:r>
    </w:p>
    <w:p w14:paraId="6D104899" w14:textId="77777777" w:rsidR="0077593A" w:rsidRDefault="0077593A" w:rsidP="0077593A">
      <w:pPr>
        <w:jc w:val="center"/>
        <w:rPr>
          <w:rFonts w:ascii="Century Gothic" w:hAnsi="Century Gothic" w:cs="Tahoma"/>
          <w:b/>
          <w:lang w:val="es-CO"/>
        </w:rPr>
      </w:pPr>
    </w:p>
    <w:p w14:paraId="24BE0587" w14:textId="77777777" w:rsidR="0077593A" w:rsidRDefault="00E904B9" w:rsidP="0077593A">
      <w:pPr>
        <w:jc w:val="center"/>
        <w:rPr>
          <w:rFonts w:ascii="Century Gothic" w:hAnsi="Century Gothic" w:cs="Tahoma"/>
          <w:b/>
          <w:lang w:val="es-CO"/>
        </w:rPr>
      </w:pPr>
      <w:r>
        <w:rPr>
          <w:noProof/>
          <w:lang w:val="es-CO" w:eastAsia="es-CO"/>
        </w:rPr>
        <w:drawing>
          <wp:inline distT="0" distB="0" distL="0" distR="0" wp14:anchorId="696ED41E" wp14:editId="7AB92930">
            <wp:extent cx="5245017" cy="1897096"/>
            <wp:effectExtent l="0" t="0" r="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BEBA8EAE-BF5A-486C-A8C5-ECC9F3942E4B}">
                          <a14:imgProps xmlns:a14="http://schemas.microsoft.com/office/drawing/2010/main">
                            <a14:imgLayer r:embed="rId72">
                              <a14:imgEffect>
                                <a14:sharpenSoften amount="25000"/>
                              </a14:imgEffect>
                            </a14:imgLayer>
                          </a14:imgProps>
                        </a:ext>
                      </a:extLst>
                    </a:blip>
                    <a:srcRect l="7304" t="36858" r="54478" b="38066"/>
                    <a:stretch/>
                  </pic:blipFill>
                  <pic:spPr bwMode="auto">
                    <a:xfrm>
                      <a:off x="0" y="0"/>
                      <a:ext cx="5250211" cy="1898974"/>
                    </a:xfrm>
                    <a:prstGeom prst="rect">
                      <a:avLst/>
                    </a:prstGeom>
                    <a:ln>
                      <a:noFill/>
                    </a:ln>
                    <a:extLst>
                      <a:ext uri="{53640926-AAD7-44D8-BBD7-CCE9431645EC}">
                        <a14:shadowObscured xmlns:a14="http://schemas.microsoft.com/office/drawing/2010/main"/>
                      </a:ext>
                    </a:extLst>
                  </pic:spPr>
                </pic:pic>
              </a:graphicData>
            </a:graphic>
          </wp:inline>
        </w:drawing>
      </w:r>
    </w:p>
    <w:p w14:paraId="28E6CDE8" w14:textId="77777777" w:rsidR="00E904B9" w:rsidRDefault="00E904B9" w:rsidP="0077593A">
      <w:pPr>
        <w:jc w:val="center"/>
        <w:rPr>
          <w:rFonts w:ascii="Century Gothic" w:hAnsi="Century Gothic" w:cs="Tahoma"/>
          <w:b/>
          <w:lang w:val="es-CO"/>
        </w:rPr>
      </w:pPr>
    </w:p>
    <w:p w14:paraId="39760A29" w14:textId="566D80C7" w:rsidR="00E904B9" w:rsidRDefault="00E904B9" w:rsidP="00E904B9">
      <w:pPr>
        <w:jc w:val="both"/>
        <w:rPr>
          <w:rFonts w:ascii="Century Gothic" w:hAnsi="Century Gothic" w:cs="Tahoma"/>
          <w:lang w:val="es-CO"/>
        </w:rPr>
      </w:pPr>
      <w:r>
        <w:rPr>
          <w:rFonts w:ascii="Century Gothic" w:hAnsi="Century Gothic" w:cs="Tahoma"/>
          <w:lang w:val="es-CO"/>
        </w:rPr>
        <w:t xml:space="preserve">Como consecuencia, mi representado tuvo que soportar una decisión vulneradora del debido proceso en detrimento de sus garantías como ciudadano, ex socio y acreedor de la sociedad en liquidación MULTIPOLIMEROS S.A.S., siendo sujeto de la inobservancia y aplicación errónea de la norma que regula el trámite de remoción y sustitución del liquidador, lo que impidió una correcta administración de justicia. Ahora, si bien es cierto que los jueces, en este caso los del concurso, </w:t>
      </w:r>
      <w:r w:rsidRPr="00E904B9">
        <w:rPr>
          <w:rFonts w:ascii="Century Gothic" w:hAnsi="Century Gothic" w:cs="Tahoma"/>
          <w:lang w:val="es-CO"/>
        </w:rPr>
        <w:t xml:space="preserve">dentro de la esfera de sus competencias cuentan con autonomía e independencia judicial para interpretar y aplicar las normas jurídicas dicha facultad no es </w:t>
      </w:r>
      <w:r w:rsidR="00997462">
        <w:rPr>
          <w:rFonts w:ascii="Century Gothic" w:hAnsi="Century Gothic" w:cs="Tahoma"/>
          <w:lang w:val="es-CO"/>
        </w:rPr>
        <w:t xml:space="preserve">en </w:t>
      </w:r>
      <w:r w:rsidRPr="00E904B9">
        <w:rPr>
          <w:rFonts w:ascii="Century Gothic" w:hAnsi="Century Gothic" w:cs="Tahoma"/>
          <w:lang w:val="es-CO"/>
        </w:rPr>
        <w:t>ningún caso  absoluta por tratarse de una atribución reglada. Así, la función pública de administrar justicia se encuentra limitada por el orden jurídico preestablecido y principalmente por lo</w:t>
      </w:r>
      <w:r w:rsidR="00511C8C">
        <w:rPr>
          <w:rFonts w:ascii="Century Gothic" w:hAnsi="Century Gothic" w:cs="Tahoma"/>
          <w:lang w:val="es-CO"/>
        </w:rPr>
        <w:t>s</w:t>
      </w:r>
      <w:r w:rsidRPr="00E904B9">
        <w:rPr>
          <w:rFonts w:ascii="Century Gothic" w:hAnsi="Century Gothic" w:cs="Tahoma"/>
          <w:lang w:val="es-CO"/>
        </w:rPr>
        <w:t xml:space="preserve"> valores, principios, derechos y garantías que identifican al actual Estado Social de Derecho.</w:t>
      </w:r>
    </w:p>
    <w:p w14:paraId="00708850" w14:textId="77777777" w:rsidR="00E904B9" w:rsidRDefault="00E904B9" w:rsidP="00E904B9">
      <w:pPr>
        <w:jc w:val="both"/>
        <w:rPr>
          <w:rFonts w:ascii="Century Gothic" w:hAnsi="Century Gothic" w:cs="Tahoma"/>
          <w:lang w:val="es-CO"/>
        </w:rPr>
      </w:pPr>
    </w:p>
    <w:p w14:paraId="782A0820" w14:textId="77777777" w:rsidR="00E904B9" w:rsidRDefault="00E904B9" w:rsidP="00E904B9">
      <w:pPr>
        <w:jc w:val="both"/>
        <w:rPr>
          <w:rFonts w:ascii="Century Gothic" w:hAnsi="Century Gothic" w:cs="Tahoma"/>
          <w:lang w:val="es-CO"/>
        </w:rPr>
      </w:pPr>
      <w:r w:rsidRPr="00E904B9">
        <w:rPr>
          <w:rFonts w:ascii="Century Gothic" w:hAnsi="Century Gothic" w:cs="Tahoma"/>
          <w:lang w:val="es-CO"/>
        </w:rPr>
        <w:t>En ese orden de cosas, a continuación, se van a esgrimir los argumentos que acreditan el cumplimiento de los presupuestos legales y jurisprudenciales que configuran el error judicial, a saber:</w:t>
      </w:r>
    </w:p>
    <w:p w14:paraId="7F86B420" w14:textId="77777777" w:rsidR="00E904B9" w:rsidRDefault="00E904B9" w:rsidP="00E904B9">
      <w:pPr>
        <w:jc w:val="both"/>
        <w:rPr>
          <w:rFonts w:ascii="Century Gothic" w:hAnsi="Century Gothic" w:cs="Tahoma"/>
          <w:lang w:val="es-CO"/>
        </w:rPr>
      </w:pPr>
    </w:p>
    <w:p w14:paraId="6DB928C8" w14:textId="77777777" w:rsidR="00E904B9" w:rsidRDefault="00E904B9" w:rsidP="00F527BF">
      <w:pPr>
        <w:pStyle w:val="Prrafodelista"/>
        <w:numPr>
          <w:ilvl w:val="0"/>
          <w:numId w:val="7"/>
        </w:numPr>
        <w:jc w:val="both"/>
        <w:rPr>
          <w:rFonts w:ascii="Century Gothic" w:hAnsi="Century Gothic" w:cs="Tahoma"/>
          <w:b/>
          <w:sz w:val="22"/>
          <w:szCs w:val="22"/>
          <w:lang w:val="es-CO"/>
        </w:rPr>
      </w:pPr>
      <w:r w:rsidRPr="00E904B9">
        <w:rPr>
          <w:rFonts w:ascii="Century Gothic" w:hAnsi="Century Gothic" w:cs="Tahoma"/>
          <w:b/>
          <w:sz w:val="22"/>
          <w:szCs w:val="22"/>
          <w:lang w:val="es-CO"/>
        </w:rPr>
        <w:t>Que el afectado interponga los recursos de ley y que la providencia contentiva del error se encuentre en firme:</w:t>
      </w:r>
    </w:p>
    <w:p w14:paraId="735E75EB" w14:textId="77777777" w:rsidR="00E904B9" w:rsidRDefault="00E904B9" w:rsidP="00E904B9">
      <w:pPr>
        <w:jc w:val="both"/>
        <w:rPr>
          <w:rFonts w:ascii="Century Gothic" w:hAnsi="Century Gothic" w:cs="Tahoma"/>
          <w:b/>
          <w:lang w:val="es-CO"/>
        </w:rPr>
      </w:pPr>
    </w:p>
    <w:p w14:paraId="09DE9C8E" w14:textId="77777777" w:rsidR="00E904B9" w:rsidRDefault="003F1494" w:rsidP="00E904B9">
      <w:pPr>
        <w:jc w:val="both"/>
        <w:rPr>
          <w:rFonts w:ascii="Century Gothic" w:hAnsi="Century Gothic" w:cs="Tahoma"/>
          <w:lang w:val="es-CO"/>
        </w:rPr>
      </w:pPr>
      <w:r>
        <w:rPr>
          <w:rFonts w:ascii="Century Gothic" w:hAnsi="Century Gothic" w:cs="Tahoma"/>
          <w:lang w:val="es-CO"/>
        </w:rPr>
        <w:t>En este punto es necesario advertir que dentro del proceso de liquidación judicial de MULTIPOLIMEROS S.A.S., y sobre el Auto con radicado No. 2022-03-005350, “</w:t>
      </w:r>
      <w:r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Pr>
          <w:rFonts w:ascii="Century Gothic" w:hAnsi="Century Gothic" w:cs="Tahoma"/>
          <w:lang w:val="es-CO"/>
        </w:rPr>
        <w:t>” del 11 de mayo de 2022, mi representado interpuso los recurso de ley que se encontraban a su alcance en aras de revertir el hecho dañoso y evitar con ello la concreción de perjuicios mayores. De manera que a continuación, se presenta una relación de los medios utilizados para agotar el requisito que nos atiende, así:</w:t>
      </w:r>
    </w:p>
    <w:p w14:paraId="3C28A184" w14:textId="77777777" w:rsidR="003F1494" w:rsidRDefault="003F1494" w:rsidP="00E904B9">
      <w:pPr>
        <w:jc w:val="both"/>
        <w:rPr>
          <w:rFonts w:ascii="Century Gothic" w:hAnsi="Century Gothic" w:cs="Tahoma"/>
          <w:lang w:val="es-CO"/>
        </w:rPr>
      </w:pPr>
    </w:p>
    <w:p w14:paraId="7DC92C0D" w14:textId="2AADF60E" w:rsidR="003F1494" w:rsidRDefault="003F1494" w:rsidP="00F527BF">
      <w:pPr>
        <w:pStyle w:val="Prrafodelista"/>
        <w:numPr>
          <w:ilvl w:val="0"/>
          <w:numId w:val="8"/>
        </w:numPr>
        <w:jc w:val="both"/>
        <w:rPr>
          <w:rFonts w:ascii="Century Gothic" w:hAnsi="Century Gothic" w:cs="Tahoma"/>
          <w:lang w:val="es-CO"/>
        </w:rPr>
      </w:pPr>
      <w:r>
        <w:rPr>
          <w:rFonts w:ascii="Century Gothic" w:hAnsi="Century Gothic" w:cs="Tahoma"/>
          <w:sz w:val="22"/>
          <w:szCs w:val="22"/>
          <w:lang w:val="es-CO"/>
        </w:rPr>
        <w:t xml:space="preserve">Por </w:t>
      </w:r>
      <w:r w:rsidRPr="003F1494">
        <w:rPr>
          <w:rFonts w:ascii="Century Gothic" w:hAnsi="Century Gothic" w:cs="Tahoma"/>
          <w:sz w:val="22"/>
          <w:szCs w:val="22"/>
          <w:lang w:val="es-CO"/>
        </w:rPr>
        <w:t xml:space="preserve">mensaje electrónico remitido el 17 de mayo de 2022, ingresado con el Radicado No. 2022-01-460273 del 24 de mayo de 2022, el </w:t>
      </w:r>
      <w:r>
        <w:rPr>
          <w:rFonts w:ascii="Century Gothic" w:hAnsi="Century Gothic" w:cs="Tahoma"/>
          <w:sz w:val="22"/>
          <w:szCs w:val="22"/>
          <w:lang w:val="es-CO"/>
        </w:rPr>
        <w:t>suscrito</w:t>
      </w:r>
      <w:r w:rsidRPr="003F1494">
        <w:rPr>
          <w:rFonts w:ascii="Century Gothic" w:hAnsi="Century Gothic" w:cs="Tahoma"/>
          <w:sz w:val="22"/>
          <w:szCs w:val="22"/>
          <w:lang w:val="es-CO"/>
        </w:rPr>
        <w:t xml:space="preserve"> en calidad de apoderado especial sustituto del Señor CARLOS MANUEL HOYOS VALDERRAMA, acreedor y accionista de MULTIPOLIMEROS S.A.S. EN LIQUIDACIÓN JUDICIAL, interpuso recurso de reposición y en subsidio apelación contra el Auto </w:t>
      </w:r>
      <w:r w:rsidR="00511C8C">
        <w:rPr>
          <w:rFonts w:ascii="Century Gothic" w:hAnsi="Century Gothic" w:cs="Tahoma"/>
          <w:lang w:val="es-CO"/>
        </w:rPr>
        <w:t>No. 2022-03-005350</w:t>
      </w:r>
      <w:r w:rsidRPr="003F1494">
        <w:rPr>
          <w:rFonts w:ascii="Century Gothic" w:hAnsi="Century Gothic" w:cs="Tahoma"/>
          <w:sz w:val="22"/>
          <w:szCs w:val="22"/>
          <w:lang w:val="es-CO"/>
        </w:rPr>
        <w:t>.</w:t>
      </w:r>
    </w:p>
    <w:p w14:paraId="29ABEC87" w14:textId="77777777" w:rsidR="003F1494" w:rsidRDefault="003F1494" w:rsidP="003F1494">
      <w:pPr>
        <w:jc w:val="both"/>
        <w:rPr>
          <w:rFonts w:ascii="Century Gothic" w:hAnsi="Century Gothic" w:cs="Tahoma"/>
          <w:lang w:val="es-CO"/>
        </w:rPr>
      </w:pPr>
    </w:p>
    <w:p w14:paraId="439DCFFC" w14:textId="77777777" w:rsidR="00891668" w:rsidRPr="00891668" w:rsidRDefault="003F1494" w:rsidP="00F527BF">
      <w:pPr>
        <w:pStyle w:val="Prrafodelista"/>
        <w:numPr>
          <w:ilvl w:val="0"/>
          <w:numId w:val="8"/>
        </w:numPr>
        <w:jc w:val="both"/>
        <w:rPr>
          <w:rFonts w:ascii="Century Gothic" w:hAnsi="Century Gothic" w:cs="Tahoma"/>
          <w:sz w:val="22"/>
          <w:szCs w:val="22"/>
          <w:lang w:val="es-CO"/>
        </w:rPr>
      </w:pPr>
      <w:r w:rsidRPr="00891668">
        <w:rPr>
          <w:rFonts w:ascii="Century Gothic" w:hAnsi="Century Gothic" w:cs="Tahoma"/>
          <w:sz w:val="22"/>
          <w:szCs w:val="22"/>
          <w:lang w:val="es-CO"/>
        </w:rPr>
        <w:t xml:space="preserve">Por Auto del 25 de julio de 2022 con radicado No. 2022-03-007120, la </w:t>
      </w:r>
      <w:proofErr w:type="spellStart"/>
      <w:r w:rsidRPr="00891668">
        <w:rPr>
          <w:rFonts w:ascii="Century Gothic" w:hAnsi="Century Gothic" w:cs="Tahoma"/>
          <w:sz w:val="22"/>
          <w:szCs w:val="22"/>
          <w:lang w:val="es-CO"/>
        </w:rPr>
        <w:t>Supersociedades</w:t>
      </w:r>
      <w:proofErr w:type="spellEnd"/>
      <w:r w:rsidRPr="00891668">
        <w:rPr>
          <w:rFonts w:ascii="Century Gothic" w:hAnsi="Century Gothic" w:cs="Tahoma"/>
          <w:sz w:val="22"/>
          <w:szCs w:val="22"/>
          <w:lang w:val="es-CO"/>
        </w:rPr>
        <w:t xml:space="preserve"> resolvió rechazar de plano el recurso de apelación por ser improcedente y a su turno negó el recurso de reposición del 17 de mayo de 2022</w:t>
      </w:r>
      <w:r w:rsidR="00931DD1" w:rsidRPr="00891668">
        <w:rPr>
          <w:rFonts w:ascii="Century Gothic" w:hAnsi="Century Gothic" w:cs="Tahoma"/>
          <w:sz w:val="22"/>
          <w:szCs w:val="22"/>
          <w:lang w:val="es-CO"/>
        </w:rPr>
        <w:t>, aduciendo que: “</w:t>
      </w:r>
      <w:r w:rsidR="00931DD1" w:rsidRPr="00891668">
        <w:rPr>
          <w:rFonts w:ascii="Century Gothic" w:hAnsi="Century Gothic" w:cs="Tahoma"/>
          <w:i/>
          <w:sz w:val="22"/>
          <w:szCs w:val="22"/>
          <w:lang w:val="es-CO"/>
        </w:rPr>
        <w:t xml:space="preserve">En tal sentido, no es acertado pretender que una solicitud de remoción del Liquidador de la insolvencia, se surta por la vía incidental, como si se tratara de un asunto que no tiene incidencia en los aspectos centrales del proceso, cuando el auxiliar de justicia que funge como tal, es quien ejerce la representación legal del sujeto concursado y actúa como administrador de la masa. En otras palabras, el Liquidador es quien precisamente desarrolla, como ya </w:t>
      </w:r>
      <w:r w:rsidR="00931DD1" w:rsidRPr="00891668">
        <w:rPr>
          <w:rFonts w:ascii="Century Gothic" w:hAnsi="Century Gothic" w:cs="Tahoma"/>
          <w:i/>
          <w:sz w:val="22"/>
          <w:szCs w:val="22"/>
          <w:lang w:val="es-CO"/>
        </w:rPr>
        <w:lastRenderedPageBreak/>
        <w:t>se ha dicho, todas las actuaciones centrales y relevantes para el desenvolvimiento del proceso.”</w:t>
      </w:r>
    </w:p>
    <w:p w14:paraId="1840C154" w14:textId="77777777" w:rsidR="00891668" w:rsidRPr="00891668" w:rsidRDefault="00891668" w:rsidP="00891668">
      <w:pPr>
        <w:pStyle w:val="Prrafodelista"/>
        <w:rPr>
          <w:rFonts w:ascii="Century Gothic" w:hAnsi="Century Gothic" w:cs="Tahoma"/>
          <w:lang w:val="es-CO"/>
        </w:rPr>
      </w:pPr>
    </w:p>
    <w:p w14:paraId="074571A3" w14:textId="77777777" w:rsidR="00931DD1" w:rsidRPr="00891668" w:rsidRDefault="00891668" w:rsidP="00F527BF">
      <w:pPr>
        <w:pStyle w:val="Prrafodelista"/>
        <w:numPr>
          <w:ilvl w:val="0"/>
          <w:numId w:val="8"/>
        </w:numPr>
        <w:jc w:val="both"/>
        <w:rPr>
          <w:rFonts w:ascii="Century Gothic" w:hAnsi="Century Gothic" w:cs="Tahoma"/>
          <w:sz w:val="22"/>
          <w:szCs w:val="22"/>
          <w:lang w:val="es-CO"/>
        </w:rPr>
      </w:pPr>
      <w:r w:rsidRPr="00891668">
        <w:rPr>
          <w:rFonts w:ascii="Century Gothic" w:hAnsi="Century Gothic" w:cs="Tahoma"/>
          <w:sz w:val="22"/>
          <w:szCs w:val="22"/>
          <w:lang w:val="es-CO"/>
        </w:rPr>
        <w:t>Al tratarse de un proceso de única instancia de conformidad con lo reglado por parágrafo 1 del artículo 6 de la Ley 1116 del 2006, frente a la decisión contenida en el Auto del 11 de mayo de 2022, no cabía ningún recurso distinto al de reposición, que se reitera fue denegado.</w:t>
      </w:r>
    </w:p>
    <w:p w14:paraId="0E251D96" w14:textId="77777777" w:rsidR="003F1494" w:rsidRPr="00931DD1" w:rsidRDefault="003F1494" w:rsidP="00931DD1">
      <w:pPr>
        <w:jc w:val="both"/>
        <w:rPr>
          <w:rFonts w:ascii="Century Gothic" w:hAnsi="Century Gothic" w:cs="Tahoma"/>
          <w:lang w:val="es-CO"/>
        </w:rPr>
      </w:pPr>
    </w:p>
    <w:p w14:paraId="40ECACC7" w14:textId="77777777" w:rsidR="00E904B9" w:rsidRDefault="00FA6322" w:rsidP="00FA6322">
      <w:pPr>
        <w:jc w:val="both"/>
        <w:rPr>
          <w:rFonts w:ascii="Century Gothic" w:hAnsi="Century Gothic" w:cs="Tahoma"/>
          <w:lang w:val="es-CO"/>
        </w:rPr>
      </w:pPr>
      <w:r>
        <w:rPr>
          <w:rFonts w:ascii="Century Gothic" w:hAnsi="Century Gothic" w:cs="Tahoma"/>
          <w:lang w:val="es-CO"/>
        </w:rPr>
        <w:t>En tal orden de ideas, se tiene agotado el requisito de citas.</w:t>
      </w:r>
    </w:p>
    <w:p w14:paraId="52AD2B5A" w14:textId="77777777" w:rsidR="00FA6322" w:rsidRDefault="00FA6322" w:rsidP="00FA6322">
      <w:pPr>
        <w:jc w:val="both"/>
        <w:rPr>
          <w:rFonts w:ascii="Century Gothic" w:hAnsi="Century Gothic" w:cs="Tahoma"/>
          <w:lang w:val="es-CO"/>
        </w:rPr>
      </w:pPr>
    </w:p>
    <w:p w14:paraId="58650C76" w14:textId="77777777" w:rsidR="00FA6322" w:rsidRPr="00FA6322" w:rsidRDefault="00FA6322" w:rsidP="00F527BF">
      <w:pPr>
        <w:pStyle w:val="Prrafodelista"/>
        <w:numPr>
          <w:ilvl w:val="0"/>
          <w:numId w:val="7"/>
        </w:numPr>
        <w:jc w:val="both"/>
        <w:rPr>
          <w:rFonts w:ascii="Century Gothic" w:hAnsi="Century Gothic" w:cs="Tahoma"/>
          <w:b/>
          <w:lang w:val="es-CO"/>
        </w:rPr>
      </w:pPr>
      <w:r>
        <w:rPr>
          <w:rFonts w:ascii="Century Gothic" w:hAnsi="Century Gothic" w:cs="Tahoma"/>
          <w:b/>
          <w:sz w:val="22"/>
          <w:szCs w:val="22"/>
          <w:lang w:val="es-CO"/>
        </w:rPr>
        <w:t>El error debe enmarcarse dentro de los mismos presupuestos que la jurisprudencia ha definido como una “vía de hecho”:</w:t>
      </w:r>
    </w:p>
    <w:p w14:paraId="379BF2DE" w14:textId="77777777" w:rsidR="00FA6322" w:rsidRDefault="00FA6322" w:rsidP="00FA6322">
      <w:pPr>
        <w:jc w:val="both"/>
        <w:rPr>
          <w:rFonts w:ascii="Century Gothic" w:hAnsi="Century Gothic" w:cs="Tahoma"/>
          <w:b/>
          <w:lang w:val="es-CO"/>
        </w:rPr>
      </w:pPr>
    </w:p>
    <w:p w14:paraId="74C10CFB" w14:textId="77777777" w:rsidR="00FA6322" w:rsidRDefault="00900724" w:rsidP="00FA6322">
      <w:pPr>
        <w:jc w:val="both"/>
        <w:rPr>
          <w:rFonts w:ascii="Century Gothic" w:hAnsi="Century Gothic" w:cs="Tahoma"/>
          <w:lang w:val="es-CO"/>
        </w:rPr>
      </w:pPr>
      <w:r w:rsidRPr="00900724">
        <w:rPr>
          <w:rFonts w:ascii="Century Gothic" w:hAnsi="Century Gothic" w:cs="Tahoma"/>
          <w:lang w:val="es-CO"/>
        </w:rPr>
        <w:t xml:space="preserve">De conformidad con la Jurisprudencia de la Corte Constitucional y del Consejo de Estado, para que exista responsabilidad del Estado por error judicial, la decisión contentiva del mismo debe configurar los presupuestos de una vía de hecho. De manera que, al estar en el caso de autos acreditados los defectos fáctico y sustantivo material, resulta procedente el medio de control que se formula en contra de la </w:t>
      </w:r>
      <w:r>
        <w:rPr>
          <w:rFonts w:ascii="Century Gothic" w:hAnsi="Century Gothic" w:cs="Tahoma"/>
          <w:lang w:val="es-CO"/>
        </w:rPr>
        <w:t>Nación – Superintendencia de Sociedades.</w:t>
      </w:r>
    </w:p>
    <w:p w14:paraId="2D1BED53" w14:textId="77777777" w:rsidR="00D6194A" w:rsidRDefault="00D6194A" w:rsidP="00FA6322">
      <w:pPr>
        <w:jc w:val="both"/>
        <w:rPr>
          <w:rFonts w:ascii="Century Gothic" w:hAnsi="Century Gothic" w:cs="Tahoma"/>
          <w:lang w:val="es-CO"/>
        </w:rPr>
      </w:pPr>
    </w:p>
    <w:p w14:paraId="236C519C" w14:textId="77777777" w:rsidR="00D6194A" w:rsidRPr="00D6194A" w:rsidRDefault="00D6194A" w:rsidP="00F527BF">
      <w:pPr>
        <w:pStyle w:val="Prrafodelista"/>
        <w:numPr>
          <w:ilvl w:val="0"/>
          <w:numId w:val="9"/>
        </w:numPr>
        <w:jc w:val="both"/>
        <w:rPr>
          <w:rFonts w:ascii="Century Gothic" w:hAnsi="Century Gothic" w:cs="Tahoma"/>
          <w:lang w:val="es-CO"/>
        </w:rPr>
      </w:pPr>
      <w:r>
        <w:rPr>
          <w:rFonts w:ascii="Century Gothic" w:hAnsi="Century Gothic" w:cs="Tahoma"/>
          <w:b/>
          <w:sz w:val="22"/>
          <w:szCs w:val="22"/>
          <w:lang w:val="es-CO"/>
        </w:rPr>
        <w:t>Configuración del defecto fáctico:</w:t>
      </w:r>
    </w:p>
    <w:p w14:paraId="0D8399F4" w14:textId="77777777" w:rsidR="00D6194A" w:rsidRDefault="00D6194A" w:rsidP="00D6194A">
      <w:pPr>
        <w:jc w:val="both"/>
        <w:rPr>
          <w:rFonts w:ascii="Century Gothic" w:hAnsi="Century Gothic" w:cs="Tahoma"/>
          <w:lang w:val="es-CO"/>
        </w:rPr>
      </w:pPr>
    </w:p>
    <w:p w14:paraId="0CB5D5AC" w14:textId="7E1DCF99" w:rsidR="00D6194A" w:rsidRDefault="008B4F01" w:rsidP="00D6194A">
      <w:pPr>
        <w:jc w:val="both"/>
        <w:rPr>
          <w:rFonts w:ascii="Century Gothic" w:hAnsi="Century Gothic" w:cs="Tahoma"/>
          <w:lang w:val="es-CO"/>
        </w:rPr>
      </w:pPr>
      <w:r>
        <w:rPr>
          <w:rFonts w:ascii="Century Gothic" w:hAnsi="Century Gothic" w:cs="Tahoma"/>
          <w:lang w:val="es-CO"/>
        </w:rPr>
        <w:t>Con el Auto con radicado No. 2022-03-005350, “</w:t>
      </w:r>
      <w:r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Pr>
          <w:rFonts w:ascii="Century Gothic" w:hAnsi="Century Gothic" w:cs="Tahoma"/>
          <w:lang w:val="es-CO"/>
        </w:rPr>
        <w:t>” del 11 de mayo de 2022, se configur</w:t>
      </w:r>
      <w:r w:rsidR="009A7B33">
        <w:rPr>
          <w:rFonts w:ascii="Century Gothic" w:hAnsi="Century Gothic" w:cs="Tahoma"/>
          <w:lang w:val="es-CO"/>
        </w:rPr>
        <w:t>ó</w:t>
      </w:r>
      <w:r>
        <w:rPr>
          <w:rFonts w:ascii="Century Gothic" w:hAnsi="Century Gothic" w:cs="Tahoma"/>
          <w:lang w:val="es-CO"/>
        </w:rPr>
        <w:t xml:space="preserve"> un defecto fáctico porque al no</w:t>
      </w:r>
      <w:r w:rsidR="009A7B33">
        <w:rPr>
          <w:rFonts w:ascii="Century Gothic" w:hAnsi="Century Gothic" w:cs="Tahoma"/>
          <w:lang w:val="es-CO"/>
        </w:rPr>
        <w:t xml:space="preserve"> haber</w:t>
      </w:r>
      <w:r>
        <w:rPr>
          <w:rFonts w:ascii="Century Gothic" w:hAnsi="Century Gothic" w:cs="Tahoma"/>
          <w:lang w:val="es-CO"/>
        </w:rPr>
        <w:t xml:space="preserve"> impr</w:t>
      </w:r>
      <w:r w:rsidR="009A7B33">
        <w:rPr>
          <w:rFonts w:ascii="Century Gothic" w:hAnsi="Century Gothic" w:cs="Tahoma"/>
          <w:lang w:val="es-CO"/>
        </w:rPr>
        <w:t>eso</w:t>
      </w:r>
      <w:r>
        <w:rPr>
          <w:rFonts w:ascii="Century Gothic" w:hAnsi="Century Gothic" w:cs="Tahoma"/>
          <w:lang w:val="es-CO"/>
        </w:rPr>
        <w:t xml:space="preserve"> el trámite incidental a la solicitud de remoción y sustitución del liquidador</w:t>
      </w:r>
      <w:r w:rsidR="009A7B33">
        <w:rPr>
          <w:rFonts w:ascii="Century Gothic" w:hAnsi="Century Gothic" w:cs="Tahoma"/>
          <w:lang w:val="es-CO"/>
        </w:rPr>
        <w:t>,</w:t>
      </w:r>
      <w:r>
        <w:rPr>
          <w:rFonts w:ascii="Century Gothic" w:hAnsi="Century Gothic" w:cs="Tahoma"/>
          <w:lang w:val="es-CO"/>
        </w:rPr>
        <w:t xml:space="preserve"> se omitió el decreto y práctica de pruebas necesarias para resolver de fondo el asunto conforme a derecho, situación que abiertamente </w:t>
      </w:r>
      <w:r w:rsidR="009A7B33">
        <w:rPr>
          <w:rFonts w:ascii="Century Gothic" w:hAnsi="Century Gothic" w:cs="Tahoma"/>
          <w:lang w:val="es-CO"/>
        </w:rPr>
        <w:t xml:space="preserve">generó </w:t>
      </w:r>
      <w:r>
        <w:rPr>
          <w:rFonts w:ascii="Century Gothic" w:hAnsi="Century Gothic" w:cs="Tahoma"/>
          <w:lang w:val="es-CO"/>
        </w:rPr>
        <w:t xml:space="preserve"> una trasgresión al debido proceso.</w:t>
      </w:r>
    </w:p>
    <w:p w14:paraId="36D2EB85" w14:textId="77777777" w:rsidR="009B6613" w:rsidRDefault="009B6613" w:rsidP="00D6194A">
      <w:pPr>
        <w:jc w:val="both"/>
        <w:rPr>
          <w:rFonts w:ascii="Century Gothic" w:hAnsi="Century Gothic" w:cs="Tahoma"/>
          <w:lang w:val="es-CO"/>
        </w:rPr>
      </w:pPr>
    </w:p>
    <w:p w14:paraId="54A22475" w14:textId="64F80665" w:rsidR="009B6613" w:rsidRPr="009B6613" w:rsidRDefault="009B6613" w:rsidP="00F527BF">
      <w:pPr>
        <w:pStyle w:val="Prrafodelista"/>
        <w:numPr>
          <w:ilvl w:val="0"/>
          <w:numId w:val="9"/>
        </w:numPr>
        <w:jc w:val="both"/>
        <w:rPr>
          <w:rFonts w:ascii="Century Gothic" w:hAnsi="Century Gothic" w:cs="Tahoma"/>
          <w:sz w:val="22"/>
          <w:szCs w:val="22"/>
          <w:lang w:val="es-CO"/>
        </w:rPr>
      </w:pPr>
      <w:r w:rsidRPr="009B6613">
        <w:rPr>
          <w:rFonts w:ascii="Century Gothic" w:hAnsi="Century Gothic" w:cs="Tahoma"/>
          <w:b/>
          <w:sz w:val="22"/>
          <w:szCs w:val="22"/>
          <w:lang w:val="es-CO"/>
        </w:rPr>
        <w:t xml:space="preserve">Configuración del defecto </w:t>
      </w:r>
      <w:r w:rsidR="00997462">
        <w:rPr>
          <w:rFonts w:ascii="Century Gothic" w:hAnsi="Century Gothic" w:cs="Tahoma"/>
          <w:b/>
          <w:sz w:val="22"/>
          <w:szCs w:val="22"/>
          <w:lang w:val="es-CO"/>
        </w:rPr>
        <w:t>material</w:t>
      </w:r>
      <w:r w:rsidRPr="009B6613">
        <w:rPr>
          <w:rFonts w:ascii="Century Gothic" w:hAnsi="Century Gothic" w:cs="Tahoma"/>
          <w:b/>
          <w:sz w:val="22"/>
          <w:szCs w:val="22"/>
          <w:lang w:val="es-CO"/>
        </w:rPr>
        <w:t xml:space="preserve"> o sustantivo:</w:t>
      </w:r>
    </w:p>
    <w:p w14:paraId="6B5D7FDB" w14:textId="77777777" w:rsidR="009B6613" w:rsidRDefault="009B6613" w:rsidP="009B6613">
      <w:pPr>
        <w:jc w:val="both"/>
        <w:rPr>
          <w:rFonts w:ascii="Century Gothic" w:hAnsi="Century Gothic" w:cs="Tahoma"/>
          <w:lang w:val="es-CO"/>
        </w:rPr>
      </w:pPr>
    </w:p>
    <w:p w14:paraId="7CFEEF36" w14:textId="77777777" w:rsidR="00B0496E" w:rsidRDefault="00B0496E" w:rsidP="00B0496E">
      <w:pPr>
        <w:jc w:val="both"/>
        <w:rPr>
          <w:rFonts w:ascii="Century Gothic" w:hAnsi="Century Gothic" w:cs="Tahoma"/>
          <w:lang w:val="es-CO"/>
        </w:rPr>
      </w:pPr>
      <w:r>
        <w:rPr>
          <w:rFonts w:ascii="Century Gothic" w:hAnsi="Century Gothic" w:cs="Tahoma"/>
          <w:lang w:val="es-CO"/>
        </w:rPr>
        <w:t>En el Auto con radicado No. 2022-03-005350, “</w:t>
      </w:r>
      <w:r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Pr>
          <w:rFonts w:ascii="Century Gothic" w:hAnsi="Century Gothic" w:cs="Tahoma"/>
          <w:lang w:val="es-CO"/>
        </w:rPr>
        <w:t xml:space="preserve">” del 11 de mayo de 2022, se configuró un defecto material o sustantivo, toda vez que la norma pertinente y aplicable fue inobservada. </w:t>
      </w:r>
    </w:p>
    <w:p w14:paraId="5B2BF828" w14:textId="77777777" w:rsidR="00B0496E" w:rsidRDefault="00B0496E" w:rsidP="00B0496E">
      <w:pPr>
        <w:jc w:val="both"/>
        <w:rPr>
          <w:rFonts w:ascii="Century Gothic" w:hAnsi="Century Gothic" w:cs="Tahoma"/>
          <w:lang w:val="es-CO"/>
        </w:rPr>
      </w:pPr>
    </w:p>
    <w:p w14:paraId="40DBF504" w14:textId="1F3D8E1F" w:rsidR="00B0496E" w:rsidRDefault="00B0496E" w:rsidP="00B0496E">
      <w:pPr>
        <w:jc w:val="both"/>
        <w:rPr>
          <w:rFonts w:ascii="Century Gothic" w:hAnsi="Century Gothic" w:cs="Tahoma"/>
          <w:lang w:val="es-CO"/>
        </w:rPr>
      </w:pPr>
      <w:r>
        <w:rPr>
          <w:rFonts w:ascii="Century Gothic" w:hAnsi="Century Gothic" w:cs="Tahoma"/>
          <w:lang w:val="es-CO"/>
        </w:rPr>
        <w:t xml:space="preserve">Así, se pone de presente que la Superintendencia de Sociedades – Intendencia Regional Cali, </w:t>
      </w:r>
      <w:r w:rsidRPr="00B0496E">
        <w:rPr>
          <w:rFonts w:ascii="Century Gothic" w:hAnsi="Century Gothic" w:cs="Tahoma"/>
          <w:lang w:val="es-CO"/>
        </w:rPr>
        <w:t>dio una interpretación totalmente errónea al artículo 2.2.2.9.3.1 del Decreto 1074 de 2015, en el sentido que conforme al artículo 8 del Estatuto de Insolvencia Empresarial, las cuestiones accesorias que se susciten dentro del proceso de intervención, deben regirse conforme a las disposiciones para los incidentes del Código General del Proceso. De esta forma, ante la inexistencia de una norma que regule su trámite, la remoción del interventor/liquidador por incumplimiento de sus funciones se ha considerado como un hecho accesorio, en cuanto escapa del objeto mismo del proceso, por lo que debe resolverse como incidente, tal como lo señala el artículo 129 ibídem</w:t>
      </w:r>
      <w:r>
        <w:rPr>
          <w:rFonts w:ascii="Century Gothic" w:hAnsi="Century Gothic" w:cs="Tahoma"/>
          <w:lang w:val="es-CO"/>
        </w:rPr>
        <w:t xml:space="preserve">., y no como lo hizo la </w:t>
      </w:r>
      <w:r w:rsidR="00511C8C">
        <w:rPr>
          <w:rFonts w:ascii="Century Gothic" w:hAnsi="Century Gothic" w:cs="Tahoma"/>
          <w:lang w:val="es-CO"/>
        </w:rPr>
        <w:t>demandada</w:t>
      </w:r>
      <w:r>
        <w:rPr>
          <w:rFonts w:ascii="Century Gothic" w:hAnsi="Century Gothic" w:cs="Tahoma"/>
          <w:lang w:val="es-CO"/>
        </w:rPr>
        <w:t>, quien además dejó de aplicar las disposiciones de la Ley 1564 de 2012.</w:t>
      </w:r>
    </w:p>
    <w:p w14:paraId="5153762A" w14:textId="77777777" w:rsidR="00B0496E" w:rsidRDefault="00B0496E" w:rsidP="00B0496E">
      <w:pPr>
        <w:jc w:val="both"/>
        <w:rPr>
          <w:rFonts w:ascii="Century Gothic" w:hAnsi="Century Gothic" w:cs="Tahoma"/>
          <w:lang w:val="es-CO"/>
        </w:rPr>
      </w:pPr>
    </w:p>
    <w:p w14:paraId="09E90FB0" w14:textId="77777777" w:rsidR="00B0496E" w:rsidRDefault="00D30A92" w:rsidP="00F527BF">
      <w:pPr>
        <w:pStyle w:val="Prrafodelista"/>
        <w:numPr>
          <w:ilvl w:val="0"/>
          <w:numId w:val="7"/>
        </w:numPr>
        <w:jc w:val="both"/>
        <w:rPr>
          <w:rFonts w:ascii="Century Gothic" w:eastAsia="Arial MT" w:hAnsi="Century Gothic" w:cs="Tahoma"/>
          <w:b/>
          <w:sz w:val="22"/>
          <w:szCs w:val="22"/>
          <w:lang w:val="es-CO"/>
        </w:rPr>
      </w:pPr>
      <w:r w:rsidRPr="00D30A92">
        <w:rPr>
          <w:rFonts w:ascii="Century Gothic" w:eastAsia="Arial MT" w:hAnsi="Century Gothic" w:cs="Tahoma"/>
          <w:b/>
          <w:sz w:val="22"/>
          <w:szCs w:val="22"/>
          <w:lang w:val="es-CO"/>
        </w:rPr>
        <w:t>El error judicial es de orden fáctico y normativo:</w:t>
      </w:r>
    </w:p>
    <w:p w14:paraId="4D0B9207" w14:textId="77777777" w:rsidR="00D30A92" w:rsidRDefault="00D30A92" w:rsidP="00D30A92">
      <w:pPr>
        <w:jc w:val="both"/>
        <w:rPr>
          <w:rFonts w:ascii="Century Gothic" w:hAnsi="Century Gothic" w:cs="Tahoma"/>
          <w:b/>
          <w:lang w:val="es-CO"/>
        </w:rPr>
      </w:pPr>
    </w:p>
    <w:p w14:paraId="4FEDEE22" w14:textId="77777777" w:rsidR="00D30A92" w:rsidRDefault="00D30A92" w:rsidP="00D30A92">
      <w:pPr>
        <w:jc w:val="both"/>
        <w:rPr>
          <w:rFonts w:ascii="Century Gothic" w:hAnsi="Century Gothic" w:cs="Tahoma"/>
          <w:lang w:val="es-CO"/>
        </w:rPr>
      </w:pPr>
      <w:r w:rsidRPr="00D30A92">
        <w:rPr>
          <w:rFonts w:ascii="Century Gothic" w:hAnsi="Century Gothic" w:cs="Tahoma"/>
          <w:lang w:val="es-CO"/>
        </w:rPr>
        <w:t>Conforme a la Juri</w:t>
      </w:r>
      <w:r>
        <w:rPr>
          <w:rFonts w:ascii="Century Gothic" w:hAnsi="Century Gothic" w:cs="Tahoma"/>
          <w:lang w:val="es-CO"/>
        </w:rPr>
        <w:t>sprudencia del Consejo de Estado</w:t>
      </w:r>
      <w:r>
        <w:rPr>
          <w:rStyle w:val="Refdenotaalpie"/>
          <w:rFonts w:ascii="Century Gothic" w:hAnsi="Century Gothic" w:cs="Tahoma"/>
          <w:lang w:val="es-CO"/>
        </w:rPr>
        <w:footnoteReference w:id="7"/>
      </w:r>
      <w:r w:rsidRPr="00D30A92">
        <w:rPr>
          <w:rFonts w:ascii="Century Gothic" w:hAnsi="Century Gothic" w:cs="Tahoma"/>
          <w:lang w:val="es-CO"/>
        </w:rPr>
        <w:t xml:space="preserve">, el error jurisdiccional puede ser de orden fáctico o normativo. El primero de ellos tiene lugar cuando existen diferencias entre la realidad procesal y la decisión judicial, como cuando no se consideró un hecho debidamente probado o cuando no se decretaron las pruebas conducentes para </w:t>
      </w:r>
      <w:r w:rsidRPr="00D30A92">
        <w:rPr>
          <w:rFonts w:ascii="Century Gothic" w:hAnsi="Century Gothic" w:cs="Tahoma"/>
          <w:lang w:val="es-CO"/>
        </w:rPr>
        <w:lastRenderedPageBreak/>
        <w:t>determinar el hecho relevante para el derecho. Mientras que el error normativo o de derecho se presenta en los eventos en los que se dejó de aplicar una norma directa o indirectamente aplicable.</w:t>
      </w:r>
    </w:p>
    <w:p w14:paraId="75D57526" w14:textId="77777777" w:rsidR="008C5256" w:rsidRDefault="008C5256" w:rsidP="00D30A92">
      <w:pPr>
        <w:jc w:val="both"/>
        <w:rPr>
          <w:rFonts w:ascii="Century Gothic" w:hAnsi="Century Gothic" w:cs="Tahoma"/>
          <w:lang w:val="es-CO"/>
        </w:rPr>
      </w:pPr>
    </w:p>
    <w:p w14:paraId="18FC3B1A" w14:textId="77777777" w:rsidR="008C5256" w:rsidRPr="008C5256" w:rsidRDefault="008C5256" w:rsidP="00F527BF">
      <w:pPr>
        <w:pStyle w:val="Prrafodelista"/>
        <w:numPr>
          <w:ilvl w:val="0"/>
          <w:numId w:val="9"/>
        </w:numPr>
        <w:jc w:val="both"/>
        <w:rPr>
          <w:rFonts w:ascii="Century Gothic" w:eastAsia="Arial MT" w:hAnsi="Century Gothic" w:cs="Tahoma"/>
          <w:sz w:val="22"/>
          <w:szCs w:val="22"/>
          <w:lang w:val="es-CO"/>
        </w:rPr>
      </w:pPr>
      <w:r w:rsidRPr="008C5256">
        <w:rPr>
          <w:rFonts w:ascii="Century Gothic" w:eastAsia="Arial MT" w:hAnsi="Century Gothic" w:cs="Tahoma"/>
          <w:b/>
          <w:sz w:val="22"/>
          <w:szCs w:val="22"/>
          <w:lang w:val="es-CO"/>
        </w:rPr>
        <w:t>Configuración de un error jurisdiccional de orden fáctico:</w:t>
      </w:r>
    </w:p>
    <w:p w14:paraId="1F741782" w14:textId="77777777" w:rsidR="008C5256" w:rsidRDefault="008C5256" w:rsidP="008C5256">
      <w:pPr>
        <w:jc w:val="both"/>
        <w:rPr>
          <w:rFonts w:ascii="Century Gothic" w:hAnsi="Century Gothic" w:cs="Tahoma"/>
          <w:lang w:val="es-CO"/>
        </w:rPr>
      </w:pPr>
    </w:p>
    <w:p w14:paraId="43B69F82" w14:textId="77777777" w:rsidR="008C5256" w:rsidRDefault="008C5256" w:rsidP="008C5256">
      <w:pPr>
        <w:jc w:val="both"/>
        <w:rPr>
          <w:rFonts w:ascii="Century Gothic" w:hAnsi="Century Gothic" w:cs="Tahoma"/>
          <w:lang w:val="es-CO"/>
        </w:rPr>
      </w:pPr>
      <w:r>
        <w:rPr>
          <w:rFonts w:ascii="Century Gothic" w:hAnsi="Century Gothic" w:cs="Tahoma"/>
          <w:lang w:val="es-CO"/>
        </w:rPr>
        <w:t>Específicamente se configura el error de orden fáctico con el Auto con radicado No. 2022-03-005350, “</w:t>
      </w:r>
      <w:r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Pr>
          <w:rFonts w:ascii="Century Gothic" w:hAnsi="Century Gothic" w:cs="Tahoma"/>
          <w:lang w:val="es-CO"/>
        </w:rPr>
        <w:t>” del 11 de mayo de 2022, se omitió el decreto y practica de pruebas necesarias para resolver el asunto conforme a derecho, en el sentido de que con ello se impidió la verificación de los hechos que configuraban las presuntas faltas a los deberes y funciones del liquidador, decidiendo un asunto que debía tramitarse como incidente a través de autos, lo que dista de la realidad.</w:t>
      </w:r>
    </w:p>
    <w:p w14:paraId="50120A6E" w14:textId="77777777" w:rsidR="008C5256" w:rsidRDefault="008C5256" w:rsidP="008C5256">
      <w:pPr>
        <w:jc w:val="both"/>
        <w:rPr>
          <w:rFonts w:ascii="Century Gothic" w:hAnsi="Century Gothic" w:cs="Tahoma"/>
          <w:lang w:val="es-CO"/>
        </w:rPr>
      </w:pPr>
    </w:p>
    <w:p w14:paraId="5F26ED62" w14:textId="77777777" w:rsidR="008C5256" w:rsidRPr="008C5256" w:rsidRDefault="008C5256" w:rsidP="00F527BF">
      <w:pPr>
        <w:pStyle w:val="Prrafodelista"/>
        <w:numPr>
          <w:ilvl w:val="0"/>
          <w:numId w:val="9"/>
        </w:numPr>
        <w:jc w:val="both"/>
        <w:rPr>
          <w:rFonts w:ascii="Century Gothic" w:eastAsia="Arial MT" w:hAnsi="Century Gothic" w:cs="Tahoma"/>
          <w:lang w:val="es-CO"/>
        </w:rPr>
      </w:pPr>
      <w:r>
        <w:rPr>
          <w:rFonts w:ascii="Century Gothic" w:eastAsia="Arial MT" w:hAnsi="Century Gothic" w:cs="Tahoma"/>
          <w:b/>
          <w:sz w:val="22"/>
          <w:szCs w:val="22"/>
          <w:lang w:val="es-CO"/>
        </w:rPr>
        <w:t>Configuración del error jurisdiccional de orden normativo:</w:t>
      </w:r>
    </w:p>
    <w:p w14:paraId="736DB71E" w14:textId="77777777" w:rsidR="008C5256" w:rsidRDefault="008C5256" w:rsidP="008C5256">
      <w:pPr>
        <w:jc w:val="both"/>
        <w:rPr>
          <w:rFonts w:ascii="Century Gothic" w:hAnsi="Century Gothic" w:cs="Tahoma"/>
          <w:lang w:val="es-CO"/>
        </w:rPr>
      </w:pPr>
    </w:p>
    <w:p w14:paraId="5316F707" w14:textId="77777777" w:rsidR="008C5256" w:rsidRDefault="008C5256" w:rsidP="008C5256">
      <w:pPr>
        <w:jc w:val="both"/>
        <w:rPr>
          <w:rFonts w:ascii="Century Gothic" w:hAnsi="Century Gothic" w:cs="Tahoma"/>
          <w:lang w:val="es-CO"/>
        </w:rPr>
      </w:pPr>
      <w:r>
        <w:rPr>
          <w:rFonts w:ascii="Century Gothic" w:hAnsi="Century Gothic" w:cs="Tahoma"/>
          <w:lang w:val="es-CO"/>
        </w:rPr>
        <w:t>Con la decisión contenida en el Auto con radicado No. 2022-03-005350, “</w:t>
      </w:r>
      <w:r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Pr>
          <w:rFonts w:ascii="Century Gothic" w:hAnsi="Century Gothic" w:cs="Tahoma"/>
          <w:lang w:val="es-CO"/>
        </w:rPr>
        <w:t>” del 11 de mayo de 2022, se configuró un error jurisdiccional normativo, por cuanto se dejó de aplicar una norma directa o indirectamente aplicable, pues la Superintendencia de Sociedades, no tomó en consideración lo siguiente:</w:t>
      </w:r>
    </w:p>
    <w:p w14:paraId="330FAE92" w14:textId="77777777" w:rsidR="008C5256" w:rsidRDefault="008C5256" w:rsidP="008C5256">
      <w:pPr>
        <w:jc w:val="both"/>
        <w:rPr>
          <w:rFonts w:ascii="Century Gothic" w:hAnsi="Century Gothic" w:cs="Tahoma"/>
          <w:lang w:val="es-CO"/>
        </w:rPr>
      </w:pPr>
    </w:p>
    <w:p w14:paraId="7BA8E782" w14:textId="77777777" w:rsid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Lo primero que debe advertirse, es que el Decreto 962 de 2009, señalado en el escrito presentado, no se encuentra vigente. Este Decreto, mediante el que se reglamentaron los artículos 5, numeral 9, 67 y 122 parcial de la Ley 1116 de 2006, sobre promotores y liquidadores, fue incorporado al DUR 1074 de 2015 y por lo tanto, derogado de acuerdo con el artículo 3.1.1. del anotado Decreto. Posteriormente, las normas relacionadas con auxiliares de la justifica, fueron modificadas por el Decreto 2130 de 2015, mediante el que se “</w:t>
      </w:r>
      <w:r w:rsidRPr="008C5256">
        <w:rPr>
          <w:rFonts w:ascii="Century Gothic" w:hAnsi="Century Gothic" w:cs="Tahoma"/>
          <w:i/>
          <w:iCs/>
          <w:lang w:val="es-CO"/>
        </w:rPr>
        <w:t>modifican y adicionan normas en materia de la lista de auxiliares de la justicia de la Superintendencia de Sociedades al Decreto Único Reglamentario del Sector Comercio, Industria y Turismo, Decreto 1074 de 2015 y se dictan otras disposiciones</w:t>
      </w:r>
      <w:r w:rsidRPr="008C5256">
        <w:rPr>
          <w:rFonts w:ascii="Century Gothic" w:hAnsi="Century Gothic" w:cs="Tahoma"/>
          <w:lang w:val="es-CO"/>
        </w:rPr>
        <w:t xml:space="preserve">”. </w:t>
      </w:r>
    </w:p>
    <w:p w14:paraId="19C66994" w14:textId="77777777" w:rsidR="008C5256" w:rsidRDefault="008C5256" w:rsidP="008C5256">
      <w:pPr>
        <w:jc w:val="both"/>
        <w:rPr>
          <w:rFonts w:ascii="Century Gothic" w:hAnsi="Century Gothic" w:cs="Tahoma"/>
          <w:lang w:val="es-CO"/>
        </w:rPr>
      </w:pPr>
    </w:p>
    <w:p w14:paraId="6BCD1646" w14:textId="77777777" w:rsid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Es preciso señalar que de acuerdo con el artículo 9.1 del Decreto 4334 de 2008, uno de los efectos del inicio del proceso de intervención judicial, es la designación de un interventor, quien tendrá la representación legal de las personas jurídicas intervenidas, la administración de los bienes de las personas naturales, así como cualquier otra gestión no asignada a otra autoridad.</w:t>
      </w:r>
    </w:p>
    <w:p w14:paraId="35DC6E85" w14:textId="77777777" w:rsidR="008C5256" w:rsidRDefault="008C5256" w:rsidP="008C5256">
      <w:pPr>
        <w:jc w:val="both"/>
        <w:rPr>
          <w:rFonts w:ascii="Century Gothic" w:hAnsi="Century Gothic" w:cs="Tahoma"/>
          <w:lang w:val="es-CO"/>
        </w:rPr>
      </w:pPr>
    </w:p>
    <w:p w14:paraId="6488BE27" w14:textId="43673EF0" w:rsid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 xml:space="preserve">Los interventores son auxiliares de la justicia, es decir, no son funcionarios de la Superintendencia de Sociedades, ni el </w:t>
      </w:r>
      <w:r w:rsidR="009A6FE1">
        <w:rPr>
          <w:rFonts w:ascii="Century Gothic" w:hAnsi="Century Gothic" w:cs="Tahoma"/>
          <w:lang w:val="es-CO"/>
        </w:rPr>
        <w:t>j</w:t>
      </w:r>
      <w:r w:rsidRPr="008C5256">
        <w:rPr>
          <w:rFonts w:ascii="Century Gothic" w:hAnsi="Century Gothic" w:cs="Tahoma"/>
          <w:lang w:val="es-CO"/>
        </w:rPr>
        <w:t xml:space="preserve">uez es su superior jerárquico. En realidad, tienen frente al </w:t>
      </w:r>
      <w:r w:rsidR="002B61D9">
        <w:rPr>
          <w:rFonts w:ascii="Century Gothic" w:hAnsi="Century Gothic" w:cs="Tahoma"/>
          <w:lang w:val="es-CO"/>
        </w:rPr>
        <w:t>j</w:t>
      </w:r>
      <w:r w:rsidRPr="008C5256">
        <w:rPr>
          <w:rFonts w:ascii="Century Gothic" w:hAnsi="Century Gothic" w:cs="Tahoma"/>
          <w:lang w:val="es-CO"/>
        </w:rPr>
        <w:t>uez la misma posición que cualquier otro auxiliar de la justicia, como un perito.</w:t>
      </w:r>
    </w:p>
    <w:p w14:paraId="6CF3D633" w14:textId="77777777" w:rsidR="008C5256" w:rsidRDefault="008C5256" w:rsidP="008C5256">
      <w:pPr>
        <w:jc w:val="both"/>
        <w:rPr>
          <w:rFonts w:ascii="Century Gothic" w:hAnsi="Century Gothic" w:cs="Tahoma"/>
          <w:lang w:val="es-CO"/>
        </w:rPr>
      </w:pPr>
    </w:p>
    <w:p w14:paraId="616D6247" w14:textId="77777777" w:rsid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El régimen de los auxiliares de la justicia, se encuentra en el DUR 1074 de 2015, que establece el régimen de selección y designación, sus deberes y obligaciones, así como las causales de remoción, entre otros asuntos.</w:t>
      </w:r>
    </w:p>
    <w:p w14:paraId="3C603275" w14:textId="77777777" w:rsidR="008C5256" w:rsidRDefault="008C5256" w:rsidP="008C5256">
      <w:pPr>
        <w:jc w:val="both"/>
        <w:rPr>
          <w:rFonts w:ascii="Century Gothic" w:hAnsi="Century Gothic" w:cs="Tahoma"/>
          <w:lang w:val="es-CO"/>
        </w:rPr>
      </w:pPr>
    </w:p>
    <w:p w14:paraId="517C8539" w14:textId="77777777" w:rsidR="008C5256" w:rsidRPr="008C5256" w:rsidRDefault="008C5256" w:rsidP="00D818B4">
      <w:pPr>
        <w:ind w:left="708" w:right="701"/>
        <w:jc w:val="both"/>
        <w:rPr>
          <w:rFonts w:ascii="Century Gothic" w:hAnsi="Century Gothic" w:cs="Tahoma"/>
          <w:lang w:val="es-CO"/>
        </w:rPr>
      </w:pPr>
      <w:r>
        <w:rPr>
          <w:rFonts w:ascii="Century Gothic" w:hAnsi="Century Gothic" w:cs="Tahoma"/>
          <w:lang w:val="es-CO"/>
        </w:rPr>
        <w:t xml:space="preserve">.- </w:t>
      </w:r>
      <w:r w:rsidRPr="008C5256">
        <w:rPr>
          <w:rFonts w:ascii="Century Gothic" w:hAnsi="Century Gothic" w:cs="Tahoma"/>
          <w:lang w:val="es-CO"/>
        </w:rPr>
        <w:t xml:space="preserve">Así, el artículo 2.2.2.11.4.1 del Decreto 1074 de 2015 establece una serie de causales de incumplimiento de las funciones del auxiliar de la justicia. El último inciso de tal disposición determina que </w:t>
      </w:r>
      <w:r w:rsidRPr="008C5256">
        <w:rPr>
          <w:rFonts w:ascii="Century Gothic" w:hAnsi="Century Gothic" w:cs="Tahoma"/>
          <w:i/>
          <w:iCs/>
          <w:lang w:val="es-CO"/>
        </w:rPr>
        <w:t xml:space="preserve">“El auxiliar de la justicia que incurra en una causal de incumplimiento, será removido del cargo de promotor, liquidador o agente interventor, será sustituido en el proceso de </w:t>
      </w:r>
      <w:r w:rsidRPr="008C5256">
        <w:rPr>
          <w:rFonts w:ascii="Century Gothic" w:hAnsi="Century Gothic" w:cs="Tahoma"/>
          <w:i/>
          <w:iCs/>
          <w:lang w:val="es-CO"/>
        </w:rPr>
        <w:lastRenderedPageBreak/>
        <w:t xml:space="preserve">insolvencia y excluido de la lista”. </w:t>
      </w:r>
      <w:r w:rsidRPr="008C5256">
        <w:rPr>
          <w:rFonts w:ascii="Century Gothic" w:hAnsi="Century Gothic" w:cs="Tahoma"/>
          <w:lang w:val="es-CO"/>
        </w:rPr>
        <w:t xml:space="preserve">Así, la remoción del interventor, tratándose de una sanción por su incumplimiento, solo podrá ordenarse cuando se acredite la ocurrencia de alguna de las causales allí determinadas. </w:t>
      </w:r>
    </w:p>
    <w:p w14:paraId="310FC9EE" w14:textId="77777777" w:rsidR="00D818B4" w:rsidRDefault="00D818B4" w:rsidP="00D818B4">
      <w:pPr>
        <w:jc w:val="both"/>
        <w:rPr>
          <w:rFonts w:ascii="Century Gothic" w:hAnsi="Century Gothic" w:cs="Tahoma"/>
          <w:lang w:val="es-CO"/>
        </w:rPr>
      </w:pPr>
    </w:p>
    <w:p w14:paraId="45C26A5B" w14:textId="77777777"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 xml:space="preserve">El Decreto 4334 de 2008, que regula el proceso de intervención judicial, no previó cuerda procesal ex profeso para tramitar las solicitudes de remoción de interventores en los procesos de intervención judicial. </w:t>
      </w:r>
    </w:p>
    <w:p w14:paraId="4E76F60E" w14:textId="77777777" w:rsidR="00D818B4" w:rsidRDefault="00D818B4" w:rsidP="00D818B4">
      <w:pPr>
        <w:jc w:val="both"/>
        <w:rPr>
          <w:rFonts w:ascii="Century Gothic" w:hAnsi="Century Gothic" w:cs="Tahoma"/>
          <w:lang w:val="es-CO"/>
        </w:rPr>
      </w:pPr>
    </w:p>
    <w:p w14:paraId="44CA5E7D" w14:textId="77777777"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 xml:space="preserve">Ahora bien, el artículo 5.8 de la Ley 1116 de 2006, aplicable al proceso de intervención en virtud de la remisión establecida en el artículo 15 del Decreto 4334 de 2008, otorga al juez de intervención la facultad de decretar la sustitución del interventor, de oficio o a petición de parte, con ocasión del incumplimiento de sus funciones previstas en la ley o de las órdenes del Juez. </w:t>
      </w:r>
    </w:p>
    <w:p w14:paraId="2297AE5D" w14:textId="77777777" w:rsidR="00D818B4" w:rsidRDefault="00D818B4" w:rsidP="00D818B4">
      <w:pPr>
        <w:jc w:val="both"/>
        <w:rPr>
          <w:rFonts w:ascii="Century Gothic" w:hAnsi="Century Gothic" w:cs="Tahoma"/>
          <w:lang w:val="es-CO"/>
        </w:rPr>
      </w:pPr>
    </w:p>
    <w:p w14:paraId="3008EE2B" w14:textId="6AE65959"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 xml:space="preserve">El artículo 2.2.2.9.3.2 del DUR 1074 de 2015, establecía en su numeral 8, que el relevo de auxiliar y su exclusión de la lista, en los casos en los que procede, eran cuestiones que no seguían el trámite incidental. Sin embargo, la norma fue derogada por el artículo 49 del </w:t>
      </w:r>
      <w:r w:rsidR="00B57AE4">
        <w:rPr>
          <w:rFonts w:ascii="Century Gothic" w:hAnsi="Century Gothic" w:cs="Tahoma"/>
          <w:lang w:val="es-CO"/>
        </w:rPr>
        <w:t>D</w:t>
      </w:r>
      <w:r w:rsidRPr="00D818B4">
        <w:rPr>
          <w:rFonts w:ascii="Century Gothic" w:hAnsi="Century Gothic" w:cs="Tahoma"/>
          <w:lang w:val="es-CO"/>
        </w:rPr>
        <w:t xml:space="preserve">ecreto 65 de 2020. </w:t>
      </w:r>
    </w:p>
    <w:p w14:paraId="61A5ACEE" w14:textId="77777777" w:rsidR="00D818B4" w:rsidRDefault="00D818B4" w:rsidP="00D818B4">
      <w:pPr>
        <w:jc w:val="both"/>
        <w:rPr>
          <w:rFonts w:ascii="Century Gothic" w:hAnsi="Century Gothic" w:cs="Tahoma"/>
          <w:lang w:val="es-CO"/>
        </w:rPr>
      </w:pPr>
    </w:p>
    <w:p w14:paraId="2BE800FA" w14:textId="7AA4263D"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Por su parte, el artículo 8 del Estatuto de Insolvencia Empresarial determina que las cuestiones accesorias que se susciten dentro del proceso de interven</w:t>
      </w:r>
      <w:r w:rsidR="00A37037">
        <w:rPr>
          <w:rFonts w:ascii="Century Gothic" w:hAnsi="Century Gothic" w:cs="Tahoma"/>
          <w:lang w:val="es-CO"/>
        </w:rPr>
        <w:t>ción, deben resolverse siguiendo</w:t>
      </w:r>
      <w:r w:rsidRPr="00D818B4">
        <w:rPr>
          <w:rFonts w:ascii="Century Gothic" w:hAnsi="Century Gothic" w:cs="Tahoma"/>
          <w:lang w:val="es-CO"/>
        </w:rPr>
        <w:t xml:space="preserve"> las disposiciones para los incidentes del Código General del Proceso. De esta forma, ante la inexistencia de una norma que regule su trámite, la remoción del interventor por incumplimiento de sus funciones, se ha considerado como un hecho accesorio al proceso, en cuanto escapa del objeto del mismo, por lo que debe resolverse como un incidente en los términos de la norma señalada.</w:t>
      </w:r>
    </w:p>
    <w:p w14:paraId="7E7A3A7A" w14:textId="77777777" w:rsidR="00D818B4" w:rsidRDefault="00D818B4" w:rsidP="00D818B4">
      <w:pPr>
        <w:jc w:val="both"/>
        <w:rPr>
          <w:rFonts w:ascii="Century Gothic" w:hAnsi="Century Gothic" w:cs="Tahoma"/>
          <w:lang w:val="es-CO"/>
        </w:rPr>
      </w:pPr>
    </w:p>
    <w:p w14:paraId="32225B59" w14:textId="77777777" w:rsid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En este orden de ideas, el artículo 127 del C.G.P, dispone que se tramitarán como incidentes, los asuntos que la ley expresamente señale. En este sentido, el artículo 129 de la norma procesal, señala que los escritos relacionados con trámites incidentales, cuando sean promovidos fuera de audiencia, deben ser puestos en traslado por 3 días, vencidos los cuales el Juez convocará a audiencia para resolver, mediante un auto en el que decretará las pruebas que considere para resolver el asunto sometido al incidente.</w:t>
      </w:r>
    </w:p>
    <w:p w14:paraId="6B173714" w14:textId="77777777" w:rsidR="00D818B4" w:rsidRDefault="00D818B4" w:rsidP="00D818B4">
      <w:pPr>
        <w:jc w:val="both"/>
        <w:rPr>
          <w:rFonts w:ascii="Century Gothic" w:hAnsi="Century Gothic" w:cs="Tahoma"/>
          <w:lang w:val="es-CO"/>
        </w:rPr>
      </w:pPr>
    </w:p>
    <w:p w14:paraId="74A8DA9F" w14:textId="77777777" w:rsidR="00D818B4" w:rsidRPr="00D818B4" w:rsidRDefault="00D818B4" w:rsidP="00D818B4">
      <w:pPr>
        <w:ind w:left="708" w:right="701"/>
        <w:jc w:val="both"/>
        <w:rPr>
          <w:rFonts w:ascii="Century Gothic" w:hAnsi="Century Gothic" w:cs="Tahoma"/>
          <w:lang w:val="es-CO"/>
        </w:rPr>
      </w:pPr>
      <w:r>
        <w:rPr>
          <w:rFonts w:ascii="Century Gothic" w:hAnsi="Century Gothic" w:cs="Tahoma"/>
          <w:lang w:val="es-CO"/>
        </w:rPr>
        <w:t xml:space="preserve">.- </w:t>
      </w:r>
      <w:r w:rsidRPr="00D818B4">
        <w:rPr>
          <w:rFonts w:ascii="Century Gothic" w:hAnsi="Century Gothic" w:cs="Tahoma"/>
          <w:lang w:val="es-CO"/>
        </w:rPr>
        <w:t xml:space="preserve">De igual forma, en virtud de lo previsto en el mismo artículo 129 del Código General del Proceso, tratándose de incidentes cuyo propósito sea la remoción del auxiliar de la justicia, el solicitante deberá exponer claramente i) la causal que pretende hacer valer para la sustitución del interventor; ii) los hechos que acreditarían que el interventor realizó alguna de las conductas definidas en el artículo 2.2.2.4.1 del Decreto 1074 de 2015; y iii) las pruebas que pretende hacer valer para sustentar su solicitud. </w:t>
      </w:r>
    </w:p>
    <w:p w14:paraId="0CD7F662" w14:textId="77777777" w:rsidR="00D818B4" w:rsidRPr="00D818B4" w:rsidRDefault="00D818B4" w:rsidP="00D818B4">
      <w:pPr>
        <w:jc w:val="both"/>
        <w:rPr>
          <w:rFonts w:ascii="Century Gothic" w:hAnsi="Century Gothic" w:cs="Tahoma"/>
          <w:lang w:val="es-CO"/>
        </w:rPr>
      </w:pPr>
      <w:r w:rsidRPr="00D818B4">
        <w:rPr>
          <w:rFonts w:ascii="Century Gothic" w:hAnsi="Century Gothic" w:cs="Tahoma"/>
          <w:lang w:val="es-CO"/>
        </w:rPr>
        <w:t xml:space="preserve"> </w:t>
      </w:r>
    </w:p>
    <w:p w14:paraId="5413C160" w14:textId="77777777" w:rsidR="00D818B4" w:rsidRDefault="00D818B4" w:rsidP="00D818B4">
      <w:pPr>
        <w:jc w:val="both"/>
        <w:rPr>
          <w:rFonts w:ascii="Century Gothic" w:hAnsi="Century Gothic" w:cs="Tahoma"/>
          <w:lang w:val="es-CO"/>
        </w:rPr>
      </w:pPr>
      <w:r>
        <w:rPr>
          <w:rFonts w:ascii="Century Gothic" w:hAnsi="Century Gothic" w:cs="Tahoma"/>
          <w:lang w:val="es-CO"/>
        </w:rPr>
        <w:t>Así las cosas, la aplicación adecuada de las disposiciones en cita, habría evitado la configuración del error judicial, y con ello se garantizaría el debido proceso y la recta administración de justicia que le asisten a mi mandante, así como se habría evitado la configuración de perjuicios de índole material e inmaterial con que ha debido acarrear mi mandante.</w:t>
      </w:r>
    </w:p>
    <w:p w14:paraId="14EE6D6C" w14:textId="77777777" w:rsidR="00251906" w:rsidRDefault="00251906" w:rsidP="00D818B4">
      <w:pPr>
        <w:jc w:val="both"/>
        <w:rPr>
          <w:rFonts w:ascii="Century Gothic" w:hAnsi="Century Gothic" w:cs="Tahoma"/>
          <w:lang w:val="es-CO"/>
        </w:rPr>
      </w:pPr>
    </w:p>
    <w:p w14:paraId="19E89124" w14:textId="21FE9535" w:rsidR="00251906" w:rsidRDefault="00251906" w:rsidP="00D818B4">
      <w:pPr>
        <w:jc w:val="both"/>
        <w:rPr>
          <w:rFonts w:ascii="Century Gothic" w:hAnsi="Century Gothic" w:cs="Tahoma"/>
          <w:lang w:val="es-CO"/>
        </w:rPr>
      </w:pPr>
      <w:r w:rsidRPr="00251906">
        <w:rPr>
          <w:rFonts w:ascii="Century Gothic" w:hAnsi="Century Gothic" w:cs="Tahoma"/>
          <w:lang w:val="es-CO"/>
        </w:rPr>
        <w:t xml:space="preserve">Se colige entonces que pese a la autonomía </w:t>
      </w:r>
      <w:r>
        <w:rPr>
          <w:rFonts w:ascii="Century Gothic" w:hAnsi="Century Gothic" w:cs="Tahoma"/>
          <w:lang w:val="es-CO"/>
        </w:rPr>
        <w:t>de la Superintendencia de Sociedades – Intendencia Regional Cali,</w:t>
      </w:r>
      <w:r w:rsidRPr="00251906">
        <w:rPr>
          <w:rFonts w:ascii="Century Gothic" w:hAnsi="Century Gothic" w:cs="Tahoma"/>
          <w:lang w:val="es-CO"/>
        </w:rPr>
        <w:t xml:space="preserve"> para elegir las normas jurídicas pertinentes al caso concreto, para determinar su forma de aplicación, y para establecer la manera de interpretar e integrar el ordenamiento jurídico, no le era dable en esta labor, apartarse de las </w:t>
      </w:r>
      <w:r w:rsidRPr="00251906">
        <w:rPr>
          <w:rFonts w:ascii="Century Gothic" w:hAnsi="Century Gothic" w:cs="Tahoma"/>
          <w:lang w:val="es-CO"/>
        </w:rPr>
        <w:lastRenderedPageBreak/>
        <w:t xml:space="preserve">disposiciones consagradas en la </w:t>
      </w:r>
      <w:r w:rsidR="009D2604">
        <w:rPr>
          <w:rFonts w:ascii="Century Gothic" w:hAnsi="Century Gothic" w:cs="Tahoma"/>
          <w:lang w:val="es-CO"/>
        </w:rPr>
        <w:t>c</w:t>
      </w:r>
      <w:r w:rsidRPr="00251906">
        <w:rPr>
          <w:rFonts w:ascii="Century Gothic" w:hAnsi="Century Gothic" w:cs="Tahoma"/>
          <w:lang w:val="es-CO"/>
        </w:rPr>
        <w:t>onstitución o la ley. En el presente caso, ante una decisión carente de fundamento jurídico, dictada según e</w:t>
      </w:r>
      <w:r>
        <w:rPr>
          <w:rFonts w:ascii="Century Gothic" w:hAnsi="Century Gothic" w:cs="Tahoma"/>
          <w:lang w:val="es-CO"/>
        </w:rPr>
        <w:t>l capricho del operador</w:t>
      </w:r>
      <w:r w:rsidRPr="00251906">
        <w:rPr>
          <w:rFonts w:ascii="Century Gothic" w:hAnsi="Century Gothic" w:cs="Tahoma"/>
          <w:lang w:val="es-CO"/>
        </w:rPr>
        <w:t xml:space="preserve">, </w:t>
      </w:r>
      <w:r>
        <w:rPr>
          <w:rFonts w:ascii="Century Gothic" w:hAnsi="Century Gothic" w:cs="Tahoma"/>
          <w:lang w:val="es-CO"/>
        </w:rPr>
        <w:t>ha desconocido</w:t>
      </w:r>
      <w:r w:rsidRPr="00251906">
        <w:rPr>
          <w:rFonts w:ascii="Century Gothic" w:hAnsi="Century Gothic" w:cs="Tahoma"/>
          <w:lang w:val="es-CO"/>
        </w:rPr>
        <w:t xml:space="preserve"> la ley aplicable y </w:t>
      </w:r>
      <w:r>
        <w:rPr>
          <w:rFonts w:ascii="Century Gothic" w:hAnsi="Century Gothic" w:cs="Tahoma"/>
          <w:lang w:val="es-CO"/>
        </w:rPr>
        <w:t>ha trascendido</w:t>
      </w:r>
      <w:r w:rsidRPr="00251906">
        <w:rPr>
          <w:rFonts w:ascii="Century Gothic" w:hAnsi="Century Gothic" w:cs="Tahoma"/>
          <w:lang w:val="es-CO"/>
        </w:rPr>
        <w:t xml:space="preserve"> al nivel constitucional en tanto comprom</w:t>
      </w:r>
      <w:r>
        <w:rPr>
          <w:rFonts w:ascii="Century Gothic" w:hAnsi="Century Gothic" w:cs="Tahoma"/>
          <w:lang w:val="es-CO"/>
        </w:rPr>
        <w:t>etió un daño antijurídico a la d</w:t>
      </w:r>
      <w:r w:rsidRPr="00251906">
        <w:rPr>
          <w:rFonts w:ascii="Century Gothic" w:hAnsi="Century Gothic" w:cs="Tahoma"/>
          <w:lang w:val="es-CO"/>
        </w:rPr>
        <w:t>emandante con la decisión.</w:t>
      </w:r>
    </w:p>
    <w:p w14:paraId="0A14E1CE" w14:textId="77777777" w:rsidR="00D818B4" w:rsidRDefault="00D818B4" w:rsidP="00D818B4">
      <w:pPr>
        <w:jc w:val="both"/>
        <w:rPr>
          <w:rFonts w:ascii="Century Gothic" w:hAnsi="Century Gothic" w:cs="Tahoma"/>
          <w:lang w:val="es-CO"/>
        </w:rPr>
      </w:pPr>
    </w:p>
    <w:p w14:paraId="5E275980" w14:textId="77777777" w:rsidR="00251906" w:rsidRDefault="00251906" w:rsidP="00D818B4">
      <w:pPr>
        <w:jc w:val="both"/>
        <w:rPr>
          <w:rFonts w:ascii="Century Gothic" w:hAnsi="Century Gothic" w:cs="Tahoma"/>
          <w:lang w:val="es-CO"/>
        </w:rPr>
      </w:pPr>
      <w:r w:rsidRPr="00251906">
        <w:rPr>
          <w:rFonts w:ascii="Century Gothic" w:hAnsi="Century Gothic" w:cs="Tahoma"/>
          <w:lang w:val="es-CO"/>
        </w:rPr>
        <w:t xml:space="preserve">En conclusión, </w:t>
      </w:r>
      <w:r>
        <w:rPr>
          <w:rFonts w:ascii="Century Gothic" w:hAnsi="Century Gothic" w:cs="Tahoma"/>
          <w:lang w:val="es-CO"/>
        </w:rPr>
        <w:t>la Superintendencia de Sociedades – Intendencia Regional Cali,</w:t>
      </w:r>
      <w:r w:rsidRPr="00251906">
        <w:rPr>
          <w:rFonts w:ascii="Century Gothic" w:hAnsi="Century Gothic" w:cs="Tahoma"/>
          <w:lang w:val="es-CO"/>
        </w:rPr>
        <w:t xml:space="preserve"> incurrió en error jurisdiccional de conformidad con el artículo 66 de la</w:t>
      </w:r>
      <w:r>
        <w:rPr>
          <w:rFonts w:ascii="Century Gothic" w:hAnsi="Century Gothic" w:cs="Tahoma"/>
          <w:lang w:val="es-CO"/>
        </w:rPr>
        <w:t xml:space="preserve"> Ley 270 de 1996 al proferir el Auto con radicado No. 2022-03-005350, “</w:t>
      </w:r>
      <w:r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Pr>
          <w:rFonts w:ascii="Century Gothic" w:hAnsi="Century Gothic" w:cs="Tahoma"/>
          <w:lang w:val="es-CO"/>
        </w:rPr>
        <w:t>” del 11 de mayo de 2022,</w:t>
      </w:r>
      <w:r w:rsidRPr="00251906">
        <w:rPr>
          <w:rFonts w:ascii="Century Gothic" w:hAnsi="Century Gothic" w:cs="Tahoma"/>
          <w:lang w:val="es-CO"/>
        </w:rPr>
        <w:t xml:space="preserve"> desconociendo la ley aplicable y trascendiendo al nivel constitucional en tanto comprometió un daño antijurídico</w:t>
      </w:r>
      <w:r>
        <w:rPr>
          <w:rFonts w:ascii="Century Gothic" w:hAnsi="Century Gothic" w:cs="Tahoma"/>
          <w:lang w:val="es-CO"/>
        </w:rPr>
        <w:t xml:space="preserve"> a la d</w:t>
      </w:r>
      <w:r w:rsidRPr="00251906">
        <w:rPr>
          <w:rFonts w:ascii="Century Gothic" w:hAnsi="Century Gothic" w:cs="Tahoma"/>
          <w:lang w:val="es-CO"/>
        </w:rPr>
        <w:t>emandante con la decisión.</w:t>
      </w:r>
    </w:p>
    <w:p w14:paraId="3D0A05D9" w14:textId="77777777" w:rsidR="00AF523D" w:rsidRDefault="00AF523D" w:rsidP="00D818B4">
      <w:pPr>
        <w:jc w:val="both"/>
        <w:rPr>
          <w:rFonts w:ascii="Century Gothic" w:hAnsi="Century Gothic" w:cs="Tahoma"/>
          <w:lang w:val="es-CO"/>
        </w:rPr>
      </w:pPr>
    </w:p>
    <w:p w14:paraId="26A17026" w14:textId="77777777" w:rsidR="00D818B4" w:rsidRPr="00D818B4" w:rsidRDefault="00D818B4" w:rsidP="00D818B4">
      <w:pPr>
        <w:jc w:val="both"/>
        <w:rPr>
          <w:rFonts w:ascii="Century Gothic" w:hAnsi="Century Gothic" w:cs="Tahoma"/>
          <w:lang w:val="es-CO"/>
        </w:rPr>
      </w:pPr>
      <w:r w:rsidRPr="00D818B4">
        <w:rPr>
          <w:rFonts w:ascii="Century Gothic" w:hAnsi="Century Gothic" w:cs="Tahoma"/>
          <w:lang w:val="es-CO"/>
        </w:rPr>
        <w:t xml:space="preserve"> </w:t>
      </w:r>
    </w:p>
    <w:p w14:paraId="1A5823D2" w14:textId="77777777" w:rsidR="00D818B4" w:rsidRDefault="001C5BA9" w:rsidP="00F527BF">
      <w:pPr>
        <w:pStyle w:val="Prrafodelista"/>
        <w:numPr>
          <w:ilvl w:val="0"/>
          <w:numId w:val="5"/>
        </w:numPr>
        <w:jc w:val="both"/>
        <w:rPr>
          <w:rFonts w:ascii="Century Gothic" w:hAnsi="Century Gothic" w:cs="Tahoma"/>
          <w:b/>
          <w:sz w:val="22"/>
          <w:szCs w:val="22"/>
          <w:lang w:val="es-CO"/>
        </w:rPr>
      </w:pPr>
      <w:r w:rsidRPr="001C5BA9">
        <w:rPr>
          <w:rFonts w:ascii="Century Gothic" w:hAnsi="Century Gothic" w:cs="Tahoma"/>
          <w:b/>
          <w:sz w:val="22"/>
          <w:szCs w:val="22"/>
          <w:lang w:val="es-CO"/>
        </w:rPr>
        <w:t>CONFIGURACIÓN DEL DAÑO ANTIJURÍDICO</w:t>
      </w:r>
    </w:p>
    <w:p w14:paraId="4262E3BD" w14:textId="77777777" w:rsidR="001C5BA9" w:rsidRDefault="001C5BA9" w:rsidP="001C5BA9">
      <w:pPr>
        <w:jc w:val="both"/>
        <w:rPr>
          <w:rFonts w:ascii="Century Gothic" w:hAnsi="Century Gothic" w:cs="Tahoma"/>
          <w:b/>
          <w:lang w:val="es-CO"/>
        </w:rPr>
      </w:pPr>
    </w:p>
    <w:p w14:paraId="66C7A931" w14:textId="77777777" w:rsidR="001C5BA9" w:rsidRDefault="001C5BA9" w:rsidP="001C5BA9">
      <w:pPr>
        <w:jc w:val="both"/>
        <w:rPr>
          <w:rFonts w:ascii="Century Gothic" w:hAnsi="Century Gothic" w:cs="Tahoma"/>
          <w:lang w:val="es-CO"/>
        </w:rPr>
      </w:pPr>
      <w:r w:rsidRPr="001C5BA9">
        <w:rPr>
          <w:rFonts w:ascii="Century Gothic" w:hAnsi="Century Gothic" w:cs="Tahoma"/>
          <w:lang w:val="es-CO"/>
        </w:rPr>
        <w:t xml:space="preserve">El primer elemento que se debe observar en el análisis de la responsabilidad Estatal es la existencia del daño, el cual, además, debe ser antijurídico, dado que constituye un elemento necesario de la responsabilidad, toda vez que, como lo ha reiterado la jurisprudencia del Consejo de Estado, </w:t>
      </w:r>
      <w:r w:rsidRPr="001C5BA9">
        <w:rPr>
          <w:rFonts w:ascii="Century Gothic" w:hAnsi="Century Gothic" w:cs="Tahoma"/>
          <w:i/>
          <w:iCs/>
          <w:lang w:val="es-CO"/>
        </w:rPr>
        <w:t xml:space="preserve">“sin daño no hay responsabilidad” </w:t>
      </w:r>
      <w:r w:rsidRPr="001C5BA9">
        <w:rPr>
          <w:rFonts w:ascii="Century Gothic" w:hAnsi="Century Gothic" w:cs="Tahoma"/>
          <w:lang w:val="es-CO"/>
        </w:rPr>
        <w:t>y solo ante su acreditación hay lugar a explorar la posibilidad de su imputación al Estado. En este sentido la Sala ha discurrido así:</w:t>
      </w:r>
    </w:p>
    <w:p w14:paraId="14B2AD59" w14:textId="77777777" w:rsidR="001C5BA9" w:rsidRDefault="001C5BA9" w:rsidP="001C5BA9">
      <w:pPr>
        <w:jc w:val="both"/>
        <w:rPr>
          <w:rFonts w:ascii="Century Gothic" w:hAnsi="Century Gothic" w:cs="Tahoma"/>
          <w:lang w:val="es-CO"/>
        </w:rPr>
      </w:pPr>
    </w:p>
    <w:p w14:paraId="25B0DC11" w14:textId="55AFFCE4" w:rsidR="001C5BA9" w:rsidRPr="00C177DB" w:rsidRDefault="001C5BA9" w:rsidP="00827F04">
      <w:pPr>
        <w:ind w:left="708" w:right="701"/>
        <w:jc w:val="both"/>
        <w:rPr>
          <w:rFonts w:ascii="Century Gothic" w:hAnsi="Century Gothic" w:cs="Tahoma"/>
          <w:sz w:val="20"/>
          <w:szCs w:val="20"/>
          <w:lang w:val="es-CO"/>
        </w:rPr>
      </w:pPr>
      <w:r w:rsidRPr="00C177DB">
        <w:rPr>
          <w:rFonts w:ascii="Century Gothic" w:hAnsi="Century Gothic" w:cs="Tahoma"/>
          <w:sz w:val="20"/>
          <w:szCs w:val="20"/>
          <w:lang w:val="es-CO"/>
        </w:rPr>
        <w:t>Porque a términos del art. 90 de la Constitución Política vigente, es más adecuado que el juez aborde, en primer lugar, el examen del daño antijurídico, para, en un momento posterior explorar la imputación del mismo al Estado o a una persona de derecho público.</w:t>
      </w:r>
    </w:p>
    <w:p w14:paraId="0CF73C84" w14:textId="77777777" w:rsidR="001C5BA9" w:rsidRPr="00C177DB" w:rsidRDefault="001C5BA9" w:rsidP="001C5BA9">
      <w:pPr>
        <w:jc w:val="both"/>
        <w:rPr>
          <w:rFonts w:ascii="Century Gothic" w:hAnsi="Century Gothic" w:cs="Tahoma"/>
          <w:sz w:val="20"/>
          <w:szCs w:val="20"/>
          <w:lang w:val="es-CO"/>
        </w:rPr>
      </w:pPr>
    </w:p>
    <w:p w14:paraId="03D93A3F" w14:textId="31F414CA" w:rsidR="001C5BA9" w:rsidRPr="00C177DB" w:rsidRDefault="001C5BA9" w:rsidP="00827F04">
      <w:pPr>
        <w:ind w:left="708" w:right="701"/>
        <w:jc w:val="both"/>
        <w:rPr>
          <w:rFonts w:ascii="Century Gothic" w:hAnsi="Century Gothic" w:cs="Tahoma"/>
          <w:sz w:val="20"/>
          <w:szCs w:val="20"/>
          <w:lang w:val="es-CO"/>
        </w:rPr>
      </w:pPr>
      <w:r w:rsidRPr="00C177DB">
        <w:rPr>
          <w:rFonts w:ascii="Century Gothic" w:hAnsi="Century Gothic" w:cs="Tahoma"/>
          <w:sz w:val="20"/>
          <w:szCs w:val="20"/>
          <w:lang w:val="es-CO"/>
        </w:rPr>
        <w:t xml:space="preserve">La </w:t>
      </w:r>
      <w:proofErr w:type="spellStart"/>
      <w:r w:rsidRPr="00C177DB">
        <w:rPr>
          <w:rFonts w:ascii="Century Gothic" w:hAnsi="Century Gothic" w:cs="Tahoma"/>
          <w:sz w:val="20"/>
          <w:szCs w:val="20"/>
          <w:lang w:val="es-CO"/>
        </w:rPr>
        <w:t>objetivización</w:t>
      </w:r>
      <w:proofErr w:type="spellEnd"/>
      <w:r w:rsidRPr="00C177DB">
        <w:rPr>
          <w:rFonts w:ascii="Century Gothic" w:hAnsi="Century Gothic" w:cs="Tahoma"/>
          <w:sz w:val="20"/>
          <w:szCs w:val="20"/>
          <w:lang w:val="es-CO"/>
        </w:rPr>
        <w:t xml:space="preserve"> del daño indemnizable que surge de este precepto constitucional, como lo ha repetido en diversas oportunidades la Sala, sugiere que, en lógica estricta, el juez se ocupe inicialmente de establecer la existencia del daño indemnizable que hoy es objetivamente comprobable y cuya inexistencia determina el fracaso ineluctable de la pretensión</w:t>
      </w:r>
      <w:r w:rsidRPr="00C177DB">
        <w:rPr>
          <w:rStyle w:val="Refdenotaalpie"/>
          <w:rFonts w:ascii="Century Gothic" w:hAnsi="Century Gothic" w:cs="Tahoma"/>
          <w:sz w:val="20"/>
          <w:szCs w:val="20"/>
          <w:lang w:val="es-CO"/>
        </w:rPr>
        <w:footnoteReference w:id="8"/>
      </w:r>
      <w:r w:rsidRPr="00C177DB">
        <w:rPr>
          <w:rFonts w:ascii="Century Gothic" w:hAnsi="Century Gothic" w:cs="Tahoma"/>
          <w:sz w:val="20"/>
          <w:szCs w:val="20"/>
          <w:lang w:val="es-CO"/>
        </w:rPr>
        <w:t>.</w:t>
      </w:r>
    </w:p>
    <w:p w14:paraId="3F9C2F65" w14:textId="77777777" w:rsidR="00D818B4" w:rsidRPr="00D818B4" w:rsidRDefault="00D818B4" w:rsidP="00D818B4">
      <w:pPr>
        <w:jc w:val="both"/>
        <w:rPr>
          <w:rFonts w:ascii="Century Gothic" w:hAnsi="Century Gothic" w:cs="Tahoma"/>
          <w:lang w:val="es-CO"/>
        </w:rPr>
      </w:pPr>
    </w:p>
    <w:p w14:paraId="65D30B7B" w14:textId="77777777" w:rsidR="00D818B4" w:rsidRDefault="001C5BA9" w:rsidP="00D818B4">
      <w:pPr>
        <w:jc w:val="both"/>
        <w:rPr>
          <w:rFonts w:ascii="Century Gothic" w:hAnsi="Century Gothic" w:cs="Tahoma"/>
          <w:lang w:val="es-CO"/>
        </w:rPr>
      </w:pPr>
      <w:r w:rsidRPr="001C5BA9">
        <w:rPr>
          <w:rFonts w:ascii="Century Gothic" w:hAnsi="Century Gothic" w:cs="Tahoma"/>
          <w:lang w:val="es-CO"/>
        </w:rPr>
        <w:t>En época más reciente, sobre el mismo aspecto se señaló:</w:t>
      </w:r>
    </w:p>
    <w:p w14:paraId="6C6C6D0F" w14:textId="77777777" w:rsidR="001C5BA9" w:rsidRDefault="001C5BA9" w:rsidP="00D818B4">
      <w:pPr>
        <w:jc w:val="both"/>
        <w:rPr>
          <w:rFonts w:ascii="Century Gothic" w:hAnsi="Century Gothic" w:cs="Tahoma"/>
          <w:lang w:val="es-CO"/>
        </w:rPr>
      </w:pPr>
    </w:p>
    <w:p w14:paraId="16A0D090" w14:textId="7BCE5415" w:rsidR="001C5BA9" w:rsidRPr="00C177DB" w:rsidRDefault="00171FC4" w:rsidP="009D4B41">
      <w:pPr>
        <w:ind w:left="708" w:right="701"/>
        <w:jc w:val="both"/>
        <w:rPr>
          <w:rFonts w:ascii="Century Gothic" w:hAnsi="Century Gothic" w:cs="Tahoma"/>
          <w:sz w:val="20"/>
          <w:szCs w:val="20"/>
          <w:lang w:val="es-CO"/>
        </w:rPr>
      </w:pPr>
      <w:r w:rsidRPr="00C177DB">
        <w:rPr>
          <w:rFonts w:ascii="Century Gothic" w:hAnsi="Century Gothic" w:cs="Tahoma"/>
          <w:sz w:val="20"/>
          <w:szCs w:val="20"/>
          <w:lang w:val="es-CO"/>
        </w:rPr>
        <w:t>Como lo ha señalado la Sala en ocasiones anteriores, el primer aspecto a estudiar en los procesos de reparación directa, es la existencia del daño, puesto que si no es posible establecer la ocurrencia del mismo, se torna inútil cualquier otro juzgamiento que pueda hacerse en estos procesos.</w:t>
      </w:r>
    </w:p>
    <w:p w14:paraId="326DDE62" w14:textId="77777777" w:rsidR="00171FC4" w:rsidRPr="00C177DB" w:rsidRDefault="00171FC4" w:rsidP="009D4B41">
      <w:pPr>
        <w:jc w:val="both"/>
        <w:rPr>
          <w:rFonts w:ascii="Century Gothic" w:hAnsi="Century Gothic" w:cs="Tahoma"/>
          <w:sz w:val="20"/>
          <w:szCs w:val="20"/>
          <w:lang w:val="es-CO"/>
        </w:rPr>
      </w:pPr>
    </w:p>
    <w:p w14:paraId="3BF926AD" w14:textId="0B18FBB8" w:rsidR="00171FC4" w:rsidRPr="00D818B4" w:rsidRDefault="00171FC4" w:rsidP="009D4B41">
      <w:pPr>
        <w:ind w:left="708" w:right="701"/>
        <w:jc w:val="both"/>
        <w:rPr>
          <w:rFonts w:ascii="Century Gothic" w:hAnsi="Century Gothic" w:cs="Tahoma"/>
          <w:lang w:val="es-CO"/>
        </w:rPr>
      </w:pPr>
      <w:r w:rsidRPr="00C177DB">
        <w:rPr>
          <w:rFonts w:ascii="Century Gothic" w:hAnsi="Century Gothic" w:cs="Tahoma"/>
          <w:sz w:val="20"/>
          <w:szCs w:val="20"/>
          <w:lang w:val="es-CO"/>
        </w:rPr>
        <w:t>En efecto, en sentencias proferidas (…) se ha señalado tal circunstancia precisándose (…) que ‘es indispensable, en primer término determinar la existencia del daño y, una vez establecida la realidad del mismo, deducir sobre su naturaleza, esto es, si el mismo puede, o no calificarse como antijurídico, puesto que un juicio de carácter negativo sobre tal aspecto, libera de toda responsabilidad al Estado…’ y, por tanto, releva al juzgador de realizar la valoración del otro elemento de la responsabilidad estatal, esto es, la imputación del daño al Estado, bajo cualquiera de los distintos títulos que para el efecto se han elaborado</w:t>
      </w:r>
      <w:r>
        <w:rPr>
          <w:rStyle w:val="Refdenotaalpie"/>
          <w:rFonts w:ascii="Century Gothic" w:hAnsi="Century Gothic" w:cs="Tahoma"/>
          <w:i/>
          <w:iCs/>
          <w:lang w:val="es-CO"/>
        </w:rPr>
        <w:footnoteReference w:id="9"/>
      </w:r>
      <w:r w:rsidRPr="00171FC4">
        <w:rPr>
          <w:rFonts w:ascii="Century Gothic" w:hAnsi="Century Gothic" w:cs="Tahoma"/>
          <w:i/>
          <w:iCs/>
          <w:lang w:val="es-CO"/>
        </w:rPr>
        <w:t>.</w:t>
      </w:r>
    </w:p>
    <w:p w14:paraId="604D82DA" w14:textId="77777777" w:rsidR="008C5256" w:rsidRPr="008C5256" w:rsidRDefault="008C5256" w:rsidP="008C5256">
      <w:pPr>
        <w:jc w:val="both"/>
        <w:rPr>
          <w:rFonts w:ascii="Century Gothic" w:hAnsi="Century Gothic" w:cs="Tahoma"/>
          <w:lang w:val="es-CO"/>
        </w:rPr>
      </w:pPr>
      <w:r w:rsidRPr="008C5256">
        <w:rPr>
          <w:rFonts w:ascii="Century Gothic" w:hAnsi="Century Gothic" w:cs="Tahoma"/>
          <w:lang w:val="es-CO"/>
        </w:rPr>
        <w:t xml:space="preserve"> </w:t>
      </w:r>
    </w:p>
    <w:p w14:paraId="18A1D464" w14:textId="77777777" w:rsidR="008C5256" w:rsidRDefault="00171FC4" w:rsidP="008C5256">
      <w:pPr>
        <w:jc w:val="both"/>
        <w:rPr>
          <w:rFonts w:ascii="Century Gothic" w:hAnsi="Century Gothic" w:cs="Tahoma"/>
          <w:lang w:val="es-CO"/>
        </w:rPr>
      </w:pPr>
      <w:r w:rsidRPr="00171FC4">
        <w:rPr>
          <w:rFonts w:ascii="Century Gothic" w:hAnsi="Century Gothic" w:cs="Tahoma"/>
          <w:lang w:val="es-CO"/>
        </w:rPr>
        <w:t xml:space="preserve">El daño antijurídico, a efectos de que sea indemnizable, requiere estar cabalmente </w:t>
      </w:r>
      <w:r w:rsidRPr="00171FC4">
        <w:rPr>
          <w:rFonts w:ascii="Century Gothic" w:hAnsi="Century Gothic" w:cs="Tahoma"/>
          <w:lang w:val="es-CO"/>
        </w:rPr>
        <w:lastRenderedPageBreak/>
        <w:t>estructurado; por tal motivo, la Sección Tercera del Consejo de Estado</w:t>
      </w:r>
      <w:r>
        <w:rPr>
          <w:rStyle w:val="Refdenotaalpie"/>
          <w:rFonts w:ascii="Century Gothic" w:hAnsi="Century Gothic" w:cs="Tahoma"/>
          <w:lang w:val="es-CO"/>
        </w:rPr>
        <w:footnoteReference w:id="10"/>
      </w:r>
      <w:r w:rsidRPr="00171FC4">
        <w:rPr>
          <w:rFonts w:ascii="Century Gothic" w:hAnsi="Century Gothic" w:cs="Tahoma"/>
          <w:lang w:val="es-CO"/>
        </w:rPr>
        <w:t xml:space="preserve"> ha establecido que resulta imprescindible acreditar los siguientes aspectos relacionados con la lesión o detrimento cuya reparación se reclama:</w:t>
      </w:r>
    </w:p>
    <w:p w14:paraId="135DC916" w14:textId="77777777" w:rsidR="00171FC4" w:rsidRDefault="00171FC4" w:rsidP="008C5256">
      <w:pPr>
        <w:jc w:val="both"/>
        <w:rPr>
          <w:rFonts w:ascii="Century Gothic" w:hAnsi="Century Gothic" w:cs="Tahoma"/>
          <w:lang w:val="es-CO"/>
        </w:rPr>
      </w:pPr>
    </w:p>
    <w:p w14:paraId="0FF812C8" w14:textId="77777777" w:rsidR="00171FC4" w:rsidRPr="00171FC4" w:rsidRDefault="00171FC4" w:rsidP="00F527BF">
      <w:pPr>
        <w:pStyle w:val="Prrafodelista"/>
        <w:numPr>
          <w:ilvl w:val="0"/>
          <w:numId w:val="10"/>
        </w:numPr>
        <w:jc w:val="both"/>
        <w:rPr>
          <w:rFonts w:ascii="Century Gothic" w:hAnsi="Century Gothic" w:cs="Tahoma"/>
          <w:sz w:val="22"/>
          <w:szCs w:val="22"/>
          <w:lang w:val="es-CO"/>
        </w:rPr>
      </w:pPr>
      <w:r w:rsidRPr="00171FC4">
        <w:rPr>
          <w:rFonts w:ascii="Century Gothic" w:hAnsi="Century Gothic" w:cs="Tahoma"/>
          <w:sz w:val="22"/>
          <w:szCs w:val="22"/>
          <w:lang w:val="es-CO"/>
        </w:rPr>
        <w:t>Que el daño es antijurídico, esto es, que la persona no tiene el deber jurídico de soportarlo, “</w:t>
      </w:r>
      <w:r w:rsidRPr="00171FC4">
        <w:rPr>
          <w:rFonts w:ascii="Century Gothic" w:hAnsi="Century Gothic" w:cs="Tahoma"/>
          <w:i/>
          <w:iCs/>
          <w:sz w:val="22"/>
          <w:szCs w:val="22"/>
          <w:lang w:val="es-CO"/>
        </w:rPr>
        <w:t>Con ello, entonces, se excluyen las decisiones que se mueven en la esfera de lo cuestionable o las sentencias que contienen interpretaciones válidas de los hechos o derechos.</w:t>
      </w:r>
      <w:r w:rsidRPr="00171FC4">
        <w:rPr>
          <w:rFonts w:ascii="Century Gothic" w:hAnsi="Century Gothic" w:cs="Tahoma"/>
          <w:sz w:val="22"/>
          <w:szCs w:val="22"/>
          <w:lang w:val="es-CO"/>
        </w:rPr>
        <w:t>”</w:t>
      </w:r>
      <w:r w:rsidRPr="00171FC4">
        <w:rPr>
          <w:rStyle w:val="Refdenotaalpie"/>
          <w:rFonts w:ascii="Century Gothic" w:hAnsi="Century Gothic" w:cs="Tahoma"/>
          <w:sz w:val="22"/>
          <w:szCs w:val="22"/>
          <w:lang w:val="es-CO"/>
        </w:rPr>
        <w:footnoteReference w:id="11"/>
      </w:r>
    </w:p>
    <w:p w14:paraId="3AF54891" w14:textId="77777777" w:rsidR="00171FC4" w:rsidRPr="00171FC4" w:rsidRDefault="00171FC4" w:rsidP="00F527BF">
      <w:pPr>
        <w:pStyle w:val="Prrafodelista"/>
        <w:numPr>
          <w:ilvl w:val="0"/>
          <w:numId w:val="10"/>
        </w:numPr>
        <w:jc w:val="both"/>
        <w:rPr>
          <w:rFonts w:ascii="Century Gothic" w:hAnsi="Century Gothic" w:cs="Tahoma"/>
          <w:sz w:val="22"/>
          <w:szCs w:val="22"/>
          <w:lang w:val="es-CO"/>
        </w:rPr>
      </w:pPr>
      <w:r w:rsidRPr="00171FC4">
        <w:rPr>
          <w:rFonts w:ascii="Century Gothic" w:hAnsi="Century Gothic" w:cs="Tahoma"/>
          <w:sz w:val="22"/>
          <w:szCs w:val="22"/>
          <w:lang w:val="es-CO"/>
        </w:rPr>
        <w:t>Que se lesiona un derecho, bien o interés protegido por el ordenamiento legal.</w:t>
      </w:r>
    </w:p>
    <w:p w14:paraId="6EEDA835" w14:textId="77777777" w:rsidR="00171FC4" w:rsidRPr="00171FC4" w:rsidRDefault="00171FC4" w:rsidP="00F527BF">
      <w:pPr>
        <w:pStyle w:val="Prrafodelista"/>
        <w:numPr>
          <w:ilvl w:val="0"/>
          <w:numId w:val="10"/>
        </w:numPr>
        <w:jc w:val="both"/>
        <w:rPr>
          <w:rFonts w:ascii="Century Gothic" w:hAnsi="Century Gothic" w:cs="Tahoma"/>
          <w:sz w:val="22"/>
          <w:szCs w:val="22"/>
          <w:lang w:val="es-CO"/>
        </w:rPr>
      </w:pPr>
      <w:r w:rsidRPr="00171FC4">
        <w:rPr>
          <w:rFonts w:ascii="Century Gothic" w:hAnsi="Century Gothic" w:cs="Tahoma"/>
          <w:sz w:val="22"/>
          <w:szCs w:val="22"/>
          <w:lang w:val="es-CO"/>
        </w:rPr>
        <w:t>Que el daño es cierto, es decir, que se puede apreciar material y jurídicamente y, por ende, no se limita a una mera conjetura.</w:t>
      </w:r>
    </w:p>
    <w:p w14:paraId="2E5AE8AC" w14:textId="77777777" w:rsidR="008C5256" w:rsidRPr="008C5256" w:rsidRDefault="008C5256" w:rsidP="008C5256">
      <w:pPr>
        <w:jc w:val="both"/>
        <w:rPr>
          <w:rFonts w:ascii="Century Gothic" w:hAnsi="Century Gothic" w:cs="Tahoma"/>
          <w:lang w:val="es-CO"/>
        </w:rPr>
      </w:pPr>
    </w:p>
    <w:p w14:paraId="709CEC38" w14:textId="77777777" w:rsidR="008C5256" w:rsidRDefault="00171FC4" w:rsidP="008C5256">
      <w:pPr>
        <w:jc w:val="both"/>
        <w:rPr>
          <w:rFonts w:ascii="Century Gothic" w:hAnsi="Century Gothic" w:cs="Tahoma"/>
          <w:lang w:val="es-CO"/>
        </w:rPr>
      </w:pPr>
      <w:r w:rsidRPr="00171FC4">
        <w:rPr>
          <w:rFonts w:ascii="Century Gothic" w:hAnsi="Century Gothic" w:cs="Tahoma"/>
          <w:lang w:val="es-CO"/>
        </w:rPr>
        <w:t xml:space="preserve">Adicionalmente, se ha considerado que el daño debe ser cierto, real, determinado o determinable e indemnizable, </w:t>
      </w:r>
      <w:r w:rsidRPr="00171FC4">
        <w:rPr>
          <w:rFonts w:ascii="Century Gothic" w:hAnsi="Century Gothic" w:cs="Tahoma"/>
          <w:i/>
          <w:iCs/>
          <w:lang w:val="es-CO"/>
        </w:rPr>
        <w:t>so pena</w:t>
      </w:r>
      <w:r w:rsidRPr="00171FC4">
        <w:rPr>
          <w:rFonts w:ascii="Century Gothic" w:hAnsi="Century Gothic" w:cs="Tahoma"/>
          <w:lang w:val="es-CO"/>
        </w:rPr>
        <w:t>, de configurarse como eventual e hipotético, al respecto la Sección Tercera del Consejo de Estado se ha pronunciado en los siguientes términos:</w:t>
      </w:r>
    </w:p>
    <w:p w14:paraId="4F1F0319" w14:textId="77777777" w:rsidR="00171FC4" w:rsidRDefault="00171FC4" w:rsidP="008C5256">
      <w:pPr>
        <w:jc w:val="both"/>
        <w:rPr>
          <w:rFonts w:ascii="Century Gothic" w:hAnsi="Century Gothic" w:cs="Tahoma"/>
          <w:lang w:val="es-CO"/>
        </w:rPr>
      </w:pPr>
    </w:p>
    <w:p w14:paraId="73C6BF81" w14:textId="587D6AC1" w:rsidR="00171FC4" w:rsidRPr="00C177DB" w:rsidRDefault="00171FC4" w:rsidP="00171FC4">
      <w:pPr>
        <w:ind w:left="708" w:right="701"/>
        <w:jc w:val="both"/>
        <w:rPr>
          <w:rFonts w:ascii="Century Gothic" w:hAnsi="Century Gothic" w:cs="Tahoma"/>
          <w:sz w:val="20"/>
          <w:szCs w:val="20"/>
          <w:lang w:val="es-CO"/>
        </w:rPr>
      </w:pPr>
      <w:r w:rsidRPr="00C177DB">
        <w:rPr>
          <w:rFonts w:ascii="Century Gothic" w:hAnsi="Century Gothic" w:cs="Tahoma"/>
          <w:sz w:val="20"/>
          <w:szCs w:val="20"/>
          <w:lang w:val="es-CO"/>
        </w:rPr>
        <w:t xml:space="preserve">Para que el daño sea resarcible o indemnizable la doctrina y la jurisprudencia han establecido que debe reunir las características de cierto, concreto o determinado y personal. En efecto, en la materia que se estudia la doctrina es uniforme al demandar la certeza del perjuicio. Tal es el caso de los autores </w:t>
      </w:r>
      <w:proofErr w:type="spellStart"/>
      <w:r w:rsidRPr="00C177DB">
        <w:rPr>
          <w:rFonts w:ascii="Century Gothic" w:hAnsi="Century Gothic" w:cs="Tahoma"/>
          <w:sz w:val="20"/>
          <w:szCs w:val="20"/>
          <w:lang w:val="es-CO"/>
        </w:rPr>
        <w:t>Mazeaud</w:t>
      </w:r>
      <w:proofErr w:type="spellEnd"/>
      <w:r w:rsidRPr="00C177DB">
        <w:rPr>
          <w:rFonts w:ascii="Century Gothic" w:hAnsi="Century Gothic" w:cs="Tahoma"/>
          <w:sz w:val="20"/>
          <w:szCs w:val="20"/>
          <w:lang w:val="es-CO"/>
        </w:rPr>
        <w:t xml:space="preserve"> y </w:t>
      </w:r>
      <w:proofErr w:type="spellStart"/>
      <w:r w:rsidRPr="00C177DB">
        <w:rPr>
          <w:rFonts w:ascii="Century Gothic" w:hAnsi="Century Gothic" w:cs="Tahoma"/>
          <w:sz w:val="20"/>
          <w:szCs w:val="20"/>
          <w:lang w:val="es-CO"/>
        </w:rPr>
        <w:t>Tunc</w:t>
      </w:r>
      <w:proofErr w:type="spellEnd"/>
      <w:r w:rsidRPr="00C177DB">
        <w:rPr>
          <w:rFonts w:ascii="Century Gothic" w:hAnsi="Century Gothic" w:cs="Tahoma"/>
          <w:sz w:val="20"/>
          <w:szCs w:val="20"/>
          <w:lang w:val="es-CO"/>
        </w:rPr>
        <w:t>, quienes sobre el particular afirman:</w:t>
      </w:r>
    </w:p>
    <w:p w14:paraId="2AADA782" w14:textId="77777777" w:rsidR="00171FC4" w:rsidRPr="00C177DB" w:rsidRDefault="00171FC4" w:rsidP="008C5256">
      <w:pPr>
        <w:jc w:val="both"/>
        <w:rPr>
          <w:rFonts w:ascii="Century Gothic" w:hAnsi="Century Gothic" w:cs="Tahoma"/>
          <w:sz w:val="20"/>
          <w:szCs w:val="20"/>
          <w:lang w:val="es-CO"/>
        </w:rPr>
      </w:pPr>
    </w:p>
    <w:p w14:paraId="62FFF294" w14:textId="77777777" w:rsidR="00171FC4" w:rsidRPr="00C177DB" w:rsidRDefault="00171FC4" w:rsidP="00171FC4">
      <w:pPr>
        <w:ind w:left="1416" w:right="701"/>
        <w:jc w:val="both"/>
        <w:rPr>
          <w:rFonts w:ascii="Century Gothic" w:hAnsi="Century Gothic" w:cs="Tahoma"/>
          <w:sz w:val="20"/>
          <w:szCs w:val="20"/>
          <w:lang w:val="es-CO"/>
        </w:rPr>
      </w:pPr>
      <w:r w:rsidRPr="00C177DB">
        <w:rPr>
          <w:rFonts w:ascii="Century Gothic" w:hAnsi="Century Gothic" w:cs="Tahoma"/>
          <w:b/>
          <w:bCs/>
          <w:sz w:val="20"/>
          <w:szCs w:val="20"/>
          <w:lang w:val="es-CO"/>
        </w:rPr>
        <w:t>“</w:t>
      </w:r>
      <w:r w:rsidRPr="00C177DB">
        <w:rPr>
          <w:rFonts w:ascii="Century Gothic" w:hAnsi="Century Gothic" w:cs="Tahoma"/>
          <w:b/>
          <w:bCs/>
          <w:sz w:val="20"/>
          <w:szCs w:val="20"/>
          <w:u w:val="single"/>
          <w:lang w:val="es-CO"/>
        </w:rPr>
        <w:t>Al exigir que el perjuicio sea cierto, se entiende que no debe ser por ello simplemente hipotético, eventual. Es preciso que el juez tenga la certeza de que el demandante se habría encontrado en una situación mejor si el demandado no hubiera realizado el acto que se le reprocha</w:t>
      </w:r>
      <w:r w:rsidRPr="00C177DB">
        <w:rPr>
          <w:rFonts w:ascii="Century Gothic" w:hAnsi="Century Gothic" w:cs="Tahoma"/>
          <w:sz w:val="20"/>
          <w:szCs w:val="20"/>
          <w:u w:val="single"/>
          <w:lang w:val="es-CO"/>
        </w:rPr>
        <w:t>.</w:t>
      </w:r>
      <w:r w:rsidRPr="00C177DB">
        <w:rPr>
          <w:rFonts w:ascii="Century Gothic" w:hAnsi="Century Gothic" w:cs="Tahoma"/>
          <w:sz w:val="20"/>
          <w:szCs w:val="20"/>
          <w:lang w:val="es-CO"/>
        </w:rPr>
        <w:t xml:space="preserve"> Pero importa poco que el perjuicio de que se queje la víctima se haya realizado ya o que deba tan sólo producirse en lo futuro. Ciertamente, cuando el perjuicio es actual, la cuestión no se plantea: su existencia no ofrece duda alguna. Pero un perjuicio futuro puede presentar muy bien los mismos caracteres de certidumbre. Con frecuencia, las consecuencias de un acto o de una situación son ineluctables; de ellas resultará necesariamente en el porvenir un perjuicio cierto. Por eso, no hay que distinguir entre el perjuicio actual y el perjuicio futuro; sino entre el perjuicio cierto y el perjuicio eventual, hipotético (...)’</w:t>
      </w:r>
    </w:p>
    <w:p w14:paraId="1009F521" w14:textId="77777777" w:rsidR="00171FC4" w:rsidRPr="00C177DB" w:rsidRDefault="00171FC4" w:rsidP="008C5256">
      <w:pPr>
        <w:jc w:val="both"/>
        <w:rPr>
          <w:rFonts w:ascii="Century Gothic" w:hAnsi="Century Gothic" w:cs="Tahoma"/>
          <w:sz w:val="20"/>
          <w:szCs w:val="20"/>
          <w:lang w:val="es-CO"/>
        </w:rPr>
      </w:pPr>
    </w:p>
    <w:p w14:paraId="690DB2E6" w14:textId="77777777" w:rsidR="00171FC4" w:rsidRPr="00C177DB" w:rsidRDefault="00171FC4" w:rsidP="00171FC4">
      <w:pPr>
        <w:ind w:left="1416" w:right="701"/>
        <w:jc w:val="both"/>
        <w:rPr>
          <w:rFonts w:ascii="Century Gothic" w:hAnsi="Century Gothic" w:cs="Tahoma"/>
          <w:sz w:val="20"/>
          <w:szCs w:val="20"/>
          <w:lang w:val="es-CO"/>
        </w:rPr>
      </w:pPr>
      <w:r w:rsidRPr="00C177DB">
        <w:rPr>
          <w:rFonts w:ascii="Century Gothic" w:hAnsi="Century Gothic" w:cs="Tahoma"/>
          <w:sz w:val="20"/>
          <w:szCs w:val="20"/>
          <w:lang w:val="es-CO"/>
        </w:rPr>
        <w:t>“Por otra parte, la jurisprudencia del Consejo de Estado colombiano ha señalado la necesidad de que el daño, para aspirar a ser indemnizado, tiene que estar revestido de certeza. No puede por tanto tratarse de un daño genérico o hipotético sino un daño específico:</w:t>
      </w:r>
    </w:p>
    <w:p w14:paraId="4D951F6F" w14:textId="77777777" w:rsidR="00171FC4" w:rsidRPr="00C177DB" w:rsidRDefault="00171FC4" w:rsidP="008C5256">
      <w:pPr>
        <w:jc w:val="both"/>
        <w:rPr>
          <w:rFonts w:ascii="Century Gothic" w:hAnsi="Century Gothic" w:cs="Tahoma"/>
          <w:sz w:val="20"/>
          <w:szCs w:val="20"/>
          <w:lang w:val="es-CO"/>
        </w:rPr>
      </w:pPr>
    </w:p>
    <w:p w14:paraId="6CE3C528" w14:textId="77777777" w:rsidR="00171FC4" w:rsidRPr="00C177DB" w:rsidRDefault="00171FC4" w:rsidP="00171FC4">
      <w:pPr>
        <w:ind w:left="708" w:firstLine="708"/>
        <w:jc w:val="both"/>
        <w:rPr>
          <w:rFonts w:ascii="Century Gothic" w:hAnsi="Century Gothic" w:cs="Tahoma"/>
          <w:sz w:val="20"/>
          <w:szCs w:val="20"/>
          <w:lang w:val="es-CO"/>
        </w:rPr>
      </w:pPr>
      <w:r w:rsidRPr="00C177DB">
        <w:rPr>
          <w:rFonts w:ascii="Century Gothic" w:hAnsi="Century Gothic" w:cs="Tahoma"/>
          <w:sz w:val="20"/>
          <w:szCs w:val="20"/>
          <w:lang w:val="es-CO"/>
        </w:rPr>
        <w:t>(…)</w:t>
      </w:r>
    </w:p>
    <w:p w14:paraId="790F7595" w14:textId="77777777" w:rsidR="00171FC4" w:rsidRPr="00C177DB" w:rsidRDefault="00171FC4" w:rsidP="008C5256">
      <w:pPr>
        <w:jc w:val="both"/>
        <w:rPr>
          <w:rFonts w:ascii="Century Gothic" w:hAnsi="Century Gothic" w:cs="Tahoma"/>
          <w:sz w:val="20"/>
          <w:szCs w:val="20"/>
          <w:lang w:val="es-CO"/>
        </w:rPr>
      </w:pPr>
    </w:p>
    <w:p w14:paraId="611EBE40" w14:textId="5E754EB2" w:rsidR="00171FC4" w:rsidRDefault="00171FC4" w:rsidP="00171FC4">
      <w:pPr>
        <w:ind w:left="1416" w:right="701"/>
        <w:jc w:val="both"/>
        <w:rPr>
          <w:rFonts w:ascii="Century Gothic" w:hAnsi="Century Gothic" w:cs="Tahoma"/>
          <w:lang w:val="es-CO"/>
        </w:rPr>
      </w:pPr>
      <w:r w:rsidRPr="00C177DB">
        <w:rPr>
          <w:rFonts w:ascii="Century Gothic" w:hAnsi="Century Gothic" w:cs="Tahoma"/>
          <w:sz w:val="20"/>
          <w:szCs w:val="20"/>
          <w:lang w:val="es-CO"/>
        </w:rPr>
        <w:t xml:space="preserve">“En este orden de ideas, la certeza del perjuicio hace relación a la evidencia y seguridad de su existencia, independientemente de que sea presente o futura, mientras que la eventualidad precisamente se opone a aquélla característica, es decir, es incierto el daño “cuando hipotéticamente puede existir, pero depende de circunstancias de remota realización que pueden suceder o no” y, por lo tanto, no puede considerarse a los efectos de la responsabilidad patrimonial. Y la concreción del daño se dirige a que el bien que se destruye, deteriora o modifica se </w:t>
      </w:r>
      <w:r w:rsidRPr="00C177DB">
        <w:rPr>
          <w:rFonts w:ascii="Century Gothic" w:hAnsi="Century Gothic" w:cs="Tahoma"/>
          <w:sz w:val="20"/>
          <w:szCs w:val="20"/>
          <w:lang w:val="es-CO"/>
        </w:rPr>
        <w:lastRenderedPageBreak/>
        <w:t>precisa finalmente en la determinación o cuantificación del monto indemnizable</w:t>
      </w:r>
      <w:r>
        <w:rPr>
          <w:rStyle w:val="Refdenotaalpie"/>
          <w:rFonts w:ascii="Century Gothic" w:hAnsi="Century Gothic" w:cs="Tahoma"/>
          <w:i/>
          <w:iCs/>
          <w:lang w:val="es-CO"/>
        </w:rPr>
        <w:footnoteReference w:id="12"/>
      </w:r>
      <w:r w:rsidRPr="00171FC4">
        <w:rPr>
          <w:rFonts w:ascii="Century Gothic" w:hAnsi="Century Gothic" w:cs="Tahoma"/>
          <w:i/>
          <w:iCs/>
          <w:lang w:val="es-CO"/>
        </w:rPr>
        <w:t>. (Negrilla y subrayado fuera del texto original)</w:t>
      </w:r>
    </w:p>
    <w:p w14:paraId="73759775" w14:textId="77777777" w:rsidR="00171FC4" w:rsidRPr="008C5256" w:rsidRDefault="00171FC4" w:rsidP="008C5256">
      <w:pPr>
        <w:jc w:val="both"/>
        <w:rPr>
          <w:rFonts w:ascii="Century Gothic" w:hAnsi="Century Gothic" w:cs="Tahoma"/>
          <w:lang w:val="es-CO"/>
        </w:rPr>
      </w:pPr>
    </w:p>
    <w:p w14:paraId="0140472A" w14:textId="77777777" w:rsidR="009B6613" w:rsidRDefault="00FC0DB1" w:rsidP="009B6613">
      <w:pPr>
        <w:jc w:val="both"/>
        <w:rPr>
          <w:rFonts w:ascii="Century Gothic" w:hAnsi="Century Gothic" w:cs="Tahoma"/>
          <w:lang w:val="es-CO"/>
        </w:rPr>
      </w:pPr>
      <w:r w:rsidRPr="00FC0DB1">
        <w:rPr>
          <w:rFonts w:ascii="Century Gothic" w:hAnsi="Century Gothic" w:cs="Tahoma"/>
          <w:lang w:val="es-CO"/>
        </w:rPr>
        <w:t>En los anteriores términos, la responsabilidad extracontractual del Estado se puede configurar una vez se demuestre el daño antijurídico y la imputación (desde el ámbito fáctico y jurídico).</w:t>
      </w:r>
    </w:p>
    <w:p w14:paraId="19F6B9DA" w14:textId="77777777" w:rsidR="00FC0DB1" w:rsidRDefault="00FC0DB1" w:rsidP="009B6613">
      <w:pPr>
        <w:jc w:val="both"/>
        <w:rPr>
          <w:rFonts w:ascii="Century Gothic" w:hAnsi="Century Gothic" w:cs="Tahoma"/>
          <w:lang w:val="es-CO"/>
        </w:rPr>
      </w:pPr>
    </w:p>
    <w:p w14:paraId="29449E64" w14:textId="7AA7ABF2" w:rsidR="00FC0DB1" w:rsidRDefault="00FC0DB1" w:rsidP="009B6613">
      <w:pPr>
        <w:jc w:val="both"/>
        <w:rPr>
          <w:rFonts w:ascii="Century Gothic" w:hAnsi="Century Gothic" w:cs="Tahoma"/>
          <w:lang w:val="es-CO"/>
        </w:rPr>
      </w:pPr>
      <w:r>
        <w:rPr>
          <w:rFonts w:ascii="Century Gothic" w:hAnsi="Century Gothic" w:cs="Tahoma"/>
          <w:lang w:val="es-CO"/>
        </w:rPr>
        <w:t>Entonces, para el caso concreto el daño antijurídico se ocasionó por el error jurisdiccional contenido en el Auto con radicado No. 2022-03-005350, “</w:t>
      </w:r>
      <w:r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Pr>
          <w:rFonts w:ascii="Century Gothic" w:hAnsi="Century Gothic" w:cs="Tahoma"/>
          <w:lang w:val="es-CO"/>
        </w:rPr>
        <w:t>” del 11 de mayo de 2022, que ocasionó un perjuicio patrimonial a CARLOS MANUEL HOYOS VALDERRAMA, con ocasión a que con el actuar omisivo de la Superintendencia de Sociedades, se dejó de tramitar el incidente de remoción y liquidación del liquidador ante l</w:t>
      </w:r>
      <w:r w:rsidR="00C6698E">
        <w:rPr>
          <w:rFonts w:ascii="Century Gothic" w:hAnsi="Century Gothic" w:cs="Tahoma"/>
          <w:lang w:val="es-CO"/>
        </w:rPr>
        <w:t>os hechos denunciados frente a</w:t>
      </w:r>
      <w:r>
        <w:rPr>
          <w:rFonts w:ascii="Century Gothic" w:hAnsi="Century Gothic" w:cs="Tahoma"/>
          <w:lang w:val="es-CO"/>
        </w:rPr>
        <w:t>l incumplimiento de sus obligaciones y funciones, lo que derivó en que la depreciación del patrimonio de la sociedad MULTIPOLIMEROS S.A.S., avanzara a pasos agigantados, al punto de que una vez liquidado el mismo, no fuese suficiente para cubrir los saldos de los acreedores.</w:t>
      </w:r>
    </w:p>
    <w:p w14:paraId="487D182A" w14:textId="77777777" w:rsidR="004C4E1A" w:rsidRDefault="004C4E1A" w:rsidP="009B6613">
      <w:pPr>
        <w:jc w:val="both"/>
        <w:rPr>
          <w:rFonts w:ascii="Century Gothic" w:hAnsi="Century Gothic" w:cs="Tahoma"/>
          <w:lang w:val="es-CO"/>
        </w:rPr>
      </w:pPr>
    </w:p>
    <w:p w14:paraId="0214DD70" w14:textId="77777777" w:rsidR="004C4E1A" w:rsidRDefault="004C4E1A" w:rsidP="009B6613">
      <w:pPr>
        <w:jc w:val="both"/>
        <w:rPr>
          <w:rFonts w:ascii="Century Gothic" w:hAnsi="Century Gothic" w:cs="Tahoma"/>
          <w:lang w:val="es-CO"/>
        </w:rPr>
      </w:pPr>
      <w:r>
        <w:rPr>
          <w:rFonts w:ascii="Century Gothic" w:hAnsi="Century Gothic" w:cs="Tahoma"/>
          <w:lang w:val="es-CO"/>
        </w:rPr>
        <w:t xml:space="preserve">Es fundamental que se tomé en consideración que el elemento cierto del daño se configuró cuando </w:t>
      </w:r>
      <w:r w:rsidR="00C71CB3">
        <w:rPr>
          <w:rFonts w:ascii="Century Gothic" w:hAnsi="Century Gothic" w:cs="Tahoma"/>
          <w:lang w:val="es-CO"/>
        </w:rPr>
        <w:t>se profirió el Auto con radicado No. 2023-03-007698 del 22 de septiembre de 2023, con el cual se terminó el proceso de liquidación judicial de MULTIPOLIMEROS S.A.S., aprobando el informe final de rendición de cuentas, estando a lo dispuesto conforme a los estados financieros y aceptando la gestión del liquidador</w:t>
      </w:r>
      <w:r w:rsidR="00FE4CD9">
        <w:rPr>
          <w:rFonts w:ascii="Century Gothic" w:hAnsi="Century Gothic" w:cs="Tahoma"/>
          <w:lang w:val="es-CO"/>
        </w:rPr>
        <w:t>, pues con esta providencia se entiende aceptada la adjudicación de bienes, lo cuales sufrieron un depreciación que alcanzó el 87.77%.</w:t>
      </w:r>
    </w:p>
    <w:p w14:paraId="757FC922" w14:textId="77777777" w:rsidR="00047D4C" w:rsidRDefault="00047D4C" w:rsidP="009B6613">
      <w:pPr>
        <w:jc w:val="both"/>
        <w:rPr>
          <w:rFonts w:ascii="Century Gothic" w:hAnsi="Century Gothic" w:cs="Tahoma"/>
          <w:lang w:val="es-CO"/>
        </w:rPr>
      </w:pPr>
    </w:p>
    <w:p w14:paraId="42540714" w14:textId="77777777" w:rsidR="00047D4C" w:rsidRDefault="00047D4C" w:rsidP="00047D4C">
      <w:pPr>
        <w:jc w:val="both"/>
        <w:rPr>
          <w:rFonts w:ascii="Century Gothic" w:hAnsi="Century Gothic" w:cs="Tahoma"/>
          <w:lang w:val="es-CO"/>
        </w:rPr>
      </w:pPr>
      <w:r>
        <w:rPr>
          <w:rFonts w:ascii="Century Gothic" w:hAnsi="Century Gothic" w:cs="Tahoma"/>
          <w:lang w:val="es-CO"/>
        </w:rPr>
        <w:t xml:space="preserve">Que en cuanto a los perjuicios patrimoniales, se tiene la configuración de un </w:t>
      </w:r>
      <w:r w:rsidRPr="00212D5E">
        <w:rPr>
          <w:rFonts w:ascii="Century Gothic" w:hAnsi="Century Gothic" w:cs="Tahoma"/>
          <w:b/>
          <w:u w:val="single"/>
          <w:lang w:val="es-CO"/>
        </w:rPr>
        <w:t>daño emergente</w:t>
      </w:r>
      <w:r>
        <w:rPr>
          <w:rFonts w:ascii="Century Gothic" w:hAnsi="Century Gothic" w:cs="Tahoma"/>
          <w:lang w:val="es-CO"/>
        </w:rPr>
        <w:t xml:space="preserve">, derivado de la depreciación económica de los bienes que constituyeron el patrimonio de MULTIPOLIMEROS S.A.S., pues los bienes muebles con categoría de propiedad, planta y equipo a 31 de diciembre de 2018 estaban valorados por $2.406.671.000 M/Cte., como se soporta en los estados financieros individuales presentados por el revisor fiscal de MULTIPOLIMEROS S.A.S., el 12 de marzo de 2019. </w:t>
      </w:r>
    </w:p>
    <w:p w14:paraId="2CA0600F" w14:textId="77777777" w:rsidR="00047D4C" w:rsidRDefault="00047D4C" w:rsidP="00047D4C">
      <w:pPr>
        <w:jc w:val="both"/>
        <w:rPr>
          <w:rFonts w:ascii="Century Gothic" w:hAnsi="Century Gothic" w:cs="Tahoma"/>
          <w:lang w:val="es-CO"/>
        </w:rPr>
      </w:pPr>
    </w:p>
    <w:p w14:paraId="1F91F877" w14:textId="77777777" w:rsidR="00047D4C" w:rsidRDefault="00047D4C" w:rsidP="00047D4C">
      <w:pPr>
        <w:jc w:val="both"/>
        <w:rPr>
          <w:rFonts w:ascii="Century Gothic" w:hAnsi="Century Gothic" w:cs="Tahoma"/>
          <w:lang w:val="es-CO"/>
        </w:rPr>
      </w:pPr>
      <w:r>
        <w:rPr>
          <w:rFonts w:ascii="Century Gothic" w:hAnsi="Century Gothic" w:cs="Tahoma"/>
          <w:lang w:val="es-CO"/>
        </w:rPr>
        <w:t>Sin embargo, conforme se narra en este acápite de hechos, podemos apreciar que la cuenta de propiedad, planta y equipo se depreció así:</w:t>
      </w:r>
    </w:p>
    <w:p w14:paraId="3DF5BEFA" w14:textId="77777777" w:rsidR="00047D4C" w:rsidRDefault="00047D4C" w:rsidP="00047D4C">
      <w:pPr>
        <w:jc w:val="both"/>
        <w:rPr>
          <w:rFonts w:ascii="Century Gothic" w:hAnsi="Century Gothic" w:cs="Tahoma"/>
          <w:lang w:val="es-CO"/>
        </w:rPr>
      </w:pPr>
    </w:p>
    <w:p w14:paraId="63912530" w14:textId="77777777" w:rsidR="00BA6AC5" w:rsidRDefault="00BA6AC5" w:rsidP="00BA6AC5">
      <w:pPr>
        <w:jc w:val="both"/>
        <w:rPr>
          <w:rFonts w:ascii="Century Gothic" w:hAnsi="Century Gothic" w:cs="Tahoma"/>
          <w:lang w:val="es-CO"/>
        </w:rPr>
      </w:pPr>
      <w:r>
        <w:rPr>
          <w:rFonts w:ascii="Century Gothic" w:hAnsi="Century Gothic" w:cs="Tahoma"/>
          <w:lang w:val="es-CO"/>
        </w:rPr>
        <w:t>.- Hecho décimo segundo: $1.848.447.000;</w:t>
      </w:r>
    </w:p>
    <w:p w14:paraId="524C7CE0" w14:textId="77777777" w:rsidR="00BA6AC5" w:rsidRDefault="00BA6AC5" w:rsidP="00BA6AC5">
      <w:pPr>
        <w:jc w:val="both"/>
        <w:rPr>
          <w:rFonts w:ascii="Century Gothic" w:hAnsi="Century Gothic" w:cs="Tahoma"/>
          <w:lang w:val="es-CO"/>
        </w:rPr>
      </w:pPr>
      <w:r>
        <w:rPr>
          <w:rFonts w:ascii="Century Gothic" w:hAnsi="Century Gothic" w:cs="Tahoma"/>
          <w:lang w:val="es-CO"/>
        </w:rPr>
        <w:t>.- Hecho décimo séptimo: $1.367.596.628;</w:t>
      </w:r>
    </w:p>
    <w:p w14:paraId="5B5F806E" w14:textId="77777777" w:rsidR="00BA6AC5" w:rsidRDefault="00BA6AC5" w:rsidP="00BA6AC5">
      <w:pPr>
        <w:jc w:val="both"/>
        <w:rPr>
          <w:rFonts w:ascii="Century Gothic" w:hAnsi="Century Gothic" w:cs="Tahoma"/>
          <w:lang w:val="es-CO"/>
        </w:rPr>
      </w:pPr>
      <w:r>
        <w:rPr>
          <w:rFonts w:ascii="Century Gothic" w:hAnsi="Century Gothic" w:cs="Tahoma"/>
          <w:lang w:val="es-CO"/>
        </w:rPr>
        <w:t>.- Hecho vigésimo cuarto: $1.367.596.628;</w:t>
      </w:r>
    </w:p>
    <w:p w14:paraId="79CEDABE" w14:textId="77777777" w:rsidR="00BA6AC5" w:rsidRDefault="00BA6AC5" w:rsidP="00BA6AC5">
      <w:pPr>
        <w:jc w:val="both"/>
        <w:rPr>
          <w:rFonts w:ascii="Century Gothic" w:hAnsi="Century Gothic" w:cs="Tahoma"/>
          <w:lang w:val="es-CO"/>
        </w:rPr>
      </w:pPr>
      <w:r>
        <w:rPr>
          <w:rFonts w:ascii="Century Gothic" w:hAnsi="Century Gothic" w:cs="Tahoma"/>
          <w:lang w:val="es-CO"/>
        </w:rPr>
        <w:t>.- Hecho trigésimo sexto: $847.754.708;</w:t>
      </w:r>
    </w:p>
    <w:p w14:paraId="0FAAA29D" w14:textId="77777777" w:rsidR="00BA6AC5" w:rsidRDefault="00BA6AC5" w:rsidP="00BA6AC5">
      <w:pPr>
        <w:jc w:val="both"/>
        <w:rPr>
          <w:rFonts w:ascii="Century Gothic" w:hAnsi="Century Gothic" w:cs="Tahoma"/>
          <w:lang w:val="es-CO"/>
        </w:rPr>
      </w:pPr>
      <w:r>
        <w:rPr>
          <w:rFonts w:ascii="Century Gothic" w:hAnsi="Century Gothic" w:cs="Tahoma"/>
          <w:lang w:val="es-CO"/>
        </w:rPr>
        <w:t>.- Hecho cuadragésimo primero: $356.409.704;</w:t>
      </w:r>
    </w:p>
    <w:p w14:paraId="202D109E" w14:textId="77777777" w:rsidR="00BA6AC5" w:rsidRDefault="00BA6AC5" w:rsidP="00BA6AC5">
      <w:pPr>
        <w:jc w:val="both"/>
        <w:rPr>
          <w:rFonts w:ascii="Century Gothic" w:hAnsi="Century Gothic" w:cs="Tahoma"/>
          <w:lang w:val="es-CO"/>
        </w:rPr>
      </w:pPr>
      <w:r>
        <w:rPr>
          <w:rFonts w:ascii="Century Gothic" w:hAnsi="Century Gothic" w:cs="Tahoma"/>
          <w:lang w:val="es-CO"/>
        </w:rPr>
        <w:t>.- Hecho cuadragésimo noveno: $294.497.210; y</w:t>
      </w:r>
    </w:p>
    <w:p w14:paraId="7BE33DFC" w14:textId="77777777" w:rsidR="00BA6AC5" w:rsidRDefault="00BA6AC5" w:rsidP="00BA6AC5">
      <w:pPr>
        <w:jc w:val="both"/>
        <w:rPr>
          <w:rFonts w:ascii="Century Gothic" w:hAnsi="Century Gothic" w:cs="Tahoma"/>
          <w:lang w:val="es-CO"/>
        </w:rPr>
      </w:pPr>
      <w:r>
        <w:rPr>
          <w:rFonts w:ascii="Century Gothic" w:hAnsi="Century Gothic" w:cs="Tahoma"/>
          <w:lang w:val="es-CO"/>
        </w:rPr>
        <w:t>.- Hecho quincuagésimo quinto: $294.497.209,56.</w:t>
      </w:r>
    </w:p>
    <w:p w14:paraId="61A53494" w14:textId="77777777" w:rsidR="00047D4C" w:rsidRDefault="00047D4C" w:rsidP="00047D4C">
      <w:pPr>
        <w:jc w:val="both"/>
        <w:rPr>
          <w:rFonts w:ascii="Century Gothic" w:hAnsi="Century Gothic" w:cs="Tahoma"/>
          <w:lang w:val="es-CO"/>
        </w:rPr>
      </w:pPr>
    </w:p>
    <w:p w14:paraId="19DEF520" w14:textId="77777777" w:rsidR="00047D4C" w:rsidRDefault="00047D4C" w:rsidP="00047D4C">
      <w:pPr>
        <w:jc w:val="both"/>
        <w:rPr>
          <w:rFonts w:ascii="Century Gothic" w:hAnsi="Century Gothic" w:cs="Tahoma"/>
          <w:u w:val="single"/>
          <w:lang w:val="es-CO"/>
        </w:rPr>
      </w:pPr>
      <w:r>
        <w:rPr>
          <w:rFonts w:ascii="Century Gothic" w:hAnsi="Century Gothic" w:cs="Tahoma"/>
          <w:lang w:val="es-CO"/>
        </w:rPr>
        <w:t xml:space="preserve">Así las cosas, del 100% del valor original de la cuenta de propiedad, planta y equipo ($2.406.671.000) M/Cte., tenemos una depreciación del 87.77%, tomando en consideración que la suma de $294.497.209,56 M/Cte., corresponde solo al 12.23% del valor original. Por lo tanto, el daño emergente corresponde a la suma de </w:t>
      </w:r>
      <w:r w:rsidRPr="006E0F84">
        <w:rPr>
          <w:rFonts w:ascii="Century Gothic" w:hAnsi="Century Gothic" w:cs="Tahoma"/>
          <w:u w:val="single"/>
          <w:lang w:val="es-CO"/>
        </w:rPr>
        <w:t>$2.112.335.136,70 M/Cte.</w:t>
      </w:r>
    </w:p>
    <w:p w14:paraId="196E7A8F" w14:textId="77777777" w:rsidR="00047D4C" w:rsidRDefault="00047D4C" w:rsidP="009B6613">
      <w:pPr>
        <w:jc w:val="both"/>
        <w:rPr>
          <w:rFonts w:ascii="Century Gothic" w:hAnsi="Century Gothic" w:cs="Tahoma"/>
          <w:lang w:val="es-CO"/>
        </w:rPr>
      </w:pPr>
    </w:p>
    <w:p w14:paraId="3E6080B0" w14:textId="77777777" w:rsidR="00047D4C" w:rsidRDefault="005528ED" w:rsidP="009B6613">
      <w:pPr>
        <w:jc w:val="both"/>
        <w:rPr>
          <w:rFonts w:ascii="Century Gothic" w:hAnsi="Century Gothic" w:cs="Tahoma"/>
          <w:lang w:val="es-CO"/>
        </w:rPr>
      </w:pPr>
      <w:r>
        <w:rPr>
          <w:rFonts w:ascii="Century Gothic" w:hAnsi="Century Gothic" w:cs="Tahoma"/>
          <w:lang w:val="es-CO"/>
        </w:rPr>
        <w:t>Entonces,</w:t>
      </w:r>
      <w:r w:rsidR="00047D4C">
        <w:rPr>
          <w:rFonts w:ascii="Century Gothic" w:hAnsi="Century Gothic" w:cs="Tahoma"/>
          <w:lang w:val="es-CO"/>
        </w:rPr>
        <w:t xml:space="preserve"> se deberá tener por cierto que (i) en cumplimiento de lo ordenado en el Auto con radicado No. 2022-03-005350, “</w:t>
      </w:r>
      <w:r w:rsidR="00047D4C" w:rsidRPr="00C177DB">
        <w:rPr>
          <w:rFonts w:ascii="Century Gothic" w:hAnsi="Century Gothic" w:cs="Tahoma"/>
          <w:i/>
          <w:iCs/>
          <w:lang w:val="es-CO"/>
        </w:rPr>
        <w:t xml:space="preserve">por medio del cual se reconocen los presupuestos de ineficacia parcial de un pago, se ordena al liquidador, no se accede a unas solicitudes y </w:t>
      </w:r>
      <w:r w:rsidR="00047D4C" w:rsidRPr="00C177DB">
        <w:rPr>
          <w:rFonts w:ascii="Century Gothic" w:hAnsi="Century Gothic" w:cs="Tahoma"/>
          <w:i/>
          <w:iCs/>
          <w:lang w:val="es-CO"/>
        </w:rPr>
        <w:lastRenderedPageBreak/>
        <w:t>se ordena estarse a lo dispuesto</w:t>
      </w:r>
      <w:r w:rsidR="00047D4C">
        <w:rPr>
          <w:rFonts w:ascii="Century Gothic" w:hAnsi="Century Gothic" w:cs="Tahoma"/>
          <w:lang w:val="es-CO"/>
        </w:rPr>
        <w:t xml:space="preserve">” del 11 de mayo de 2022, y concretado en el Auto </w:t>
      </w:r>
      <w:r w:rsidR="00F355AE">
        <w:rPr>
          <w:rFonts w:ascii="Century Gothic" w:hAnsi="Century Gothic" w:cs="Tahoma"/>
          <w:lang w:val="es-CO"/>
        </w:rPr>
        <w:t>con radicado No. 2023-03-007698 del 22 de septiembre de 2023 que terminó el proceso de liquidación, se ocasionó al señor CARLOS MANUEL HOYOS VALDERRAMA, un daño antijurídico cierto; y (ii) El detrimento patrimonial ocasionado a mi mandante a consecuencia de la depreciación patrimonial de MULTIPOLIMEROS S.A.S., asciende a la suma de $2.112.335,70 M/Cte., más la</w:t>
      </w:r>
      <w:r w:rsidR="004E61A1">
        <w:rPr>
          <w:rFonts w:ascii="Century Gothic" w:hAnsi="Century Gothic" w:cs="Tahoma"/>
          <w:lang w:val="es-CO"/>
        </w:rPr>
        <w:t>s</w:t>
      </w:r>
      <w:r w:rsidR="00F355AE">
        <w:rPr>
          <w:rFonts w:ascii="Century Gothic" w:hAnsi="Century Gothic" w:cs="Tahoma"/>
          <w:lang w:val="es-CO"/>
        </w:rPr>
        <w:t xml:space="preserve"> suma</w:t>
      </w:r>
      <w:r w:rsidR="004E61A1">
        <w:rPr>
          <w:rFonts w:ascii="Century Gothic" w:hAnsi="Century Gothic" w:cs="Tahoma"/>
          <w:lang w:val="es-CO"/>
        </w:rPr>
        <w:t>s</w:t>
      </w:r>
      <w:r w:rsidR="00F355AE">
        <w:rPr>
          <w:rFonts w:ascii="Century Gothic" w:hAnsi="Century Gothic" w:cs="Tahoma"/>
          <w:lang w:val="es-CO"/>
        </w:rPr>
        <w:t xml:space="preserve"> de</w:t>
      </w:r>
      <w:r w:rsidR="004E61A1">
        <w:rPr>
          <w:rFonts w:ascii="Century Gothic" w:hAnsi="Century Gothic" w:cs="Tahoma"/>
          <w:lang w:val="es-CO"/>
        </w:rPr>
        <w:t xml:space="preserve"> $91.554.000 M/Cte., y</w:t>
      </w:r>
      <w:r w:rsidR="00F355AE">
        <w:rPr>
          <w:rFonts w:ascii="Century Gothic" w:hAnsi="Century Gothic" w:cs="Tahoma"/>
          <w:lang w:val="es-CO"/>
        </w:rPr>
        <w:t xml:space="preserve"> $29.000.000 M/Cte., por concepto de gastos de representación judicial, para un total de </w:t>
      </w:r>
      <w:r w:rsidR="004E61A1">
        <w:rPr>
          <w:rFonts w:ascii="Century Gothic" w:hAnsi="Century Gothic" w:cs="Tahoma"/>
          <w:u w:val="single"/>
          <w:lang w:val="es-CO"/>
        </w:rPr>
        <w:t>$2.232.889</w:t>
      </w:r>
      <w:r w:rsidR="00F355AE" w:rsidRPr="00F355AE">
        <w:rPr>
          <w:rFonts w:ascii="Century Gothic" w:hAnsi="Century Gothic" w:cs="Tahoma"/>
          <w:u w:val="single"/>
          <w:lang w:val="es-CO"/>
        </w:rPr>
        <w:t>.136,7 M/Cte.</w:t>
      </w:r>
    </w:p>
    <w:p w14:paraId="1735B762" w14:textId="77777777" w:rsidR="00047D4C" w:rsidRDefault="00047D4C" w:rsidP="009B6613">
      <w:pPr>
        <w:jc w:val="both"/>
        <w:rPr>
          <w:rFonts w:ascii="Century Gothic" w:hAnsi="Century Gothic" w:cs="Tahoma"/>
          <w:lang w:val="es-CO"/>
        </w:rPr>
      </w:pPr>
    </w:p>
    <w:p w14:paraId="02C8DD1B" w14:textId="77777777" w:rsidR="00571D4B" w:rsidRDefault="00571D4B" w:rsidP="009B6613">
      <w:pPr>
        <w:jc w:val="both"/>
        <w:rPr>
          <w:rFonts w:ascii="Century Gothic" w:hAnsi="Century Gothic" w:cs="Tahoma"/>
          <w:lang w:val="es-CO"/>
        </w:rPr>
      </w:pPr>
      <w:r>
        <w:rPr>
          <w:rFonts w:ascii="Century Gothic" w:hAnsi="Century Gothic" w:cs="Tahoma"/>
          <w:lang w:val="es-CO"/>
        </w:rPr>
        <w:t xml:space="preserve">Ahora bien, </w:t>
      </w:r>
      <w:r w:rsidRPr="00BA6AC5">
        <w:rPr>
          <w:rFonts w:ascii="Century Gothic" w:hAnsi="Century Gothic" w:cs="Tahoma"/>
          <w:b/>
          <w:u w:val="single"/>
          <w:lang w:val="es-CO"/>
        </w:rPr>
        <w:t xml:space="preserve">si en juicio de gracia se alega por la demandada que al ser mi representado </w:t>
      </w:r>
      <w:r w:rsidR="0095213D" w:rsidRPr="00BA6AC5">
        <w:rPr>
          <w:rFonts w:ascii="Century Gothic" w:hAnsi="Century Gothic" w:cs="Tahoma"/>
          <w:b/>
          <w:u w:val="single"/>
          <w:lang w:val="es-CO"/>
        </w:rPr>
        <w:t xml:space="preserve">accionista propietario en la sociedad </w:t>
      </w:r>
      <w:proofErr w:type="spellStart"/>
      <w:r w:rsidR="0095213D" w:rsidRPr="00BA6AC5">
        <w:rPr>
          <w:rFonts w:ascii="Century Gothic" w:hAnsi="Century Gothic" w:cs="Tahoma"/>
          <w:b/>
          <w:u w:val="single"/>
          <w:lang w:val="es-CO"/>
        </w:rPr>
        <w:t>Multipolímeros</w:t>
      </w:r>
      <w:proofErr w:type="spellEnd"/>
      <w:r w:rsidR="0095213D" w:rsidRPr="00BA6AC5">
        <w:rPr>
          <w:rFonts w:ascii="Century Gothic" w:hAnsi="Century Gothic" w:cs="Tahoma"/>
          <w:b/>
          <w:u w:val="single"/>
          <w:lang w:val="es-CO"/>
        </w:rPr>
        <w:t xml:space="preserve"> S.A.S., solo del 9.2% del total de sus acciones, y de encontrarse probado que solo en dicho porcentaje se debería indemnización por concepto del daño emergente, y en atención a que tal situación se formulará como una pretensión subsidiaria, deberá el despacho acceder a la misma en caso de fracasar las principales.</w:t>
      </w:r>
    </w:p>
    <w:p w14:paraId="6ED7189E" w14:textId="77777777" w:rsidR="00571D4B" w:rsidRDefault="00571D4B" w:rsidP="009B6613">
      <w:pPr>
        <w:jc w:val="both"/>
        <w:rPr>
          <w:rFonts w:ascii="Century Gothic" w:hAnsi="Century Gothic" w:cs="Tahoma"/>
          <w:lang w:val="es-CO"/>
        </w:rPr>
      </w:pPr>
    </w:p>
    <w:p w14:paraId="4CD84E00" w14:textId="77777777" w:rsidR="005528ED" w:rsidRDefault="005528ED" w:rsidP="009B6613">
      <w:pPr>
        <w:jc w:val="both"/>
        <w:rPr>
          <w:rFonts w:ascii="Century Gothic" w:hAnsi="Century Gothic" w:cs="Tahoma"/>
          <w:lang w:val="es-CO"/>
        </w:rPr>
      </w:pPr>
      <w:r>
        <w:rPr>
          <w:rFonts w:ascii="Century Gothic" w:hAnsi="Century Gothic" w:cs="Tahoma"/>
          <w:lang w:val="es-CO"/>
        </w:rPr>
        <w:t xml:space="preserve">En relación con el </w:t>
      </w:r>
      <w:r w:rsidRPr="004D37EC">
        <w:rPr>
          <w:rFonts w:ascii="Century Gothic" w:hAnsi="Century Gothic" w:cs="Tahoma"/>
          <w:b/>
          <w:u w:val="single"/>
          <w:lang w:val="es-CO"/>
        </w:rPr>
        <w:t>daño moral</w:t>
      </w:r>
      <w:r>
        <w:rPr>
          <w:rFonts w:ascii="Century Gothic" w:hAnsi="Century Gothic" w:cs="Tahoma"/>
          <w:lang w:val="es-CO"/>
        </w:rPr>
        <w:t xml:space="preserve">, </w:t>
      </w:r>
      <w:r w:rsidR="002C721E">
        <w:rPr>
          <w:rFonts w:ascii="Century Gothic" w:hAnsi="Century Gothic" w:cs="Tahoma"/>
          <w:lang w:val="es-CO"/>
        </w:rPr>
        <w:t xml:space="preserve">debe tomarse en consideración que mi poderdante se encuentra inmerso en el dolor, el sentimiento de impotencia, la incertidumbre y la preocupación que quedaron como consecuencia del trámite de liquidación judicial de lo que fue una empresa familiar, que lastimosamente, tuvo que ser liquidada en un proceso donde se cometió un error judicial preponderante y que ha tenido incidencia en la decisión que dio por terminado el asunto, pues es apenas comprensible que ante tal evento un ser humano sienta tristeza, depresión, angustia, máxime cuando lo resuelto por la </w:t>
      </w:r>
      <w:proofErr w:type="spellStart"/>
      <w:r w:rsidR="002C721E">
        <w:rPr>
          <w:rFonts w:ascii="Century Gothic" w:hAnsi="Century Gothic" w:cs="Tahoma"/>
          <w:lang w:val="es-CO"/>
        </w:rPr>
        <w:t>Supersociedades</w:t>
      </w:r>
      <w:proofErr w:type="spellEnd"/>
      <w:r w:rsidR="002C721E">
        <w:rPr>
          <w:rFonts w:ascii="Century Gothic" w:hAnsi="Century Gothic" w:cs="Tahoma"/>
          <w:lang w:val="es-CO"/>
        </w:rPr>
        <w:t xml:space="preserve"> no corresponde a una decisión transitoria, y más allá de ello, se erige como un daño irreversible, de gran magnitud, pues no solo está de por medio el esfuerzo y sentimiento de propiedad sobre la sociedad liquidada, sino, que esta tenía como accionistas o socios al hermano y padre de mi poderdante, señores JOSÉ LUIS HOYOS VALDERRAMA y MANUEL JOSÉ HOYOS BUENO, con quienes mi mandante perdió su relación afectiva.</w:t>
      </w:r>
    </w:p>
    <w:p w14:paraId="2135366F" w14:textId="77777777" w:rsidR="002C721E" w:rsidRDefault="002C721E" w:rsidP="009B6613">
      <w:pPr>
        <w:jc w:val="both"/>
        <w:rPr>
          <w:rFonts w:ascii="Century Gothic" w:hAnsi="Century Gothic" w:cs="Tahoma"/>
          <w:lang w:val="es-CO"/>
        </w:rPr>
      </w:pPr>
    </w:p>
    <w:p w14:paraId="11761166" w14:textId="0330261E" w:rsidR="002C721E" w:rsidRDefault="002C721E" w:rsidP="009B6613">
      <w:pPr>
        <w:jc w:val="both"/>
        <w:rPr>
          <w:rFonts w:ascii="Century Gothic" w:hAnsi="Century Gothic" w:cs="Tahoma"/>
          <w:lang w:val="es-CO"/>
        </w:rPr>
      </w:pPr>
      <w:r>
        <w:rPr>
          <w:rFonts w:ascii="Century Gothic" w:hAnsi="Century Gothic" w:cs="Tahoma"/>
          <w:lang w:val="es-CO"/>
        </w:rPr>
        <w:t xml:space="preserve">Es por ello que este perjuicio se reclama y se tasa </w:t>
      </w:r>
      <w:r w:rsidR="00A50B7D">
        <w:rPr>
          <w:rFonts w:ascii="Century Gothic" w:hAnsi="Century Gothic" w:cs="Tahoma"/>
          <w:lang w:val="es-CO"/>
        </w:rPr>
        <w:t>en la suma de 100 SMMLV., o $130</w:t>
      </w:r>
      <w:r>
        <w:rPr>
          <w:rFonts w:ascii="Century Gothic" w:hAnsi="Century Gothic" w:cs="Tahoma"/>
          <w:lang w:val="es-CO"/>
        </w:rPr>
        <w:t xml:space="preserve">.000.000 M/Cte., sin perjuicio de que se acuda a la voluntariedad o arbitrio </w:t>
      </w:r>
      <w:proofErr w:type="spellStart"/>
      <w:r>
        <w:rPr>
          <w:rFonts w:ascii="Century Gothic" w:hAnsi="Century Gothic" w:cs="Tahoma"/>
          <w:lang w:val="es-CO"/>
        </w:rPr>
        <w:t>judicis</w:t>
      </w:r>
      <w:proofErr w:type="spellEnd"/>
      <w:r>
        <w:rPr>
          <w:rFonts w:ascii="Century Gothic" w:hAnsi="Century Gothic" w:cs="Tahoma"/>
          <w:lang w:val="es-CO"/>
        </w:rPr>
        <w:t xml:space="preserve"> de acuerdo al principio del </w:t>
      </w:r>
      <w:proofErr w:type="spellStart"/>
      <w:r>
        <w:rPr>
          <w:rFonts w:ascii="Century Gothic" w:hAnsi="Century Gothic" w:cs="Tahoma"/>
          <w:lang w:val="es-CO"/>
        </w:rPr>
        <w:t>petitum</w:t>
      </w:r>
      <w:proofErr w:type="spellEnd"/>
      <w:r>
        <w:rPr>
          <w:rFonts w:ascii="Century Gothic" w:hAnsi="Century Gothic" w:cs="Tahoma"/>
          <w:lang w:val="es-CO"/>
        </w:rPr>
        <w:t xml:space="preserve"> </w:t>
      </w:r>
      <w:proofErr w:type="spellStart"/>
      <w:r>
        <w:rPr>
          <w:rFonts w:ascii="Century Gothic" w:hAnsi="Century Gothic" w:cs="Tahoma"/>
          <w:lang w:val="es-CO"/>
        </w:rPr>
        <w:t>doloris</w:t>
      </w:r>
      <w:proofErr w:type="spellEnd"/>
      <w:r>
        <w:rPr>
          <w:rFonts w:ascii="Century Gothic" w:hAnsi="Century Gothic" w:cs="Tahoma"/>
          <w:lang w:val="es-CO"/>
        </w:rPr>
        <w:t>.</w:t>
      </w:r>
    </w:p>
    <w:p w14:paraId="57CDDC6A" w14:textId="77777777" w:rsidR="00BA6AC5" w:rsidRDefault="00BA6AC5" w:rsidP="009B6613">
      <w:pPr>
        <w:jc w:val="both"/>
        <w:rPr>
          <w:rFonts w:ascii="Century Gothic" w:hAnsi="Century Gothic" w:cs="Tahoma"/>
          <w:lang w:val="es-CO"/>
        </w:rPr>
      </w:pPr>
    </w:p>
    <w:p w14:paraId="0F8DAFB1" w14:textId="6D9E627E" w:rsidR="00BA6AC5" w:rsidRDefault="00BA6AC5" w:rsidP="009B6613">
      <w:pPr>
        <w:jc w:val="both"/>
        <w:rPr>
          <w:rFonts w:ascii="Century Gothic" w:hAnsi="Century Gothic" w:cs="Tahoma"/>
        </w:rPr>
      </w:pPr>
      <w:r>
        <w:rPr>
          <w:rFonts w:ascii="Century Gothic" w:hAnsi="Century Gothic" w:cs="Tahoma"/>
          <w:lang w:val="es-CO"/>
        </w:rPr>
        <w:t xml:space="preserve">Finalmente, y que se propondrá como pretensión subsidiaria, encontramos la configuración del perjuicio de </w:t>
      </w:r>
      <w:r w:rsidR="004D37EC" w:rsidRPr="004D37EC">
        <w:rPr>
          <w:rFonts w:ascii="Century Gothic" w:hAnsi="Century Gothic" w:cs="Tahoma"/>
          <w:b/>
          <w:u w:val="single"/>
          <w:lang w:val="es-CO"/>
        </w:rPr>
        <w:t>pérdida</w:t>
      </w:r>
      <w:r w:rsidRPr="004D37EC">
        <w:rPr>
          <w:rFonts w:ascii="Century Gothic" w:hAnsi="Century Gothic" w:cs="Tahoma"/>
          <w:b/>
          <w:u w:val="single"/>
          <w:lang w:val="es-CO"/>
        </w:rPr>
        <w:t xml:space="preserve"> de oportunidad</w:t>
      </w:r>
      <w:r>
        <w:rPr>
          <w:rFonts w:ascii="Century Gothic" w:hAnsi="Century Gothic" w:cs="Tahoma"/>
          <w:lang w:val="es-CO"/>
        </w:rPr>
        <w:t xml:space="preserve">, sobre el cual el Concejo de Estado, Sala de lo Contencioso Administrativo, Sección Tercera, Subsección B, en radicado No. </w:t>
      </w:r>
      <w:r>
        <w:rPr>
          <w:rFonts w:ascii="Century Gothic" w:hAnsi="Century Gothic" w:cs="Tahoma"/>
        </w:rPr>
        <w:t>630012331000200300261</w:t>
      </w:r>
      <w:r w:rsidRPr="00BA6AC5">
        <w:rPr>
          <w:rFonts w:ascii="Century Gothic" w:hAnsi="Century Gothic" w:cs="Tahoma"/>
        </w:rPr>
        <w:t>01</w:t>
      </w:r>
      <w:r>
        <w:rPr>
          <w:rFonts w:ascii="Century Gothic" w:hAnsi="Century Gothic" w:cs="Tahoma"/>
        </w:rPr>
        <w:t xml:space="preserve"> (</w:t>
      </w:r>
      <w:proofErr w:type="spellStart"/>
      <w:r>
        <w:rPr>
          <w:rFonts w:ascii="Century Gothic" w:hAnsi="Century Gothic" w:cs="Tahoma"/>
        </w:rPr>
        <w:t>Exp</w:t>
      </w:r>
      <w:proofErr w:type="spellEnd"/>
      <w:r>
        <w:rPr>
          <w:rFonts w:ascii="Century Gothic" w:hAnsi="Century Gothic" w:cs="Tahoma"/>
        </w:rPr>
        <w:t>. 38267)</w:t>
      </w:r>
      <w:r>
        <w:rPr>
          <w:rStyle w:val="Refdenotaalpie"/>
          <w:rFonts w:ascii="Century Gothic" w:hAnsi="Century Gothic" w:cs="Tahoma"/>
        </w:rPr>
        <w:footnoteReference w:id="13"/>
      </w:r>
      <w:r>
        <w:rPr>
          <w:rFonts w:ascii="Century Gothic" w:hAnsi="Century Gothic" w:cs="Tahoma"/>
        </w:rPr>
        <w:t>, ha dicho:</w:t>
      </w:r>
    </w:p>
    <w:p w14:paraId="75CA7F63" w14:textId="77777777" w:rsidR="00AA055A" w:rsidRDefault="00AA055A" w:rsidP="009B6613">
      <w:pPr>
        <w:jc w:val="both"/>
        <w:rPr>
          <w:rFonts w:ascii="Century Gothic" w:hAnsi="Century Gothic" w:cs="Tahoma"/>
        </w:rPr>
      </w:pPr>
    </w:p>
    <w:p w14:paraId="7485E7DB" w14:textId="5B46B300" w:rsidR="00AA055A" w:rsidRPr="00C177DB" w:rsidRDefault="00AA055A" w:rsidP="00E008C7">
      <w:pPr>
        <w:ind w:left="708" w:right="701"/>
        <w:jc w:val="both"/>
        <w:rPr>
          <w:rFonts w:ascii="Century Gothic" w:hAnsi="Century Gothic" w:cs="Tahoma"/>
          <w:sz w:val="20"/>
          <w:szCs w:val="20"/>
        </w:rPr>
      </w:pPr>
      <w:r w:rsidRPr="00C177DB">
        <w:rPr>
          <w:rFonts w:ascii="Century Gothic" w:hAnsi="Century Gothic" w:cs="Tahoma"/>
          <w:sz w:val="20"/>
          <w:szCs w:val="20"/>
        </w:rPr>
        <w:t>9.1. En efecto, en consideración a que jurisprudencialmente se ha estimado que el truncamiento de una oportunidad de percibir un beneficio o de evitar un menoscabo difiere de la afectación de un derecho o de un interés consolidado, en el sentido de que tiene una entidad inferior a éste y por lo tanto, su violación acarrea en todos los casos una menor indemnización</w:t>
      </w:r>
      <w:r w:rsidRPr="00C177DB">
        <w:rPr>
          <w:rFonts w:ascii="Century Gothic" w:hAnsi="Century Gothic" w:cs="Tahoma"/>
          <w:sz w:val="20"/>
          <w:szCs w:val="20"/>
          <w:vertAlign w:val="superscript"/>
        </w:rPr>
        <w:t>(25)</w:t>
      </w:r>
      <w:r w:rsidRPr="00C177DB">
        <w:rPr>
          <w:rFonts w:ascii="Century Gothic" w:hAnsi="Century Gothic" w:cs="Tahoma"/>
          <w:sz w:val="20"/>
          <w:szCs w:val="20"/>
        </w:rPr>
        <w:t>, es evidente que en esta instancia no es posible reconocer la existencia de un daño de mayor categoría al que fue expresamente indemnizado en la sentencia impugnada, esto es, al cercenamiento de la ocasión de haber podido percibir la reparación patrimonial que se desprendía de las sentencias que fueron anuladas en el procedimiento penal, en tanto ello, al momento de definir el monto del correspondiente resarcimiento de perjuicios en este proceso contencioso administrativo, implicaría la vulneración del principio de la no reforma en peor establecida a favor de la Nación-Rama Judicial como única apelante.</w:t>
      </w:r>
    </w:p>
    <w:p w14:paraId="66D72B68" w14:textId="77777777" w:rsidR="00AA055A" w:rsidRPr="00C177DB" w:rsidRDefault="00AA055A" w:rsidP="00E008C7">
      <w:pPr>
        <w:jc w:val="both"/>
        <w:rPr>
          <w:rFonts w:ascii="Century Gothic" w:hAnsi="Century Gothic" w:cs="Tahoma"/>
          <w:sz w:val="20"/>
          <w:szCs w:val="20"/>
        </w:rPr>
      </w:pPr>
    </w:p>
    <w:p w14:paraId="67A917D6" w14:textId="1F40B951" w:rsidR="00AA055A" w:rsidRPr="00C177DB" w:rsidRDefault="00AA055A" w:rsidP="00E008C7">
      <w:pPr>
        <w:ind w:left="708" w:right="701"/>
        <w:jc w:val="both"/>
        <w:rPr>
          <w:rFonts w:ascii="Century Gothic" w:hAnsi="Century Gothic" w:cs="Tahoma"/>
          <w:sz w:val="20"/>
          <w:szCs w:val="20"/>
        </w:rPr>
      </w:pPr>
      <w:r w:rsidRPr="00C177DB">
        <w:rPr>
          <w:rFonts w:ascii="Century Gothic" w:hAnsi="Century Gothic" w:cs="Tahoma"/>
          <w:sz w:val="20"/>
          <w:szCs w:val="20"/>
        </w:rPr>
        <w:t>9.2. Teniendo en cuenta lo expuesto, se principia por verificar que en una adecuada </w:t>
      </w:r>
      <w:r w:rsidRPr="00C177DB">
        <w:rPr>
          <w:rFonts w:ascii="Century Gothic" w:hAnsi="Century Gothic" w:cs="Tahoma"/>
          <w:b/>
          <w:bCs/>
          <w:sz w:val="20"/>
          <w:szCs w:val="20"/>
        </w:rPr>
        <w:t>interpretación de la demanda</w:t>
      </w:r>
      <w:r w:rsidRPr="00C177DB">
        <w:rPr>
          <w:rFonts w:ascii="Century Gothic" w:hAnsi="Century Gothic" w:cs="Tahoma"/>
          <w:sz w:val="20"/>
          <w:szCs w:val="20"/>
        </w:rPr>
        <w:t xml:space="preserve">, al Tribunal Contencioso Administrativo del Quindío le era factible condenar al órgano estatal señalado por la aducida pérdida de oportunidad, sin que ello hubiese conllevado a la vulneración del principio de </w:t>
      </w:r>
      <w:r w:rsidRPr="00C177DB">
        <w:rPr>
          <w:rFonts w:ascii="Century Gothic" w:hAnsi="Century Gothic" w:cs="Tahoma"/>
          <w:sz w:val="20"/>
          <w:szCs w:val="20"/>
        </w:rPr>
        <w:lastRenderedPageBreak/>
        <w:t>congruencia que rige la actividad judicial establecido en el artículo 305</w:t>
      </w:r>
      <w:r w:rsidRPr="00C177DB">
        <w:rPr>
          <w:rFonts w:ascii="Century Gothic" w:hAnsi="Century Gothic" w:cs="Tahoma"/>
          <w:sz w:val="20"/>
          <w:szCs w:val="20"/>
          <w:vertAlign w:val="superscript"/>
        </w:rPr>
        <w:t>(26)</w:t>
      </w:r>
      <w:r w:rsidRPr="00C177DB">
        <w:rPr>
          <w:rFonts w:ascii="Century Gothic" w:hAnsi="Century Gothic" w:cs="Tahoma"/>
          <w:sz w:val="20"/>
          <w:szCs w:val="20"/>
        </w:rPr>
        <w:t> del Código de Procedimiento Civil</w:t>
      </w:r>
      <w:r w:rsidRPr="00C177DB">
        <w:rPr>
          <w:rFonts w:ascii="Century Gothic" w:hAnsi="Century Gothic" w:cs="Tahoma"/>
          <w:i/>
          <w:iCs/>
          <w:sz w:val="20"/>
          <w:szCs w:val="20"/>
        </w:rPr>
        <w:t>,</w:t>
      </w:r>
      <w:r w:rsidRPr="00C177DB">
        <w:rPr>
          <w:rFonts w:ascii="Century Gothic" w:hAnsi="Century Gothic" w:cs="Tahoma"/>
          <w:sz w:val="20"/>
          <w:szCs w:val="20"/>
        </w:rPr>
        <w:t> habida cuenta de que si bien se solicitó la totalidad de la suma equivalente a los 500 gramos oro que fueron reconocidos en los dos fallos penales anulados, como si se hubiese demandado por el derecho indubitable que se tenía a recibir esos resarcimientos en su totalidad pese a las declaratorias de nulidad respectivas y a la posibilidad de que en la segunda instancia de ese proceso se hubiese revocado o morigerado tal determinación, lo cierto es que además de que las pretensiones de la demanda y la identificación del daño se formularon en forma genérica, tanto en el acápite de dichas peticiones como en el de los hechos que sustentan el libelo introductorio se invocó la configuración de una posibilidad frustrada, lo que a todas luces habilita su estudio por parte de esta jurisdicción y que sea viable edificar una condena con base en el mismo.</w:t>
      </w:r>
    </w:p>
    <w:p w14:paraId="30CBA5B9" w14:textId="77777777" w:rsidR="00AA055A" w:rsidRPr="00C177DB" w:rsidRDefault="00AA055A" w:rsidP="00E008C7">
      <w:pPr>
        <w:jc w:val="both"/>
        <w:rPr>
          <w:rFonts w:ascii="Century Gothic" w:hAnsi="Century Gothic" w:cs="Tahoma"/>
          <w:sz w:val="20"/>
          <w:szCs w:val="20"/>
        </w:rPr>
      </w:pPr>
    </w:p>
    <w:p w14:paraId="0FA178F6" w14:textId="06DFBDC6" w:rsidR="00AA055A" w:rsidRPr="00C177DB" w:rsidRDefault="00AA055A" w:rsidP="00E008C7">
      <w:pPr>
        <w:ind w:left="708" w:right="701"/>
        <w:jc w:val="both"/>
        <w:rPr>
          <w:rFonts w:ascii="Century Gothic" w:hAnsi="Century Gothic" w:cs="Tahoma"/>
          <w:sz w:val="20"/>
          <w:szCs w:val="20"/>
        </w:rPr>
      </w:pPr>
      <w:r w:rsidRPr="00C177DB">
        <w:rPr>
          <w:rFonts w:ascii="Century Gothic" w:hAnsi="Century Gothic" w:cs="Tahoma"/>
          <w:sz w:val="20"/>
          <w:szCs w:val="20"/>
        </w:rPr>
        <w:t>9.3. Al respecto, la Sala observa que, de una parte, el accionante no sólo manifestó que su daño correspondía a las afectaciones de sus intereses en general por “</w:t>
      </w:r>
      <w:r w:rsidRPr="00C177DB">
        <w:rPr>
          <w:rFonts w:ascii="Century Gothic" w:hAnsi="Century Gothic" w:cs="Tahoma"/>
          <w:i/>
          <w:iCs/>
          <w:sz w:val="20"/>
          <w:szCs w:val="20"/>
        </w:rPr>
        <w:t>la declaración de la prescripción de la acción penal y la consecuente cesación de procedimiento a favor del acusado EDUARDO ZAMBRANO</w:t>
      </w:r>
      <w:r w:rsidRPr="00C177DB">
        <w:rPr>
          <w:rFonts w:ascii="Century Gothic" w:hAnsi="Century Gothic" w:cs="Tahoma"/>
          <w:sz w:val="20"/>
          <w:szCs w:val="20"/>
        </w:rPr>
        <w:t>”, lo que ya sería suficiente para fundamentar la responsabilidad patrimonial del Estado en la producción de una pérdida de oportunidad</w:t>
      </w:r>
      <w:r w:rsidRPr="00C177DB">
        <w:rPr>
          <w:rFonts w:ascii="Century Gothic" w:hAnsi="Century Gothic" w:cs="Tahoma"/>
          <w:sz w:val="20"/>
          <w:szCs w:val="20"/>
          <w:vertAlign w:val="superscript"/>
        </w:rPr>
        <w:t>(27)</w:t>
      </w:r>
      <w:r w:rsidRPr="00C177DB">
        <w:rPr>
          <w:rFonts w:ascii="Century Gothic" w:hAnsi="Century Gothic" w:cs="Tahoma"/>
          <w:sz w:val="20"/>
          <w:szCs w:val="20"/>
        </w:rPr>
        <w:t>, sino que adicionalmente pidió que se declarara responsable a la Nación – Rama Judicial con ocasión del error jurisdiccional o el defectuoso funcionamiento de la administración de justicia en que hubiese incurrido, punto en el que solicitó que se le indemnizara a título de perjuicios morales el “</w:t>
      </w:r>
      <w:r w:rsidRPr="00C177DB">
        <w:rPr>
          <w:rFonts w:ascii="Century Gothic" w:hAnsi="Century Gothic" w:cs="Tahoma"/>
          <w:i/>
          <w:iCs/>
          <w:sz w:val="20"/>
          <w:szCs w:val="20"/>
        </w:rPr>
        <w:t>haber perdido la oportunidad de obtener la indemnización a que tenía derecho</w:t>
      </w:r>
      <w:r w:rsidRPr="00C177DB">
        <w:rPr>
          <w:rFonts w:ascii="Century Gothic" w:hAnsi="Century Gothic" w:cs="Tahoma"/>
          <w:sz w:val="20"/>
          <w:szCs w:val="20"/>
        </w:rPr>
        <w:t>”, lo que luego precisó como la “</w:t>
      </w:r>
      <w:r w:rsidRPr="00C177DB">
        <w:rPr>
          <w:rFonts w:ascii="Century Gothic" w:hAnsi="Century Gothic" w:cs="Tahoma"/>
          <w:i/>
          <w:iCs/>
          <w:sz w:val="20"/>
          <w:szCs w:val="20"/>
        </w:rPr>
        <w:t>pérdida de dicha oportunidad procesal</w:t>
      </w:r>
      <w:r w:rsidRPr="00C177DB">
        <w:rPr>
          <w:rFonts w:ascii="Century Gothic" w:hAnsi="Century Gothic" w:cs="Tahoma"/>
          <w:sz w:val="20"/>
          <w:szCs w:val="20"/>
        </w:rPr>
        <w:t>” —ver párrafo 1 y cita de pretensiones</w:t>
      </w:r>
      <w:r w:rsidRPr="00C177DB">
        <w:rPr>
          <w:rFonts w:ascii="Century Gothic" w:hAnsi="Century Gothic" w:cs="Tahoma"/>
          <w:i/>
          <w:iCs/>
          <w:sz w:val="20"/>
          <w:szCs w:val="20"/>
        </w:rPr>
        <w:t>—</w:t>
      </w:r>
      <w:r w:rsidRPr="00C177DB">
        <w:rPr>
          <w:rFonts w:ascii="Century Gothic" w:hAnsi="Century Gothic" w:cs="Tahoma"/>
          <w:sz w:val="20"/>
          <w:szCs w:val="20"/>
        </w:rPr>
        <w:t>, por lo que no se puede desconocer que manifiestamente elevó una pretensión en tal sentido.</w:t>
      </w:r>
    </w:p>
    <w:p w14:paraId="5CD4B82C" w14:textId="77777777" w:rsidR="00AA055A" w:rsidRPr="00C177DB" w:rsidRDefault="00AA055A" w:rsidP="00E008C7">
      <w:pPr>
        <w:jc w:val="both"/>
        <w:rPr>
          <w:rFonts w:ascii="Century Gothic" w:hAnsi="Century Gothic" w:cs="Tahoma"/>
          <w:sz w:val="20"/>
          <w:szCs w:val="20"/>
        </w:rPr>
      </w:pPr>
    </w:p>
    <w:p w14:paraId="67AA62D9" w14:textId="0EB7F0DB" w:rsidR="00AA055A" w:rsidRPr="00C177DB" w:rsidRDefault="00AA055A" w:rsidP="00E008C7">
      <w:pPr>
        <w:ind w:left="708" w:right="701"/>
        <w:jc w:val="both"/>
        <w:rPr>
          <w:rFonts w:ascii="Century Gothic" w:hAnsi="Century Gothic" w:cs="Tahoma"/>
          <w:sz w:val="20"/>
          <w:szCs w:val="20"/>
        </w:rPr>
      </w:pPr>
      <w:r w:rsidRPr="00C177DB">
        <w:rPr>
          <w:rFonts w:ascii="Century Gothic" w:hAnsi="Century Gothic" w:cs="Tahoma"/>
          <w:sz w:val="20"/>
          <w:szCs w:val="20"/>
        </w:rPr>
        <w:t>9.4. De otro lado, como </w:t>
      </w:r>
      <w:r w:rsidRPr="00C177DB">
        <w:rPr>
          <w:rFonts w:ascii="Century Gothic" w:hAnsi="Century Gothic" w:cs="Tahoma"/>
          <w:i/>
          <w:iCs/>
          <w:sz w:val="20"/>
          <w:szCs w:val="20"/>
        </w:rPr>
        <w:t>causa petendi</w:t>
      </w:r>
      <w:r w:rsidRPr="00C177DB">
        <w:rPr>
          <w:rFonts w:ascii="Century Gothic" w:hAnsi="Century Gothic" w:cs="Tahoma"/>
          <w:sz w:val="20"/>
          <w:szCs w:val="20"/>
        </w:rPr>
        <w:t>, aseveró que la conducta de la Nación-Rama Judicial que conllevó a la prescripción de la acción penal le había eliminado “</w:t>
      </w:r>
      <w:r w:rsidRPr="00C177DB">
        <w:rPr>
          <w:rFonts w:ascii="Century Gothic" w:hAnsi="Century Gothic" w:cs="Tahoma"/>
          <w:i/>
          <w:iCs/>
          <w:sz w:val="20"/>
          <w:szCs w:val="20"/>
        </w:rPr>
        <w:t>de manera irreductible y ostensible la posibilidad</w:t>
      </w:r>
      <w:r w:rsidRPr="00C177DB">
        <w:rPr>
          <w:rFonts w:ascii="Century Gothic" w:hAnsi="Century Gothic" w:cs="Tahoma"/>
          <w:sz w:val="20"/>
          <w:szCs w:val="20"/>
        </w:rPr>
        <w:t>” de “</w:t>
      </w:r>
      <w:r w:rsidRPr="00C177DB">
        <w:rPr>
          <w:rFonts w:ascii="Century Gothic" w:hAnsi="Century Gothic" w:cs="Tahoma"/>
          <w:i/>
          <w:iCs/>
          <w:sz w:val="20"/>
          <w:szCs w:val="20"/>
        </w:rPr>
        <w:t>perseguir el pago de los perjuicios irrogados</w:t>
      </w:r>
      <w:r w:rsidRPr="00C177DB">
        <w:rPr>
          <w:rFonts w:ascii="Century Gothic" w:hAnsi="Century Gothic" w:cs="Tahoma"/>
          <w:sz w:val="20"/>
          <w:szCs w:val="20"/>
        </w:rPr>
        <w:t>” con ocasión del accidente de tránsito que sufrió —ver párrafo 1.4 y cita posterior—, por lo que tampoco es posible soslayar que el demandante deprecó la existencia de una pérdida de oportunidad en los hechos fundamento de su escrito inicial.</w:t>
      </w:r>
    </w:p>
    <w:p w14:paraId="4E0E3C4A" w14:textId="77777777" w:rsidR="00AA055A" w:rsidRPr="00C177DB" w:rsidRDefault="00AA055A" w:rsidP="00E008C7">
      <w:pPr>
        <w:jc w:val="both"/>
        <w:rPr>
          <w:rFonts w:ascii="Century Gothic" w:hAnsi="Century Gothic" w:cs="Tahoma"/>
          <w:sz w:val="20"/>
          <w:szCs w:val="20"/>
        </w:rPr>
      </w:pPr>
    </w:p>
    <w:p w14:paraId="132BD4ED" w14:textId="34E2C25C" w:rsidR="00AA055A" w:rsidRPr="00C177DB" w:rsidRDefault="00AA055A" w:rsidP="00E008C7">
      <w:pPr>
        <w:ind w:left="708" w:right="701"/>
        <w:jc w:val="both"/>
        <w:rPr>
          <w:rFonts w:ascii="Century Gothic" w:hAnsi="Century Gothic" w:cs="Tahoma"/>
          <w:sz w:val="20"/>
          <w:szCs w:val="20"/>
        </w:rPr>
      </w:pPr>
      <w:r w:rsidRPr="00C177DB">
        <w:rPr>
          <w:rFonts w:ascii="Century Gothic" w:hAnsi="Century Gothic" w:cs="Tahoma"/>
          <w:sz w:val="20"/>
          <w:szCs w:val="20"/>
        </w:rPr>
        <w:t>9.5. Teniendo en cuenta lo expuesto, resulta diáfano que al tribunal </w:t>
      </w:r>
      <w:r w:rsidRPr="00C177DB">
        <w:rPr>
          <w:rFonts w:ascii="Century Gothic" w:hAnsi="Century Gothic" w:cs="Tahoma"/>
          <w:i/>
          <w:iCs/>
          <w:sz w:val="20"/>
          <w:szCs w:val="20"/>
        </w:rPr>
        <w:t>a quo</w:t>
      </w:r>
      <w:r w:rsidRPr="00C177DB">
        <w:rPr>
          <w:rFonts w:ascii="Century Gothic" w:hAnsi="Century Gothic" w:cs="Tahoma"/>
          <w:sz w:val="20"/>
          <w:szCs w:val="20"/>
        </w:rPr>
        <w:t> le era dable construir el juicio de responsabilidad respectivo con base en la configuración del aducido cercenamiento de una expectativa, consideraciones que resultan igualmente predicables respecto de la facultad que tiene la Sala en esta instancia para pronunciarse al respecto.</w:t>
      </w:r>
    </w:p>
    <w:p w14:paraId="6717F690" w14:textId="77777777" w:rsidR="00AA055A" w:rsidRPr="00C177DB" w:rsidRDefault="00AA055A" w:rsidP="00E008C7">
      <w:pPr>
        <w:jc w:val="both"/>
        <w:rPr>
          <w:rFonts w:ascii="Century Gothic" w:hAnsi="Century Gothic" w:cs="Tahoma"/>
          <w:sz w:val="20"/>
          <w:szCs w:val="20"/>
        </w:rPr>
      </w:pPr>
    </w:p>
    <w:p w14:paraId="5EEC9DD5" w14:textId="77777777" w:rsidR="00AA055A" w:rsidRPr="00C177DB" w:rsidRDefault="00AA055A" w:rsidP="00E008C7">
      <w:pPr>
        <w:ind w:left="708" w:right="701"/>
        <w:jc w:val="both"/>
        <w:rPr>
          <w:rFonts w:ascii="Century Gothic" w:hAnsi="Century Gothic" w:cs="Tahoma"/>
          <w:sz w:val="20"/>
          <w:szCs w:val="20"/>
          <w:lang w:val="es-CO"/>
        </w:rPr>
      </w:pPr>
      <w:r w:rsidRPr="00C177DB">
        <w:rPr>
          <w:rFonts w:ascii="Century Gothic" w:hAnsi="Century Gothic" w:cs="Tahoma"/>
          <w:sz w:val="20"/>
          <w:szCs w:val="20"/>
          <w:lang w:val="es-CO"/>
        </w:rPr>
        <w:t>10. Con observancia de lo expuesto, en cuanto a la producción del </w:t>
      </w:r>
      <w:r w:rsidRPr="00C177DB">
        <w:rPr>
          <w:rFonts w:ascii="Century Gothic" w:hAnsi="Century Gothic" w:cs="Tahoma"/>
          <w:b/>
          <w:bCs/>
          <w:sz w:val="20"/>
          <w:szCs w:val="20"/>
          <w:lang w:val="es-CO"/>
        </w:rPr>
        <w:t>daño</w:t>
      </w:r>
      <w:r w:rsidRPr="00C177DB">
        <w:rPr>
          <w:rFonts w:ascii="Century Gothic" w:hAnsi="Century Gothic" w:cs="Tahoma"/>
          <w:sz w:val="20"/>
          <w:szCs w:val="20"/>
          <w:lang w:val="es-CO"/>
        </w:rPr>
        <w:t> de pérdida de oportunidad invocado en la demanda y definido en la sentencia apelada, se ha señalado que el mismo consiste en el cercenamiento de una ocasión aleatoria que tenía una persona de obtener un beneficio o de evitar un menoscabo, posibilidad benéfica que, sin perjuicio de que no es posible avizorar con toda certeza y sin margen de duda que se hubiese materializado en la situación favorable que se esperaba, no se puede desconocer que existía y que poseía una probabilidad considerable de haberse configurado en ésta.</w:t>
      </w:r>
    </w:p>
    <w:p w14:paraId="1D5ACFFA" w14:textId="77777777" w:rsidR="00AA055A" w:rsidRPr="00C177DB" w:rsidRDefault="00AA055A" w:rsidP="00E008C7">
      <w:pPr>
        <w:jc w:val="both"/>
        <w:rPr>
          <w:rFonts w:ascii="Century Gothic" w:hAnsi="Century Gothic" w:cs="Tahoma"/>
          <w:sz w:val="20"/>
          <w:szCs w:val="20"/>
          <w:lang w:val="es-CO"/>
        </w:rPr>
      </w:pPr>
    </w:p>
    <w:p w14:paraId="7F2693E2" w14:textId="2A594D0C" w:rsidR="00AA055A" w:rsidRPr="00C177DB" w:rsidRDefault="00AA055A" w:rsidP="00E008C7">
      <w:pPr>
        <w:ind w:left="708" w:right="701"/>
        <w:jc w:val="both"/>
        <w:rPr>
          <w:rFonts w:ascii="Century Gothic" w:hAnsi="Century Gothic" w:cs="Tahoma"/>
          <w:sz w:val="20"/>
          <w:szCs w:val="20"/>
        </w:rPr>
      </w:pPr>
      <w:r w:rsidRPr="00C177DB">
        <w:rPr>
          <w:rFonts w:ascii="Century Gothic" w:hAnsi="Century Gothic" w:cs="Tahoma"/>
          <w:sz w:val="20"/>
          <w:szCs w:val="20"/>
        </w:rPr>
        <w:t>10.1. Es así como se ha indicado que la posibilidad truncada se trata de una clase autónoma de menoscabo, “</w:t>
      </w:r>
      <w:r w:rsidRPr="00C177DB">
        <w:rPr>
          <w:rFonts w:ascii="Century Gothic" w:hAnsi="Century Gothic" w:cs="Tahoma"/>
          <w:i/>
          <w:iCs/>
          <w:sz w:val="20"/>
          <w:szCs w:val="20"/>
        </w:rPr>
        <w:t>caracterizada porque en ella coexisten un elemento de certeza y otro de incertidumbre: la certeza de que en caso de no haber mediado el hecho dañino el damnificado habría conservado la esperanza de obtener en el futuro una ganancia o de evitar una pérdida para su patrimonio y la incertidumbre, definitiva ya, en torno de si habiéndose mantenido la situación fáctica y/o jurídica que constituía presupuesto de la oportunidad, realmente la ganancia se habría obtenido o la pérdida se hubiere evitado (...)</w:t>
      </w:r>
      <w:r w:rsidRPr="00C177DB">
        <w:rPr>
          <w:rFonts w:ascii="Century Gothic" w:hAnsi="Century Gothic" w:cs="Tahoma"/>
          <w:sz w:val="20"/>
          <w:szCs w:val="20"/>
        </w:rPr>
        <w:t>”</w:t>
      </w:r>
      <w:r w:rsidRPr="00C177DB">
        <w:rPr>
          <w:rFonts w:ascii="Century Gothic" w:hAnsi="Century Gothic" w:cs="Tahoma"/>
          <w:sz w:val="20"/>
          <w:szCs w:val="20"/>
          <w:vertAlign w:val="superscript"/>
        </w:rPr>
        <w:t>(28)</w:t>
      </w:r>
      <w:r w:rsidRPr="00C177DB">
        <w:rPr>
          <w:rFonts w:ascii="Century Gothic" w:hAnsi="Century Gothic" w:cs="Tahoma"/>
          <w:sz w:val="20"/>
          <w:szCs w:val="20"/>
        </w:rPr>
        <w:t>.</w:t>
      </w:r>
    </w:p>
    <w:p w14:paraId="6FE9196E" w14:textId="77777777" w:rsidR="00AA055A" w:rsidRPr="00C177DB" w:rsidRDefault="00AA055A" w:rsidP="00E008C7">
      <w:pPr>
        <w:jc w:val="both"/>
        <w:rPr>
          <w:rFonts w:ascii="Century Gothic" w:hAnsi="Century Gothic" w:cs="Tahoma"/>
          <w:sz w:val="20"/>
          <w:szCs w:val="20"/>
        </w:rPr>
      </w:pPr>
    </w:p>
    <w:p w14:paraId="5C8171EB" w14:textId="59C12076" w:rsidR="00AA055A" w:rsidRPr="00C177DB" w:rsidRDefault="00AA055A" w:rsidP="00E008C7">
      <w:pPr>
        <w:ind w:left="708" w:right="701"/>
        <w:jc w:val="both"/>
        <w:rPr>
          <w:rFonts w:ascii="Century Gothic" w:hAnsi="Century Gothic" w:cs="Tahoma"/>
          <w:sz w:val="20"/>
          <w:szCs w:val="20"/>
        </w:rPr>
      </w:pPr>
      <w:r w:rsidRPr="00C177DB">
        <w:rPr>
          <w:rFonts w:ascii="Century Gothic" w:hAnsi="Century Gothic" w:cs="Tahoma"/>
          <w:sz w:val="20"/>
          <w:szCs w:val="20"/>
        </w:rPr>
        <w:t xml:space="preserve">10.2. De esta manera, la pérdida de oportunidad, como daño autónomo, demuestra que éste no siempre comporta la transgresión de un derecho subjetivo, pues la sola esperanza probable de obtener un beneficio o de evitar una pérdida mayor constituye un bien jurídicamente protegido cuya afección debe limitarse a la </w:t>
      </w:r>
      <w:r w:rsidRPr="00C177DB">
        <w:rPr>
          <w:rFonts w:ascii="Century Gothic" w:hAnsi="Century Gothic" w:cs="Tahoma"/>
          <w:sz w:val="20"/>
          <w:szCs w:val="20"/>
        </w:rPr>
        <w:lastRenderedPageBreak/>
        <w:t>oportunidad en sí misma, con prescindencia del resultado final incierto, esto es, al beneficio que se esperaba lograr o a la pérdida que se pretendía eludir, los cuales constituyen otros tipos de daño.</w:t>
      </w:r>
    </w:p>
    <w:p w14:paraId="530C69CD" w14:textId="77777777" w:rsidR="00AA055A" w:rsidRPr="00C177DB" w:rsidRDefault="00AA055A" w:rsidP="00E008C7">
      <w:pPr>
        <w:jc w:val="both"/>
        <w:rPr>
          <w:rFonts w:ascii="Century Gothic" w:hAnsi="Century Gothic" w:cs="Tahoma"/>
          <w:sz w:val="20"/>
          <w:szCs w:val="20"/>
        </w:rPr>
      </w:pPr>
    </w:p>
    <w:p w14:paraId="1E43B345" w14:textId="4C07D703" w:rsidR="00AA055A" w:rsidRPr="00C177DB" w:rsidRDefault="00AA055A" w:rsidP="00E008C7">
      <w:pPr>
        <w:ind w:left="708" w:right="701"/>
        <w:jc w:val="both"/>
        <w:rPr>
          <w:rFonts w:ascii="Century Gothic" w:hAnsi="Century Gothic" w:cs="Tahoma"/>
          <w:sz w:val="20"/>
          <w:szCs w:val="20"/>
        </w:rPr>
      </w:pPr>
      <w:r w:rsidRPr="00C177DB">
        <w:rPr>
          <w:rFonts w:ascii="Century Gothic" w:hAnsi="Century Gothic" w:cs="Tahoma"/>
          <w:sz w:val="20"/>
          <w:szCs w:val="20"/>
        </w:rPr>
        <w:t>10.3. En otros palabras, se ha distinguido entre el daño consistente en la imposibilidad definitiva de obtener un beneficio o de evitar un perjuicio, caso en el cual el objeto de la indemnización es, precisamente, el beneficio dejado de obtener o el perjuicio que no fue evitado, y aquel que tiene que ver con la pérdida de una probabilidad que, aunque existente, no garantizaba el resultado esperado, pese a que sí abría la puerta a su obtención en un porcentaje que constituirá el objeto de la indemnización. A título de ejemplo, en materia de indemnización de expectativas legítimas, esta Subsección ha manifestado:</w:t>
      </w:r>
    </w:p>
    <w:p w14:paraId="4CBA0C6F" w14:textId="77777777" w:rsidR="00AA055A" w:rsidRPr="00C177DB" w:rsidRDefault="00AA055A" w:rsidP="00E008C7">
      <w:pPr>
        <w:jc w:val="both"/>
        <w:rPr>
          <w:rFonts w:ascii="Century Gothic" w:hAnsi="Century Gothic" w:cs="Tahoma"/>
          <w:sz w:val="20"/>
          <w:szCs w:val="20"/>
        </w:rPr>
      </w:pPr>
    </w:p>
    <w:p w14:paraId="039E66D6" w14:textId="3FD4A813" w:rsidR="00AA055A" w:rsidRPr="00C177DB" w:rsidRDefault="00AA055A" w:rsidP="00E008C7">
      <w:pPr>
        <w:ind w:left="1416" w:right="701"/>
        <w:jc w:val="both"/>
        <w:rPr>
          <w:rFonts w:ascii="Century Gothic" w:hAnsi="Century Gothic" w:cs="Tahoma"/>
          <w:sz w:val="20"/>
          <w:szCs w:val="20"/>
          <w:lang w:val="es-CO"/>
        </w:rPr>
      </w:pPr>
      <w:r w:rsidRPr="00C177DB">
        <w:rPr>
          <w:rFonts w:ascii="Century Gothic" w:hAnsi="Century Gothic" w:cs="Tahoma"/>
          <w:i/>
          <w:iCs/>
          <w:sz w:val="20"/>
          <w:szCs w:val="20"/>
          <w:lang w:val="es-CO"/>
        </w:rPr>
        <w:t>La reparación de daños provenientes de la afectación de derechos adquiridos o situaciones jurídicas consolidadas atiende a la pérdida o menoscabo de ese derecho, mientras que la afectación de expectativas legítimas, que no de los estados de confianza, no puede repararse como si se hubiera perdido el derecho, pues nunca se ha tenido, sino como la privación de la posibilidad de obtener el que estaba en “vía de serlo</w:t>
      </w:r>
      <w:proofErr w:type="gramStart"/>
      <w:r w:rsidRPr="00C177DB">
        <w:rPr>
          <w:rFonts w:ascii="Century Gothic" w:hAnsi="Century Gothic" w:cs="Tahoma"/>
          <w:i/>
          <w:iCs/>
          <w:sz w:val="20"/>
          <w:szCs w:val="20"/>
          <w:lang w:val="es-CO"/>
        </w:rPr>
        <w:t>”</w:t>
      </w:r>
      <w:r w:rsidRPr="00C177DB">
        <w:rPr>
          <w:rFonts w:ascii="Century Gothic" w:hAnsi="Century Gothic" w:cs="Tahoma"/>
          <w:sz w:val="20"/>
          <w:szCs w:val="20"/>
          <w:vertAlign w:val="superscript"/>
          <w:lang w:val="es-CO"/>
        </w:rPr>
        <w:t>(</w:t>
      </w:r>
      <w:proofErr w:type="gramEnd"/>
      <w:r w:rsidRPr="00C177DB">
        <w:rPr>
          <w:rFonts w:ascii="Century Gothic" w:hAnsi="Century Gothic" w:cs="Tahoma"/>
          <w:sz w:val="20"/>
          <w:szCs w:val="20"/>
          <w:vertAlign w:val="superscript"/>
          <w:lang w:val="es-CO"/>
        </w:rPr>
        <w:t>29)</w:t>
      </w:r>
      <w:r w:rsidRPr="00C177DB">
        <w:rPr>
          <w:rFonts w:ascii="Century Gothic" w:hAnsi="Century Gothic" w:cs="Tahoma"/>
          <w:i/>
          <w:iCs/>
          <w:sz w:val="20"/>
          <w:szCs w:val="20"/>
          <w:lang w:val="es-CO"/>
        </w:rPr>
        <w:t>. Frente a este último punto, teniendo en cuenta que la afectación de las expectativas legítimas interrumpe intempestivamente el proceso de formación —“o en vía de serlo”— de derechos o la consolidación de determinadas situaciones jurídicas, la reparación de dichas expectativas quebrantadas deberá ser proporcional al grado de probabilidad de concreción y realización del derecho, de esta manera, el modo de reparación de daños antijurídicos derivados de vulneraciones a expectativas legítimas se debe enmarcar dentro de los parámetros de la oportunidad pérdida, siguiendo la premisa conocida del derecho de daños que circunscribe la indemnización de los perjuicios al daño, “solo el daño y nada más que el daño” a fin de evitar un enriquecimiento sin justa causa a favor de la víctima y no contrariar las reglas de la institución jurídica de la responsabilidad estatal: “el daño es la medida del resarcimiento”.</w:t>
      </w:r>
      <w:r w:rsidRPr="00C177DB">
        <w:rPr>
          <w:rFonts w:ascii="Century Gothic" w:hAnsi="Century Gothic" w:cs="Tahoma"/>
          <w:sz w:val="20"/>
          <w:szCs w:val="20"/>
          <w:vertAlign w:val="superscript"/>
          <w:lang w:val="es-CO"/>
        </w:rPr>
        <w:t>(30)</w:t>
      </w:r>
      <w:r w:rsidRPr="00C177DB">
        <w:rPr>
          <w:rFonts w:ascii="Century Gothic" w:hAnsi="Century Gothic" w:cs="Tahoma"/>
          <w:sz w:val="20"/>
          <w:szCs w:val="20"/>
          <w:lang w:val="es-CO"/>
        </w:rPr>
        <w:t> (...)</w:t>
      </w:r>
    </w:p>
    <w:p w14:paraId="5C40A5C3" w14:textId="77777777" w:rsidR="00AA055A" w:rsidRPr="00C177DB" w:rsidRDefault="00AA055A" w:rsidP="00E008C7">
      <w:pPr>
        <w:jc w:val="both"/>
        <w:rPr>
          <w:rFonts w:ascii="Century Gothic" w:hAnsi="Century Gothic" w:cs="Tahoma"/>
          <w:sz w:val="20"/>
          <w:szCs w:val="20"/>
          <w:lang w:val="es-CO"/>
        </w:rPr>
      </w:pPr>
    </w:p>
    <w:p w14:paraId="6EDBD277" w14:textId="77777777" w:rsidR="00AA055A" w:rsidRPr="00C177DB" w:rsidRDefault="00AA055A" w:rsidP="00E008C7">
      <w:pPr>
        <w:ind w:left="1416" w:right="701"/>
        <w:jc w:val="both"/>
        <w:rPr>
          <w:rFonts w:ascii="Century Gothic" w:hAnsi="Century Gothic" w:cs="Tahoma"/>
          <w:i/>
          <w:iCs/>
          <w:sz w:val="20"/>
          <w:szCs w:val="20"/>
          <w:lang w:val="es-CO"/>
        </w:rPr>
      </w:pPr>
      <w:r w:rsidRPr="00C177DB">
        <w:rPr>
          <w:rFonts w:ascii="Century Gothic" w:hAnsi="Century Gothic" w:cs="Tahoma"/>
          <w:i/>
          <w:iCs/>
          <w:sz w:val="20"/>
          <w:szCs w:val="20"/>
          <w:lang w:val="es-CO"/>
        </w:rPr>
        <w:t>10.2.8.2.1. Teniendo en consideración que el daño se origina por la amputación de una expectativa legítima a la consolidación de un derecho, bien sea, en tratándose de una aspiración de obtener un beneficio o una ganancia —polo positivo</w:t>
      </w:r>
      <w:r w:rsidRPr="00C177DB">
        <w:rPr>
          <w:rFonts w:ascii="Century Gothic" w:hAnsi="Century Gothic" w:cs="Tahoma"/>
          <w:sz w:val="20"/>
          <w:szCs w:val="20"/>
          <w:vertAlign w:val="superscript"/>
          <w:lang w:val="es-CO"/>
        </w:rPr>
        <w:t>(31)</w:t>
      </w:r>
      <w:r w:rsidRPr="00C177DB">
        <w:rPr>
          <w:rFonts w:ascii="Century Gothic" w:hAnsi="Century Gothic" w:cs="Tahoma"/>
          <w:i/>
          <w:iCs/>
          <w:sz w:val="20"/>
          <w:szCs w:val="20"/>
          <w:lang w:val="es-CO"/>
        </w:rPr>
        <w:t>—, o bien cuando la víctima tenía la aspiración de evitar o mitigar un perjuicio y, como consecuencia de la abstención de un tercero, dicho curso causal dañoso no fue interrumpido —polo negativo—, se debe declarar la responsabilidad del Estado y reparar dicha frustración de la expectativa legítima dentro de los presupuestos de la teoría de la pérdida de oportunidad cuyo monto dependerá de la mayor o menor probabilidad y cercanía de su ocurrencia</w:t>
      </w:r>
      <w:r w:rsidRPr="00C177DB">
        <w:rPr>
          <w:rFonts w:ascii="Century Gothic" w:hAnsi="Century Gothic" w:cs="Tahoma"/>
          <w:sz w:val="20"/>
          <w:szCs w:val="20"/>
          <w:vertAlign w:val="superscript"/>
          <w:lang w:val="es-CO"/>
        </w:rPr>
        <w:t>(32)</w:t>
      </w:r>
      <w:r w:rsidRPr="00C177DB">
        <w:rPr>
          <w:rFonts w:ascii="Century Gothic" w:hAnsi="Century Gothic" w:cs="Tahoma"/>
          <w:sz w:val="20"/>
          <w:szCs w:val="20"/>
          <w:lang w:val="es-CO"/>
        </w:rPr>
        <w:t> </w:t>
      </w:r>
      <w:r w:rsidRPr="00C177DB">
        <w:rPr>
          <w:rFonts w:ascii="Century Gothic" w:hAnsi="Century Gothic" w:cs="Tahoma"/>
          <w:sz w:val="20"/>
          <w:szCs w:val="20"/>
          <w:vertAlign w:val="superscript"/>
          <w:lang w:val="es-CO"/>
        </w:rPr>
        <w:t>(33)</w:t>
      </w:r>
      <w:r w:rsidRPr="00C177DB">
        <w:rPr>
          <w:rFonts w:ascii="Century Gothic" w:hAnsi="Century Gothic" w:cs="Tahoma"/>
          <w:i/>
          <w:iCs/>
          <w:sz w:val="20"/>
          <w:szCs w:val="20"/>
          <w:lang w:val="es-CO"/>
        </w:rPr>
        <w:t>.</w:t>
      </w:r>
    </w:p>
    <w:p w14:paraId="372400E8" w14:textId="77777777" w:rsidR="00AA055A" w:rsidRPr="00C177DB" w:rsidRDefault="00AA055A" w:rsidP="00E008C7">
      <w:pPr>
        <w:jc w:val="both"/>
        <w:rPr>
          <w:rFonts w:ascii="Century Gothic" w:hAnsi="Century Gothic" w:cs="Tahoma"/>
          <w:sz w:val="20"/>
          <w:szCs w:val="20"/>
          <w:lang w:val="es-CO"/>
        </w:rPr>
      </w:pPr>
    </w:p>
    <w:p w14:paraId="02261E50" w14:textId="77777777" w:rsidR="00AA055A" w:rsidRPr="00C177DB" w:rsidRDefault="00AA055A" w:rsidP="00E008C7">
      <w:pPr>
        <w:ind w:left="708" w:right="701"/>
        <w:jc w:val="both"/>
        <w:rPr>
          <w:rFonts w:ascii="Century Gothic" w:hAnsi="Century Gothic" w:cs="Tahoma"/>
          <w:i/>
          <w:iCs/>
          <w:sz w:val="20"/>
          <w:szCs w:val="20"/>
          <w:lang w:val="es-CO"/>
        </w:rPr>
      </w:pPr>
      <w:r w:rsidRPr="00C177DB">
        <w:rPr>
          <w:rFonts w:ascii="Century Gothic" w:hAnsi="Century Gothic" w:cs="Tahoma"/>
          <w:sz w:val="20"/>
          <w:szCs w:val="20"/>
          <w:lang w:val="es-CO"/>
        </w:rPr>
        <w:t>10.4. Asimismo, se ha destacado que para que resulte procedente indemnizar la pérdida de una oportunidad, es indispensable que la ocasión exista y sea cierta, puesto que si se trata de una posibilidad muy vaga o genérica, se estará en presencia de un daño meramente hipotético o eventual, que no resulta indemnizable. Esto significa que, para que pueda acreditarse la existencia del daño, el demandante deberá probar que “</w:t>
      </w:r>
      <w:r w:rsidRPr="00C177DB">
        <w:rPr>
          <w:rFonts w:ascii="Century Gothic" w:hAnsi="Century Gothic" w:cs="Tahoma"/>
          <w:i/>
          <w:iCs/>
          <w:sz w:val="20"/>
          <w:szCs w:val="20"/>
          <w:lang w:val="es-CO"/>
        </w:rPr>
        <w:t>el no haber podido obtener la ventaja que esperaba es consecuencia de no haber gozado de la oportunidad que normalmente le habría permitido obtenerla</w:t>
      </w:r>
      <w:proofErr w:type="gramStart"/>
      <w:r w:rsidRPr="00C177DB">
        <w:rPr>
          <w:rFonts w:ascii="Century Gothic" w:hAnsi="Century Gothic" w:cs="Tahoma"/>
          <w:i/>
          <w:iCs/>
          <w:sz w:val="20"/>
          <w:szCs w:val="20"/>
          <w:lang w:val="es-CO"/>
        </w:rPr>
        <w:t>”</w:t>
      </w:r>
      <w:r w:rsidRPr="00C177DB">
        <w:rPr>
          <w:rFonts w:ascii="Century Gothic" w:hAnsi="Century Gothic" w:cs="Tahoma"/>
          <w:sz w:val="20"/>
          <w:szCs w:val="20"/>
          <w:vertAlign w:val="superscript"/>
          <w:lang w:val="es-CO"/>
        </w:rPr>
        <w:t>(</w:t>
      </w:r>
      <w:proofErr w:type="gramEnd"/>
      <w:r w:rsidRPr="00C177DB">
        <w:rPr>
          <w:rFonts w:ascii="Century Gothic" w:hAnsi="Century Gothic" w:cs="Tahoma"/>
          <w:sz w:val="20"/>
          <w:szCs w:val="20"/>
          <w:vertAlign w:val="superscript"/>
          <w:lang w:val="es-CO"/>
        </w:rPr>
        <w:t>34)</w:t>
      </w:r>
      <w:r w:rsidRPr="00C177DB">
        <w:rPr>
          <w:rFonts w:ascii="Century Gothic" w:hAnsi="Century Gothic" w:cs="Tahoma"/>
          <w:i/>
          <w:iCs/>
          <w:sz w:val="20"/>
          <w:szCs w:val="20"/>
          <w:lang w:val="es-CO"/>
        </w:rPr>
        <w:t>.</w:t>
      </w:r>
    </w:p>
    <w:p w14:paraId="7B43A0AA" w14:textId="77777777" w:rsidR="00AA055A" w:rsidRPr="00C177DB" w:rsidRDefault="00AA055A" w:rsidP="00E008C7">
      <w:pPr>
        <w:jc w:val="both"/>
        <w:rPr>
          <w:rFonts w:ascii="Century Gothic" w:hAnsi="Century Gothic" w:cs="Tahoma"/>
          <w:sz w:val="20"/>
          <w:szCs w:val="20"/>
          <w:lang w:val="es-CO"/>
        </w:rPr>
      </w:pPr>
    </w:p>
    <w:p w14:paraId="0B6598F1" w14:textId="77777777" w:rsidR="00AA055A" w:rsidRPr="00C177DB" w:rsidRDefault="00AA055A" w:rsidP="00E008C7">
      <w:pPr>
        <w:ind w:left="708" w:right="701"/>
        <w:jc w:val="both"/>
        <w:rPr>
          <w:rFonts w:ascii="Century Gothic" w:hAnsi="Century Gothic" w:cs="Tahoma"/>
          <w:sz w:val="20"/>
          <w:szCs w:val="20"/>
          <w:lang w:val="es-CO"/>
        </w:rPr>
      </w:pPr>
      <w:r w:rsidRPr="00C177DB">
        <w:rPr>
          <w:rFonts w:ascii="Century Gothic" w:hAnsi="Century Gothic" w:cs="Tahoma"/>
          <w:sz w:val="20"/>
          <w:szCs w:val="20"/>
          <w:lang w:val="es-CO"/>
        </w:rPr>
        <w:t>10.5. De acuerdo con lo anterior, la Sala ha manifestado que los requisitos cuya concurrencia se precisa para que pueda considerarse existente la pérdida de oportunidad como daño indemnizable en un caso concreto, son los siguientes:</w:t>
      </w:r>
    </w:p>
    <w:p w14:paraId="6C779889" w14:textId="77777777" w:rsidR="00AA055A" w:rsidRPr="00C177DB" w:rsidRDefault="00AA055A" w:rsidP="00E008C7">
      <w:pPr>
        <w:jc w:val="both"/>
        <w:rPr>
          <w:rFonts w:ascii="Century Gothic" w:hAnsi="Century Gothic" w:cs="Tahoma"/>
          <w:sz w:val="20"/>
          <w:szCs w:val="20"/>
          <w:lang w:val="es-CO"/>
        </w:rPr>
      </w:pPr>
    </w:p>
    <w:p w14:paraId="4323A67F" w14:textId="77777777" w:rsidR="00AA055A" w:rsidRPr="00C177DB" w:rsidRDefault="00AA055A" w:rsidP="00E008C7">
      <w:pPr>
        <w:ind w:left="1416" w:right="701"/>
        <w:jc w:val="both"/>
        <w:rPr>
          <w:rFonts w:ascii="Century Gothic" w:hAnsi="Century Gothic" w:cs="Tahoma"/>
          <w:i/>
          <w:iCs/>
          <w:sz w:val="20"/>
          <w:szCs w:val="20"/>
          <w:lang w:val="es-CO"/>
        </w:rPr>
      </w:pPr>
      <w:r w:rsidRPr="00C177DB">
        <w:rPr>
          <w:rFonts w:ascii="Century Gothic" w:hAnsi="Century Gothic" w:cs="Tahoma"/>
          <w:i/>
          <w:iCs/>
          <w:sz w:val="20"/>
          <w:szCs w:val="20"/>
          <w:lang w:val="es-CO"/>
        </w:rPr>
        <w:t xml:space="preserve">(i) Certeza respecto de la existencia de una oportunidad que se pierde, aunque la misma envuelva un componente aleatorio, lo cual significa que esta modalidad de daño da lugar a un resarcimiento a pesar de que el bien lesionado no tiene la entidad de un derecho subjetivo —pues se trata de un mero interés legítimo, de la frustración de una expectativa, sin que ello suponga que se trata de un daño puramente eventual—, siempre y cuando </w:t>
      </w:r>
      <w:r w:rsidRPr="00C177DB">
        <w:rPr>
          <w:rFonts w:ascii="Century Gothic" w:hAnsi="Century Gothic" w:cs="Tahoma"/>
          <w:i/>
          <w:iCs/>
          <w:sz w:val="20"/>
          <w:szCs w:val="20"/>
          <w:lang w:val="es-CO"/>
        </w:rPr>
        <w:lastRenderedPageBreak/>
        <w:t>se acredite inequívocamente la existencia de “una esperanza en grado de probabilidad con certeza suficiente”</w:t>
      </w:r>
      <w:r w:rsidRPr="00C177DB">
        <w:rPr>
          <w:rFonts w:ascii="Century Gothic" w:hAnsi="Century Gothic" w:cs="Tahoma"/>
          <w:sz w:val="20"/>
          <w:szCs w:val="20"/>
          <w:vertAlign w:val="superscript"/>
          <w:lang w:val="es-CO"/>
        </w:rPr>
        <w:t>(35)</w:t>
      </w:r>
      <w:r w:rsidRPr="00C177DB">
        <w:rPr>
          <w:rFonts w:ascii="Century Gothic" w:hAnsi="Century Gothic" w:cs="Tahoma"/>
          <w:i/>
          <w:iCs/>
          <w:sz w:val="20"/>
          <w:szCs w:val="20"/>
          <w:lang w:val="es-CO"/>
        </w:rPr>
        <w:t> de que de no haber ocurrido el evento dañoso, la víctima habría mantenido la expectativa de obtener la ganancia o de evitar el detrimento correspondientes</w:t>
      </w:r>
      <w:r w:rsidRPr="00C177DB">
        <w:rPr>
          <w:rFonts w:ascii="Century Gothic" w:hAnsi="Century Gothic" w:cs="Tahoma"/>
          <w:sz w:val="20"/>
          <w:szCs w:val="20"/>
          <w:vertAlign w:val="superscript"/>
          <w:lang w:val="es-CO"/>
        </w:rPr>
        <w:t>(36)</w:t>
      </w:r>
      <w:r w:rsidRPr="00C177DB">
        <w:rPr>
          <w:rFonts w:ascii="Century Gothic" w:hAnsi="Century Gothic" w:cs="Tahoma"/>
          <w:i/>
          <w:iCs/>
          <w:sz w:val="20"/>
          <w:szCs w:val="20"/>
          <w:lang w:val="es-CO"/>
        </w:rPr>
        <w:t>;</w:t>
      </w:r>
    </w:p>
    <w:p w14:paraId="53A8F9AB" w14:textId="49B7312D" w:rsidR="00AA055A" w:rsidRPr="00C177DB" w:rsidRDefault="00AA055A" w:rsidP="00E008C7">
      <w:pPr>
        <w:jc w:val="both"/>
        <w:rPr>
          <w:rFonts w:ascii="Century Gothic" w:hAnsi="Century Gothic" w:cs="Tahoma"/>
          <w:sz w:val="20"/>
          <w:szCs w:val="20"/>
          <w:lang w:val="es-CO"/>
        </w:rPr>
      </w:pPr>
      <w:r w:rsidRPr="00C177DB">
        <w:rPr>
          <w:rFonts w:ascii="Century Gothic" w:hAnsi="Century Gothic" w:cs="Tahoma"/>
          <w:i/>
          <w:iCs/>
          <w:sz w:val="20"/>
          <w:szCs w:val="20"/>
          <w:lang w:val="es-CO"/>
        </w:rPr>
        <w:t> </w:t>
      </w:r>
      <w:r w:rsidRPr="00C177DB">
        <w:rPr>
          <w:rFonts w:ascii="Century Gothic" w:hAnsi="Century Gothic" w:cs="Tahoma"/>
          <w:sz w:val="20"/>
          <w:szCs w:val="20"/>
          <w:lang w:val="es-CO"/>
        </w:rPr>
        <w:t> </w:t>
      </w:r>
    </w:p>
    <w:p w14:paraId="147EF4B9" w14:textId="77777777" w:rsidR="00AA055A" w:rsidRPr="00C177DB" w:rsidRDefault="00AA055A" w:rsidP="00E008C7">
      <w:pPr>
        <w:ind w:left="1416" w:right="701"/>
        <w:jc w:val="both"/>
        <w:rPr>
          <w:rFonts w:ascii="Century Gothic" w:hAnsi="Century Gothic" w:cs="Tahoma"/>
          <w:sz w:val="20"/>
          <w:szCs w:val="20"/>
          <w:lang w:val="es-CO"/>
        </w:rPr>
      </w:pPr>
      <w:r w:rsidRPr="00C177DB">
        <w:rPr>
          <w:rFonts w:ascii="Century Gothic" w:hAnsi="Century Gothic" w:cs="Tahoma"/>
          <w:i/>
          <w:iCs/>
          <w:sz w:val="20"/>
          <w:szCs w:val="20"/>
          <w:lang w:val="es-CO"/>
        </w:rPr>
        <w:t>(ii) Imposibilidad definitiva de obtener el provecho o de evitar el detrimento</w:t>
      </w:r>
      <w:r w:rsidRPr="00C177DB">
        <w:rPr>
          <w:rFonts w:ascii="Century Gothic" w:hAnsi="Century Gothic" w:cs="Tahoma"/>
          <w:sz w:val="20"/>
          <w:szCs w:val="20"/>
          <w:lang w:val="es-CO"/>
        </w:rPr>
        <w:t>, </w:t>
      </w:r>
      <w:r w:rsidRPr="00C177DB">
        <w:rPr>
          <w:rFonts w:ascii="Century Gothic" w:hAnsi="Century Gothic" w:cs="Tahoma"/>
          <w:i/>
          <w:iCs/>
          <w:sz w:val="20"/>
          <w:szCs w:val="20"/>
          <w:lang w:val="es-CO"/>
        </w:rPr>
        <w:t>vale decir, la probabilidad de obtener la ventaja debe haberse convertido en inexistente, pues si la consolidación del daño dependiera aún del futuro, se trataría de un perjuicio eventual e hipotético, no susceptible del reconocimiento de una indemnización que el porvenir podría convertir en indebida</w:t>
      </w:r>
      <w:r w:rsidRPr="00C177DB">
        <w:rPr>
          <w:rFonts w:ascii="Century Gothic" w:hAnsi="Century Gothic" w:cs="Tahoma"/>
          <w:sz w:val="20"/>
          <w:szCs w:val="20"/>
          <w:vertAlign w:val="superscript"/>
          <w:lang w:val="es-CO"/>
        </w:rPr>
        <w:t>(37)</w:t>
      </w:r>
      <w:r w:rsidRPr="00C177DB">
        <w:rPr>
          <w:rFonts w:ascii="Century Gothic" w:hAnsi="Century Gothic" w:cs="Tahoma"/>
          <w:i/>
          <w:iCs/>
          <w:sz w:val="20"/>
          <w:szCs w:val="20"/>
          <w:lang w:val="es-CO"/>
        </w:rPr>
        <w:t>; lo expuesto se antoja lógico en la medida en que si el resultado todavía puede ser alcanzado, el “chance” aún no estaría perdido y nada habría por indemnizar; por tanto, si bien se mantiene la incertidumbre respecto de si dicho resultado se iba a producir, o no, la probabilidad de percibir la ganancia o de evitar el perjuicio sí debe haber desaparecido definitivamente del patrimonio —material o inmaterial— del individuo porque dichos resultados ya no podrán ser alcanzados jamás.</w:t>
      </w:r>
    </w:p>
    <w:p w14:paraId="249CA281" w14:textId="77777777" w:rsidR="00AA055A" w:rsidRPr="00C177DB" w:rsidRDefault="00AA055A" w:rsidP="00E008C7">
      <w:pPr>
        <w:jc w:val="both"/>
        <w:rPr>
          <w:rFonts w:ascii="Century Gothic" w:hAnsi="Century Gothic" w:cs="Tahoma"/>
          <w:i/>
          <w:iCs/>
          <w:sz w:val="20"/>
          <w:szCs w:val="20"/>
          <w:lang w:val="es-CO"/>
        </w:rPr>
      </w:pPr>
    </w:p>
    <w:p w14:paraId="40B72218" w14:textId="77777777" w:rsidR="00AA055A" w:rsidRPr="00C177DB" w:rsidRDefault="00AA055A" w:rsidP="00E008C7">
      <w:pPr>
        <w:ind w:left="1416" w:right="701"/>
        <w:jc w:val="both"/>
        <w:rPr>
          <w:rFonts w:ascii="Century Gothic" w:hAnsi="Century Gothic" w:cs="Tahoma"/>
          <w:i/>
          <w:iCs/>
          <w:sz w:val="20"/>
          <w:szCs w:val="20"/>
          <w:lang w:val="es-CO"/>
        </w:rPr>
      </w:pPr>
      <w:r w:rsidRPr="00C177DB">
        <w:rPr>
          <w:rFonts w:ascii="Century Gothic" w:hAnsi="Century Gothic" w:cs="Tahoma"/>
          <w:i/>
          <w:iCs/>
          <w:sz w:val="20"/>
          <w:szCs w:val="20"/>
          <w:lang w:val="es-CO"/>
        </w:rPr>
        <w:t>Tal circunstancia es la que permite diferenciar la ‘pérdida de oportunidad’ del ‘lucro cesante’ como rubros diversos del daño, pues mientras que la primera constituye una pérdida de ganancia probable —dado que, según se ha visto, por su virtud habrán de indemnizarse las expectativas legítimas y fundadas de obtener unos beneficios o de evitar una pérdida que por razón del hecho dañoso nunca se sabrá si habrían de conseguirse, o no—, el segundo implica una pérdida de ganancia cierta —se dejan de percibir unos ingresos que ya se tenían</w:t>
      </w:r>
      <w:r w:rsidRPr="00C177DB">
        <w:rPr>
          <w:rFonts w:ascii="Century Gothic" w:hAnsi="Century Gothic" w:cs="Tahoma"/>
          <w:sz w:val="20"/>
          <w:szCs w:val="20"/>
          <w:vertAlign w:val="superscript"/>
          <w:lang w:val="es-CO"/>
        </w:rPr>
        <w:t>(38)</w:t>
      </w:r>
      <w:r w:rsidRPr="00C177DB">
        <w:rPr>
          <w:rFonts w:ascii="Century Gothic" w:hAnsi="Century Gothic" w:cs="Tahoma"/>
          <w:i/>
          <w:iCs/>
          <w:sz w:val="20"/>
          <w:szCs w:val="20"/>
          <w:lang w:val="es-CO"/>
        </w:rPr>
        <w:t>—;</w:t>
      </w:r>
    </w:p>
    <w:p w14:paraId="657F1F11" w14:textId="4CA3DB65" w:rsidR="00AA055A" w:rsidRPr="00C177DB" w:rsidRDefault="00AA055A" w:rsidP="00E008C7">
      <w:pPr>
        <w:jc w:val="both"/>
        <w:rPr>
          <w:rFonts w:ascii="Century Gothic" w:hAnsi="Century Gothic" w:cs="Tahoma"/>
          <w:sz w:val="20"/>
          <w:szCs w:val="20"/>
          <w:lang w:val="es-CO"/>
        </w:rPr>
      </w:pPr>
      <w:r w:rsidRPr="00C177DB">
        <w:rPr>
          <w:rFonts w:ascii="Century Gothic" w:hAnsi="Century Gothic" w:cs="Tahoma"/>
          <w:i/>
          <w:iCs/>
          <w:sz w:val="20"/>
          <w:szCs w:val="20"/>
          <w:lang w:val="es-CO"/>
        </w:rPr>
        <w:t> </w:t>
      </w:r>
      <w:r w:rsidRPr="00C177DB">
        <w:rPr>
          <w:rFonts w:ascii="Century Gothic" w:hAnsi="Century Gothic" w:cs="Tahoma"/>
          <w:sz w:val="20"/>
          <w:szCs w:val="20"/>
          <w:lang w:val="es-CO"/>
        </w:rPr>
        <w:t> </w:t>
      </w:r>
    </w:p>
    <w:p w14:paraId="58D7C26A" w14:textId="77777777" w:rsidR="00AA055A" w:rsidRPr="00C177DB" w:rsidRDefault="00AA055A" w:rsidP="00E008C7">
      <w:pPr>
        <w:ind w:left="1416" w:right="701"/>
        <w:jc w:val="both"/>
        <w:rPr>
          <w:rFonts w:ascii="Century Gothic" w:hAnsi="Century Gothic" w:cs="Tahoma"/>
          <w:sz w:val="20"/>
          <w:szCs w:val="20"/>
          <w:vertAlign w:val="superscript"/>
          <w:lang w:val="es-CO"/>
        </w:rPr>
      </w:pPr>
      <w:r w:rsidRPr="00C177DB">
        <w:rPr>
          <w:rFonts w:ascii="Century Gothic" w:hAnsi="Century Gothic" w:cs="Tahoma"/>
          <w:i/>
          <w:iCs/>
          <w:sz w:val="20"/>
          <w:szCs w:val="20"/>
          <w:lang w:val="es-CO"/>
        </w:rPr>
        <w:t>(iii) La víctima debe encontrarse en una situación potencialmente apta para pretender la consecución del resultado esperado, es decir que debe analizarse si el afectado realmente se hallaba, para el momento en el cual ocurre el hecho dañino, en una situación tanto fáctica como jurídicamente idónea para alcanzar el provecho por el cual propugnaba, posición jurídica que “no existe cuando quien se pretende damnificado, no llegó a emplazarse en la situación idónea para hacer la ganancia o evitar la pérdida”</w:t>
      </w:r>
      <w:r w:rsidRPr="00C177DB">
        <w:rPr>
          <w:rFonts w:ascii="Century Gothic" w:hAnsi="Century Gothic" w:cs="Tahoma"/>
          <w:sz w:val="20"/>
          <w:szCs w:val="20"/>
          <w:vertAlign w:val="superscript"/>
          <w:lang w:val="es-CO"/>
        </w:rPr>
        <w:t>(39)</w:t>
      </w:r>
      <w:r w:rsidRPr="00C177DB">
        <w:rPr>
          <w:rFonts w:ascii="Century Gothic" w:hAnsi="Century Gothic" w:cs="Tahoma"/>
          <w:i/>
          <w:iCs/>
          <w:sz w:val="20"/>
          <w:szCs w:val="20"/>
          <w:lang w:val="es-CO"/>
        </w:rPr>
        <w:t>.</w:t>
      </w:r>
      <w:r w:rsidRPr="00C177DB">
        <w:rPr>
          <w:rFonts w:ascii="Century Gothic" w:hAnsi="Century Gothic" w:cs="Tahoma"/>
          <w:sz w:val="20"/>
          <w:szCs w:val="20"/>
          <w:vertAlign w:val="superscript"/>
          <w:lang w:val="es-CO"/>
        </w:rPr>
        <w:t>(40)</w:t>
      </w:r>
    </w:p>
    <w:p w14:paraId="45248204" w14:textId="77777777" w:rsidR="00AA055A" w:rsidRPr="00C177DB" w:rsidRDefault="00AA055A" w:rsidP="00E008C7">
      <w:pPr>
        <w:jc w:val="both"/>
        <w:rPr>
          <w:rFonts w:ascii="Century Gothic" w:hAnsi="Century Gothic" w:cs="Tahoma"/>
          <w:sz w:val="20"/>
          <w:szCs w:val="20"/>
          <w:lang w:val="es-CO"/>
        </w:rPr>
      </w:pPr>
    </w:p>
    <w:p w14:paraId="684A4448" w14:textId="77777777" w:rsidR="00AA055A" w:rsidRPr="00C177DB" w:rsidRDefault="00AA055A" w:rsidP="00E008C7">
      <w:pPr>
        <w:ind w:left="708" w:right="701"/>
        <w:jc w:val="both"/>
        <w:rPr>
          <w:rFonts w:ascii="Century Gothic" w:hAnsi="Century Gothic" w:cs="Tahoma"/>
          <w:sz w:val="20"/>
          <w:szCs w:val="20"/>
          <w:lang w:val="es-CO"/>
        </w:rPr>
      </w:pPr>
      <w:r w:rsidRPr="00C177DB">
        <w:rPr>
          <w:rFonts w:ascii="Century Gothic" w:hAnsi="Century Gothic" w:cs="Tahoma"/>
          <w:sz w:val="20"/>
          <w:szCs w:val="20"/>
          <w:lang w:val="es-CO"/>
        </w:rPr>
        <w:t>10.6. Con observancia de lo expuesto y de conformidad con el material probatorio obrante en el plenario, la Sala observa que en el caso concreto se encuentra debidamente demostrado que el señor Edilberto Piedrahita Tenorio perdió la oportunidad de haber percibido la reparación patrimonial de las lesiones que padeció, las cuales le ocasionaron una incapacidad laboral de sesenta días sin secuelas —ver párrafo 7.1—, en la medida en que los tres requisitos referenciados para inferir la existencia del truncamiento de una posibilidad como daño autónomo están adecuadamente acreditados.</w:t>
      </w:r>
    </w:p>
    <w:p w14:paraId="187BE73A" w14:textId="77777777" w:rsidR="00AA055A" w:rsidRDefault="00AA055A" w:rsidP="009B6613">
      <w:pPr>
        <w:jc w:val="both"/>
        <w:rPr>
          <w:rFonts w:ascii="Century Gothic" w:hAnsi="Century Gothic" w:cs="Tahoma"/>
          <w:lang w:val="es-CO"/>
        </w:rPr>
      </w:pPr>
    </w:p>
    <w:p w14:paraId="79863E0F" w14:textId="023B0F32" w:rsidR="002C721E" w:rsidRDefault="00141A89" w:rsidP="009B6613">
      <w:pPr>
        <w:jc w:val="both"/>
        <w:rPr>
          <w:rFonts w:ascii="Century Gothic" w:hAnsi="Century Gothic" w:cs="Tahoma"/>
          <w:lang w:val="es-CO"/>
        </w:rPr>
      </w:pPr>
      <w:r>
        <w:rPr>
          <w:rFonts w:ascii="Century Gothic" w:hAnsi="Century Gothic" w:cs="Tahoma"/>
          <w:lang w:val="es-CO"/>
        </w:rPr>
        <w:t xml:space="preserve">De lo ampliamente citado, que resulta perfectamente aplicable al caso concreto, tenemos que para </w:t>
      </w:r>
      <w:r w:rsidR="00FD5603">
        <w:rPr>
          <w:rFonts w:ascii="Century Gothic" w:hAnsi="Century Gothic" w:cs="Tahoma"/>
          <w:lang w:val="es-CO"/>
        </w:rPr>
        <w:t>mí</w:t>
      </w:r>
      <w:r>
        <w:rPr>
          <w:rFonts w:ascii="Century Gothic" w:hAnsi="Century Gothic" w:cs="Tahoma"/>
          <w:lang w:val="es-CO"/>
        </w:rPr>
        <w:t xml:space="preserve"> mandante existe certeza respecto del daño causado por la demandada, pues en el proceso de liquidación judicial de </w:t>
      </w:r>
      <w:proofErr w:type="spellStart"/>
      <w:r>
        <w:rPr>
          <w:rFonts w:ascii="Century Gothic" w:hAnsi="Century Gothic" w:cs="Tahoma"/>
          <w:lang w:val="es-CO"/>
        </w:rPr>
        <w:t>Multipolímeros</w:t>
      </w:r>
      <w:proofErr w:type="spellEnd"/>
      <w:r>
        <w:rPr>
          <w:rFonts w:ascii="Century Gothic" w:hAnsi="Century Gothic" w:cs="Tahoma"/>
          <w:lang w:val="es-CO"/>
        </w:rPr>
        <w:t xml:space="preserve"> S.A.S., mi representado perdió la oportunidad de ser sujeto de la recta y justa administración de justicia, cuando la pasiva decidió dejar de tramitar por la vía incidental la sustitución y remoción del liquidador, cuando existía gran expectativa de que esto se lograra conforme a los argumentos y pruebas aportadas, los mismos que fueron desestimados por meros autos, siendo que frente a las pruebas no existió decreto ni práctica. Seguidamente, mi mandante se encuentra en una imposibilidad definitiva de obtener el provecho o evitar el detrimento, en el sentido de que ya </w:t>
      </w:r>
      <w:r w:rsidR="00DE3644">
        <w:rPr>
          <w:rFonts w:ascii="Century Gothic" w:hAnsi="Century Gothic" w:cs="Tahoma"/>
          <w:lang w:val="es-CO"/>
        </w:rPr>
        <w:t xml:space="preserve">no </w:t>
      </w:r>
      <w:r>
        <w:rPr>
          <w:rFonts w:ascii="Century Gothic" w:hAnsi="Century Gothic" w:cs="Tahoma"/>
          <w:lang w:val="es-CO"/>
        </w:rPr>
        <w:t xml:space="preserve">hay manera de que se </w:t>
      </w:r>
      <w:proofErr w:type="spellStart"/>
      <w:r>
        <w:rPr>
          <w:rFonts w:ascii="Century Gothic" w:hAnsi="Century Gothic" w:cs="Tahoma"/>
          <w:lang w:val="es-CO"/>
        </w:rPr>
        <w:t>de</w:t>
      </w:r>
      <w:proofErr w:type="spellEnd"/>
      <w:r>
        <w:rPr>
          <w:rFonts w:ascii="Century Gothic" w:hAnsi="Century Gothic" w:cs="Tahoma"/>
          <w:lang w:val="es-CO"/>
        </w:rPr>
        <w:t xml:space="preserve"> trámite al incidente de remoción del liquidador, pues esa oportunidad </w:t>
      </w:r>
      <w:r w:rsidR="00DE3644">
        <w:rPr>
          <w:rFonts w:ascii="Century Gothic" w:hAnsi="Century Gothic" w:cs="Tahoma"/>
          <w:lang w:val="es-CO"/>
        </w:rPr>
        <w:t xml:space="preserve">se cerceno de manera definitiva, máxime cuando el proceso de liquidación judicial de única instancia se encuentra terminado. Por último, mi procurado se encontró dentro del proceso de liquidación judicial en una situación fáctica y jurídica idónea para alcanzar el provecho del incidente de remoción del liquidador, pues estaba legitimado para elevar la solicitud, sustentó debidamente la misma, y aportó las pruebas que consideró necesarias, lo que </w:t>
      </w:r>
      <w:r w:rsidR="00DE3644">
        <w:rPr>
          <w:rFonts w:ascii="Century Gothic" w:hAnsi="Century Gothic" w:cs="Tahoma"/>
          <w:lang w:val="es-CO"/>
        </w:rPr>
        <w:lastRenderedPageBreak/>
        <w:t>configura el perjuicio pretendido por indemnización</w:t>
      </w:r>
      <w:r w:rsidR="00411F41">
        <w:rPr>
          <w:rFonts w:ascii="Century Gothic" w:hAnsi="Century Gothic" w:cs="Tahoma"/>
          <w:lang w:val="es-CO"/>
        </w:rPr>
        <w:t xml:space="preserve"> de 100 SMMLV</w:t>
      </w:r>
      <w:r w:rsidR="001935FC">
        <w:rPr>
          <w:rFonts w:ascii="Century Gothic" w:hAnsi="Century Gothic" w:cs="Tahoma"/>
          <w:lang w:val="es-CO"/>
        </w:rPr>
        <w:t xml:space="preserve"> o $130.000.000 M/Cte</w:t>
      </w:r>
      <w:r w:rsidR="00DE3644">
        <w:rPr>
          <w:rFonts w:ascii="Century Gothic" w:hAnsi="Century Gothic" w:cs="Tahoma"/>
          <w:lang w:val="es-CO"/>
        </w:rPr>
        <w:t>.</w:t>
      </w:r>
    </w:p>
    <w:p w14:paraId="2812FA8B" w14:textId="77777777" w:rsidR="00AA055A" w:rsidRDefault="00AA055A" w:rsidP="009B6613">
      <w:pPr>
        <w:jc w:val="both"/>
        <w:rPr>
          <w:rFonts w:ascii="Century Gothic" w:hAnsi="Century Gothic" w:cs="Tahoma"/>
          <w:lang w:val="es-CO"/>
        </w:rPr>
      </w:pPr>
    </w:p>
    <w:p w14:paraId="2E07B4A5" w14:textId="4BFB0943" w:rsidR="002C721E" w:rsidRDefault="002C721E" w:rsidP="009B6613">
      <w:pPr>
        <w:jc w:val="both"/>
        <w:rPr>
          <w:rFonts w:ascii="Century Gothic" w:hAnsi="Century Gothic" w:cs="Tahoma"/>
          <w:lang w:val="es-CO"/>
        </w:rPr>
      </w:pPr>
      <w:r>
        <w:rPr>
          <w:rFonts w:ascii="Century Gothic" w:hAnsi="Century Gothic" w:cs="Tahoma"/>
          <w:lang w:val="es-CO"/>
        </w:rPr>
        <w:t xml:space="preserve">En conclusión, por </w:t>
      </w:r>
      <w:r w:rsidR="002C0328">
        <w:rPr>
          <w:rFonts w:ascii="Century Gothic" w:hAnsi="Century Gothic" w:cs="Tahoma"/>
          <w:lang w:val="es-CO"/>
        </w:rPr>
        <w:t>daños</w:t>
      </w:r>
      <w:r>
        <w:rPr>
          <w:rFonts w:ascii="Century Gothic" w:hAnsi="Century Gothic" w:cs="Tahoma"/>
          <w:lang w:val="es-CO"/>
        </w:rPr>
        <w:t xml:space="preserve"> </w:t>
      </w:r>
      <w:r w:rsidR="00FD5603">
        <w:rPr>
          <w:rFonts w:ascii="Century Gothic" w:hAnsi="Century Gothic" w:cs="Tahoma"/>
          <w:lang w:val="es-CO"/>
        </w:rPr>
        <w:t>inmateriales</w:t>
      </w:r>
      <w:r>
        <w:rPr>
          <w:rFonts w:ascii="Century Gothic" w:hAnsi="Century Gothic" w:cs="Tahoma"/>
          <w:lang w:val="es-CO"/>
        </w:rPr>
        <w:t xml:space="preserve"> y materiale</w:t>
      </w:r>
      <w:r w:rsidR="004E61A1">
        <w:rPr>
          <w:rFonts w:ascii="Century Gothic" w:hAnsi="Century Gothic" w:cs="Tahoma"/>
          <w:lang w:val="es-CO"/>
        </w:rPr>
        <w:t>s, se solicita la suma de $2.348</w:t>
      </w:r>
      <w:r>
        <w:rPr>
          <w:rFonts w:ascii="Century Gothic" w:hAnsi="Century Gothic" w:cs="Tahoma"/>
          <w:lang w:val="es-CO"/>
        </w:rPr>
        <w:t>.</w:t>
      </w:r>
      <w:r w:rsidR="004E61A1">
        <w:rPr>
          <w:rFonts w:ascii="Century Gothic" w:hAnsi="Century Gothic" w:cs="Tahoma"/>
          <w:lang w:val="es-CO"/>
        </w:rPr>
        <w:t>889</w:t>
      </w:r>
      <w:r>
        <w:rPr>
          <w:rFonts w:ascii="Century Gothic" w:hAnsi="Century Gothic" w:cs="Tahoma"/>
          <w:lang w:val="es-CO"/>
        </w:rPr>
        <w:t>.136,7 M/Cte.</w:t>
      </w:r>
      <w:r w:rsidR="002C0328">
        <w:rPr>
          <w:rFonts w:ascii="Century Gothic" w:hAnsi="Century Gothic" w:cs="Tahoma"/>
          <w:lang w:val="es-CO"/>
        </w:rPr>
        <w:t>, sin perjuicio de lo solicitado en las pretensiones subsidiarias.</w:t>
      </w:r>
    </w:p>
    <w:p w14:paraId="78A9E6B2" w14:textId="77777777" w:rsidR="0077593A" w:rsidRPr="0077593A" w:rsidRDefault="0077593A" w:rsidP="0077593A">
      <w:pPr>
        <w:jc w:val="center"/>
        <w:rPr>
          <w:rFonts w:ascii="Century Gothic" w:hAnsi="Century Gothic" w:cs="Tahoma"/>
          <w:b/>
          <w:lang w:val="es-CO"/>
        </w:rPr>
      </w:pPr>
    </w:p>
    <w:p w14:paraId="290422D1" w14:textId="77777777" w:rsidR="009A1E1B" w:rsidRPr="001E0B1C" w:rsidRDefault="009A1E1B" w:rsidP="00F527BF">
      <w:pPr>
        <w:pStyle w:val="Prrafodelista"/>
        <w:numPr>
          <w:ilvl w:val="0"/>
          <w:numId w:val="1"/>
        </w:numPr>
        <w:jc w:val="center"/>
        <w:rPr>
          <w:rFonts w:ascii="Century Gothic" w:hAnsi="Century Gothic" w:cs="Tahoma"/>
          <w:b/>
          <w:sz w:val="22"/>
          <w:szCs w:val="22"/>
          <w:u w:val="single"/>
          <w:lang w:val="es-CO"/>
        </w:rPr>
      </w:pPr>
      <w:r w:rsidRPr="001E0B1C">
        <w:rPr>
          <w:rFonts w:ascii="Century Gothic" w:hAnsi="Century Gothic" w:cs="Tahoma"/>
          <w:b/>
          <w:sz w:val="22"/>
          <w:szCs w:val="22"/>
          <w:u w:val="single"/>
          <w:lang w:val="es-CO"/>
        </w:rPr>
        <w:t>PRETENSIONES</w:t>
      </w:r>
    </w:p>
    <w:p w14:paraId="24F9A405" w14:textId="77777777" w:rsidR="009A1E1B" w:rsidRDefault="009A1E1B" w:rsidP="009A1E1B">
      <w:pPr>
        <w:jc w:val="both"/>
        <w:rPr>
          <w:rFonts w:ascii="Century Gothic" w:hAnsi="Century Gothic" w:cs="Tahoma"/>
          <w:lang w:val="es-CO"/>
        </w:rPr>
      </w:pPr>
    </w:p>
    <w:p w14:paraId="47D8466A" w14:textId="77777777" w:rsidR="00D06468" w:rsidRPr="009A1E1B" w:rsidRDefault="00D06468" w:rsidP="009A1E1B">
      <w:pPr>
        <w:jc w:val="both"/>
        <w:rPr>
          <w:rFonts w:ascii="Century Gothic" w:hAnsi="Century Gothic" w:cs="Tahoma"/>
          <w:lang w:val="es-CO"/>
        </w:rPr>
      </w:pPr>
    </w:p>
    <w:p w14:paraId="181614A2" w14:textId="77777777" w:rsidR="009A1E1B" w:rsidRPr="009A1E1B" w:rsidRDefault="009A1E1B" w:rsidP="009A1E1B">
      <w:pPr>
        <w:jc w:val="both"/>
        <w:rPr>
          <w:rFonts w:ascii="Century Gothic" w:hAnsi="Century Gothic" w:cs="Tahoma"/>
          <w:lang w:val="es-CO"/>
        </w:rPr>
      </w:pPr>
      <w:r w:rsidRPr="009A1E1B">
        <w:rPr>
          <w:rFonts w:ascii="Century Gothic" w:hAnsi="Century Gothic" w:cs="Tahoma"/>
          <w:lang w:val="es-CO"/>
        </w:rPr>
        <w:t xml:space="preserve">De conformidad con los hechos y elementos jurídicos antes descritos, el </w:t>
      </w:r>
      <w:r w:rsidR="009F67CB">
        <w:rPr>
          <w:rFonts w:ascii="Century Gothic" w:hAnsi="Century Gothic" w:cs="Tahoma"/>
          <w:lang w:val="es-CO"/>
        </w:rPr>
        <w:t>demand</w:t>
      </w:r>
      <w:r w:rsidRPr="009A1E1B">
        <w:rPr>
          <w:rFonts w:ascii="Century Gothic" w:hAnsi="Century Gothic" w:cs="Tahoma"/>
          <w:lang w:val="es-CO"/>
        </w:rPr>
        <w:t xml:space="preserve">ante le </w:t>
      </w:r>
      <w:r w:rsidR="00363673">
        <w:rPr>
          <w:rFonts w:ascii="Century Gothic" w:hAnsi="Century Gothic" w:cs="Tahoma"/>
          <w:lang w:val="es-CO"/>
        </w:rPr>
        <w:t>solicita al Despacho</w:t>
      </w:r>
      <w:r w:rsidRPr="009A1E1B">
        <w:rPr>
          <w:rFonts w:ascii="Century Gothic" w:hAnsi="Century Gothic" w:cs="Tahoma"/>
          <w:lang w:val="es-CO"/>
        </w:rPr>
        <w:t xml:space="preserve">, que </w:t>
      </w:r>
      <w:r w:rsidR="009F67CB">
        <w:rPr>
          <w:rFonts w:ascii="Century Gothic" w:hAnsi="Century Gothic" w:cs="Tahoma"/>
          <w:lang w:val="es-CO"/>
        </w:rPr>
        <w:t>se acceda a las siguientes</w:t>
      </w:r>
      <w:r w:rsidRPr="009A1E1B">
        <w:rPr>
          <w:rFonts w:ascii="Century Gothic" w:hAnsi="Century Gothic" w:cs="Tahoma"/>
          <w:lang w:val="es-CO"/>
        </w:rPr>
        <w:t>:</w:t>
      </w:r>
    </w:p>
    <w:p w14:paraId="222242E6" w14:textId="77777777" w:rsidR="009A1E1B" w:rsidRPr="009A1E1B" w:rsidRDefault="009A1E1B" w:rsidP="009A1E1B">
      <w:pPr>
        <w:jc w:val="both"/>
        <w:rPr>
          <w:rFonts w:ascii="Century Gothic" w:hAnsi="Century Gothic" w:cs="Tahoma"/>
          <w:lang w:val="es-CO"/>
        </w:rPr>
      </w:pPr>
    </w:p>
    <w:p w14:paraId="176D464D" w14:textId="77777777" w:rsidR="009A1E1B" w:rsidRPr="009A1E1B" w:rsidRDefault="009A1E1B" w:rsidP="00F527BF">
      <w:pPr>
        <w:pStyle w:val="Prrafodelista"/>
        <w:numPr>
          <w:ilvl w:val="0"/>
          <w:numId w:val="3"/>
        </w:numPr>
        <w:jc w:val="both"/>
        <w:rPr>
          <w:rFonts w:ascii="Century Gothic" w:hAnsi="Century Gothic" w:cs="Tahoma"/>
          <w:sz w:val="22"/>
          <w:szCs w:val="22"/>
          <w:lang w:val="es-CO"/>
        </w:rPr>
      </w:pPr>
      <w:r w:rsidRPr="009A1E1B">
        <w:rPr>
          <w:rFonts w:ascii="Century Gothic" w:hAnsi="Century Gothic" w:cs="Tahoma"/>
          <w:b/>
          <w:sz w:val="22"/>
          <w:szCs w:val="22"/>
          <w:lang w:val="es-CO"/>
        </w:rPr>
        <w:t>PRINCIPALES</w:t>
      </w:r>
    </w:p>
    <w:p w14:paraId="562EBC28" w14:textId="77777777" w:rsidR="009A1E1B" w:rsidRPr="009A1E1B" w:rsidRDefault="009A1E1B" w:rsidP="009A1E1B">
      <w:pPr>
        <w:jc w:val="both"/>
        <w:rPr>
          <w:rFonts w:ascii="Century Gothic" w:hAnsi="Century Gothic" w:cs="Tahoma"/>
          <w:lang w:val="es-CO"/>
        </w:rPr>
      </w:pPr>
    </w:p>
    <w:p w14:paraId="59F52F9C" w14:textId="780F3E71" w:rsidR="009A1E1B" w:rsidRPr="002A77DE" w:rsidRDefault="009A1E1B" w:rsidP="002A77DE">
      <w:pPr>
        <w:jc w:val="both"/>
        <w:rPr>
          <w:rFonts w:ascii="Century Gothic" w:hAnsi="Century Gothic" w:cs="Tahoma"/>
          <w:lang w:val="es-CO"/>
        </w:rPr>
      </w:pPr>
      <w:r w:rsidRPr="009A1E1B">
        <w:rPr>
          <w:rFonts w:ascii="Century Gothic" w:hAnsi="Century Gothic" w:cs="Tahoma"/>
          <w:b/>
          <w:bCs/>
          <w:lang w:val="es-CO"/>
        </w:rPr>
        <w:t xml:space="preserve">PRIMERA: </w:t>
      </w:r>
      <w:r w:rsidR="002A77DE">
        <w:rPr>
          <w:rFonts w:ascii="Century Gothic" w:hAnsi="Century Gothic" w:cs="Tahoma"/>
          <w:b/>
          <w:bCs/>
          <w:lang w:val="es-CO"/>
        </w:rPr>
        <w:t xml:space="preserve">QUE SE DECLARE </w:t>
      </w:r>
      <w:r w:rsidR="002A77DE">
        <w:rPr>
          <w:rFonts w:ascii="Century Gothic" w:hAnsi="Century Gothic" w:cs="Tahoma"/>
          <w:bCs/>
          <w:lang w:val="es-CO"/>
        </w:rPr>
        <w:t xml:space="preserve">la responsabilidad </w:t>
      </w:r>
      <w:r w:rsidR="00E008C7">
        <w:rPr>
          <w:rFonts w:ascii="Century Gothic" w:hAnsi="Century Gothic" w:cs="Tahoma"/>
          <w:bCs/>
          <w:lang w:val="es-CO"/>
        </w:rPr>
        <w:t xml:space="preserve">patrimonial y </w:t>
      </w:r>
      <w:r w:rsidR="002A77DE">
        <w:rPr>
          <w:rFonts w:ascii="Century Gothic" w:hAnsi="Century Gothic" w:cs="Tahoma"/>
          <w:bCs/>
          <w:lang w:val="es-CO"/>
        </w:rPr>
        <w:t>extracontractual de la NACIÓN – SUPERINTENDENCIA DE SOCIEDAD</w:t>
      </w:r>
      <w:r w:rsidR="005E7D57">
        <w:rPr>
          <w:rFonts w:ascii="Century Gothic" w:hAnsi="Century Gothic" w:cs="Tahoma"/>
          <w:bCs/>
          <w:lang w:val="es-CO"/>
        </w:rPr>
        <w:t>ES</w:t>
      </w:r>
      <w:r w:rsidR="002A77DE">
        <w:rPr>
          <w:rFonts w:ascii="Century Gothic" w:hAnsi="Century Gothic" w:cs="Tahoma"/>
          <w:bCs/>
          <w:lang w:val="es-CO"/>
        </w:rPr>
        <w:t xml:space="preserve"> INTENDENCIA REGIONAL CALI, </w:t>
      </w:r>
      <w:r w:rsidR="005E7D57">
        <w:rPr>
          <w:rFonts w:ascii="Century Gothic" w:hAnsi="Century Gothic" w:cs="Tahoma"/>
          <w:bCs/>
          <w:lang w:val="es-CO"/>
        </w:rPr>
        <w:t xml:space="preserve">por la totalidad de los daños y perjuicios que fueron ocasionados al señor CARLOS MANUEL HOYOS VALDERRAMA, por el error judicial en el que incurrió el agente estatal mediante el Auto </w:t>
      </w:r>
      <w:r w:rsidR="005E7D57">
        <w:rPr>
          <w:rFonts w:ascii="Century Gothic" w:hAnsi="Century Gothic" w:cs="Tahoma"/>
          <w:lang w:val="es-CO"/>
        </w:rPr>
        <w:t xml:space="preserve"> 2022-03-005350, “</w:t>
      </w:r>
      <w:r w:rsidR="005E7D57" w:rsidRPr="00C177DB">
        <w:rPr>
          <w:rFonts w:ascii="Century Gothic" w:hAnsi="Century Gothic" w:cs="Tahoma"/>
          <w:i/>
          <w:iCs/>
          <w:lang w:val="es-CO"/>
        </w:rPr>
        <w:t>por medio del cual se reconocen los presupuestos de ineficacia parcial de un pago, se ordena al liquidador, no se accede a unas solicitudes y se ordena estarse a lo dispuesto</w:t>
      </w:r>
      <w:r w:rsidR="005E7D57">
        <w:rPr>
          <w:rFonts w:ascii="Century Gothic" w:hAnsi="Century Gothic" w:cs="Tahoma"/>
          <w:lang w:val="es-CO"/>
        </w:rPr>
        <w:t xml:space="preserve">” del 11 de mayo de 2022, </w:t>
      </w:r>
      <w:r w:rsidR="005E7D57" w:rsidRPr="0002706A">
        <w:rPr>
          <w:rFonts w:ascii="Century Gothic" w:hAnsi="Century Gothic" w:cs="Tahoma"/>
          <w:lang w:val="es-CO"/>
        </w:rPr>
        <w:t xml:space="preserve">dentro del proceso </w:t>
      </w:r>
      <w:r w:rsidR="005E7D57">
        <w:rPr>
          <w:rFonts w:ascii="Century Gothic" w:hAnsi="Century Gothic" w:cs="Tahoma"/>
          <w:lang w:val="es-CO"/>
        </w:rPr>
        <w:t>de liquidación judicial de la sociedad MULTIPOLIMEROS S.A.S.</w:t>
      </w:r>
      <w:r w:rsidR="005E7D57" w:rsidRPr="0002706A">
        <w:rPr>
          <w:rFonts w:ascii="Century Gothic" w:hAnsi="Century Gothic" w:cs="Tahoma"/>
          <w:lang w:val="es-CO"/>
        </w:rPr>
        <w:t xml:space="preserve">, </w:t>
      </w:r>
      <w:r w:rsidR="005E7D57">
        <w:rPr>
          <w:rFonts w:ascii="Century Gothic" w:hAnsi="Century Gothic" w:cs="Tahoma"/>
          <w:lang w:val="es-CO"/>
        </w:rPr>
        <w:t xml:space="preserve">identificada con </w:t>
      </w:r>
      <w:proofErr w:type="spellStart"/>
      <w:r w:rsidR="005E7D57">
        <w:rPr>
          <w:rFonts w:ascii="Century Gothic" w:hAnsi="Century Gothic" w:cs="Tahoma"/>
          <w:lang w:val="es-CO"/>
        </w:rPr>
        <w:t>Nit</w:t>
      </w:r>
      <w:proofErr w:type="spellEnd"/>
      <w:r w:rsidR="005E7D57">
        <w:rPr>
          <w:rFonts w:ascii="Century Gothic" w:hAnsi="Century Gothic" w:cs="Tahoma"/>
          <w:lang w:val="es-CO"/>
        </w:rPr>
        <w:t>. 815.001.300-6, bajo el expediente No. 89699.</w:t>
      </w:r>
    </w:p>
    <w:p w14:paraId="2E304EC9" w14:textId="77777777" w:rsidR="009A1E1B" w:rsidRPr="009A1E1B" w:rsidRDefault="009A1E1B" w:rsidP="009A1E1B">
      <w:pPr>
        <w:jc w:val="both"/>
        <w:rPr>
          <w:rFonts w:ascii="Century Gothic" w:hAnsi="Century Gothic" w:cs="Tahoma"/>
          <w:lang w:val="es-CO"/>
        </w:rPr>
      </w:pPr>
    </w:p>
    <w:p w14:paraId="0E4B4A11" w14:textId="5558E1AC" w:rsidR="009A1E1B" w:rsidRPr="005E7D57" w:rsidRDefault="009A1E1B" w:rsidP="009A1E1B">
      <w:pPr>
        <w:jc w:val="both"/>
        <w:rPr>
          <w:rFonts w:ascii="Century Gothic" w:hAnsi="Century Gothic" w:cs="Tahoma"/>
          <w:bCs/>
          <w:iCs/>
          <w:lang w:val="es-CO"/>
        </w:rPr>
      </w:pPr>
      <w:r w:rsidRPr="009A1E1B">
        <w:rPr>
          <w:rFonts w:ascii="Century Gothic" w:hAnsi="Century Gothic" w:cs="Tahoma"/>
          <w:b/>
          <w:bCs/>
          <w:lang w:val="es-CO"/>
        </w:rPr>
        <w:t xml:space="preserve">SEGUNDA: </w:t>
      </w:r>
      <w:r w:rsidR="009743C7">
        <w:rPr>
          <w:rFonts w:ascii="Century Gothic" w:hAnsi="Century Gothic" w:cs="Tahoma"/>
          <w:b/>
          <w:lang w:val="es-CO"/>
        </w:rPr>
        <w:t>QUE SE CONDENE</w:t>
      </w:r>
      <w:r w:rsidR="005E7D57">
        <w:rPr>
          <w:rFonts w:ascii="Century Gothic" w:hAnsi="Century Gothic" w:cs="Tahoma"/>
          <w:b/>
          <w:lang w:val="es-CO"/>
        </w:rPr>
        <w:t xml:space="preserve"> </w:t>
      </w:r>
      <w:r w:rsidR="005E7D57">
        <w:rPr>
          <w:rFonts w:ascii="Century Gothic" w:hAnsi="Century Gothic" w:cs="Tahoma"/>
          <w:lang w:val="es-CO"/>
        </w:rPr>
        <w:t>como consecuencia de la declaraci</w:t>
      </w:r>
      <w:r w:rsidR="009743C7">
        <w:rPr>
          <w:rFonts w:ascii="Century Gothic" w:hAnsi="Century Gothic" w:cs="Tahoma"/>
          <w:lang w:val="es-CO"/>
        </w:rPr>
        <w:t>ón de responsabilidad, a</w:t>
      </w:r>
      <w:r w:rsidR="005E7D57">
        <w:rPr>
          <w:rFonts w:ascii="Century Gothic" w:hAnsi="Century Gothic" w:cs="Tahoma"/>
          <w:lang w:val="es-CO"/>
        </w:rPr>
        <w:t xml:space="preserve"> la NACIÓN – SUPERINTENDENCIA DE SOCIEDADES INTENDENCIA REGIONAL CALI, </w:t>
      </w:r>
      <w:r w:rsidR="009743C7">
        <w:rPr>
          <w:rFonts w:ascii="Century Gothic" w:hAnsi="Century Gothic" w:cs="Tahoma"/>
          <w:lang w:val="es-CO"/>
        </w:rPr>
        <w:t>a pagar</w:t>
      </w:r>
      <w:r w:rsidR="005E7D57">
        <w:rPr>
          <w:rFonts w:ascii="Century Gothic" w:hAnsi="Century Gothic" w:cs="Tahoma"/>
          <w:lang w:val="es-CO"/>
        </w:rPr>
        <w:t xml:space="preserve"> al señor CARLO</w:t>
      </w:r>
      <w:r w:rsidR="009743C7">
        <w:rPr>
          <w:rFonts w:ascii="Century Gothic" w:hAnsi="Century Gothic" w:cs="Tahoma"/>
          <w:lang w:val="es-CO"/>
        </w:rPr>
        <w:t>S</w:t>
      </w:r>
      <w:r w:rsidR="005E7D57">
        <w:rPr>
          <w:rFonts w:ascii="Century Gothic" w:hAnsi="Century Gothic" w:cs="Tahoma"/>
          <w:lang w:val="es-CO"/>
        </w:rPr>
        <w:t xml:space="preserve"> MANUEL HOYOS VALDERRAMA, la suma de DOS MIL CIENTO CUARENTA Y UN MILLONES TRESCIENTOS TREINTA Y CINCO MIL CIENTO TREINTA Y SEIS PESOS CON SIETE CENTAVOS (</w:t>
      </w:r>
      <w:r w:rsidR="000C7896">
        <w:rPr>
          <w:rFonts w:ascii="Century Gothic" w:hAnsi="Century Gothic" w:cs="Tahoma"/>
          <w:u w:val="single"/>
          <w:lang w:val="es-CO"/>
        </w:rPr>
        <w:t>$2.232.889</w:t>
      </w:r>
      <w:r w:rsidR="005E7D57" w:rsidRPr="00F355AE">
        <w:rPr>
          <w:rFonts w:ascii="Century Gothic" w:hAnsi="Century Gothic" w:cs="Tahoma"/>
          <w:u w:val="single"/>
          <w:lang w:val="es-CO"/>
        </w:rPr>
        <w:t>.136,7</w:t>
      </w:r>
      <w:r w:rsidR="005E7D57">
        <w:rPr>
          <w:rFonts w:ascii="Century Gothic" w:hAnsi="Century Gothic" w:cs="Tahoma"/>
          <w:u w:val="single"/>
          <w:lang w:val="es-CO"/>
        </w:rPr>
        <w:t>)</w:t>
      </w:r>
      <w:r w:rsidR="005E7D57" w:rsidRPr="005E7D57">
        <w:rPr>
          <w:rFonts w:ascii="Century Gothic" w:hAnsi="Century Gothic" w:cs="Tahoma"/>
          <w:lang w:val="es-CO"/>
        </w:rPr>
        <w:t xml:space="preserve"> M/Cte.</w:t>
      </w:r>
      <w:r w:rsidR="005E7D57">
        <w:rPr>
          <w:rFonts w:ascii="Century Gothic" w:hAnsi="Century Gothic" w:cs="Tahoma"/>
          <w:lang w:val="es-CO"/>
        </w:rPr>
        <w:t>, por concepto de daño emergente correspondientes a la depreciación económica del patrimonio de la sociedad MULTIPOLIMEROS S.A.S.</w:t>
      </w:r>
      <w:r w:rsidR="00515EE0">
        <w:rPr>
          <w:rFonts w:ascii="Century Gothic" w:hAnsi="Century Gothic" w:cs="Tahoma"/>
          <w:lang w:val="es-CO"/>
        </w:rPr>
        <w:t xml:space="preserve"> de la cual era </w:t>
      </w:r>
      <w:proofErr w:type="spellStart"/>
      <w:r w:rsidR="00515EE0">
        <w:rPr>
          <w:rFonts w:ascii="Century Gothic" w:hAnsi="Century Gothic" w:cs="Tahoma"/>
          <w:lang w:val="es-CO"/>
        </w:rPr>
        <w:t>socio</w:t>
      </w:r>
      <w:r w:rsidR="005E7D57">
        <w:rPr>
          <w:rFonts w:ascii="Century Gothic" w:hAnsi="Century Gothic" w:cs="Tahoma"/>
          <w:lang w:val="es-CO"/>
        </w:rPr>
        <w:t>y</w:t>
      </w:r>
      <w:proofErr w:type="spellEnd"/>
      <w:r w:rsidR="005E7D57">
        <w:rPr>
          <w:rFonts w:ascii="Century Gothic" w:hAnsi="Century Gothic" w:cs="Tahoma"/>
          <w:lang w:val="es-CO"/>
        </w:rPr>
        <w:t xml:space="preserve"> las acreencias por gastos en representación jurídica.</w:t>
      </w:r>
    </w:p>
    <w:p w14:paraId="796527DE" w14:textId="77777777" w:rsidR="009A1E1B" w:rsidRPr="009A1E1B" w:rsidRDefault="009A1E1B" w:rsidP="009A1E1B">
      <w:pPr>
        <w:jc w:val="both"/>
        <w:rPr>
          <w:rFonts w:ascii="Century Gothic" w:hAnsi="Century Gothic" w:cs="Tahoma"/>
          <w:bCs/>
          <w:iCs/>
          <w:lang w:val="es-CO"/>
        </w:rPr>
      </w:pPr>
    </w:p>
    <w:p w14:paraId="38B76A9B" w14:textId="1B33964E" w:rsidR="009A1E1B" w:rsidRDefault="009A1E1B" w:rsidP="009A1E1B">
      <w:pPr>
        <w:jc w:val="both"/>
        <w:rPr>
          <w:rFonts w:ascii="Century Gothic" w:hAnsi="Century Gothic" w:cs="Tahoma"/>
          <w:bCs/>
          <w:iCs/>
          <w:lang w:val="es-CO"/>
        </w:rPr>
      </w:pPr>
      <w:r w:rsidRPr="009A1E1B">
        <w:rPr>
          <w:rFonts w:ascii="Century Gothic" w:hAnsi="Century Gothic" w:cs="Tahoma"/>
          <w:b/>
          <w:bCs/>
          <w:iCs/>
          <w:lang w:val="es-CO"/>
        </w:rPr>
        <w:t xml:space="preserve">TERCERA: </w:t>
      </w:r>
      <w:r w:rsidR="009743C7">
        <w:rPr>
          <w:rFonts w:ascii="Century Gothic" w:hAnsi="Century Gothic" w:cs="Tahoma"/>
          <w:b/>
          <w:bCs/>
          <w:iCs/>
          <w:lang w:val="es-CO"/>
        </w:rPr>
        <w:t>QUE SE CONDENE</w:t>
      </w:r>
      <w:r w:rsidR="009743C7">
        <w:rPr>
          <w:rFonts w:ascii="Century Gothic" w:hAnsi="Century Gothic" w:cs="Tahoma"/>
          <w:bCs/>
          <w:iCs/>
          <w:lang w:val="es-CO"/>
        </w:rPr>
        <w:t xml:space="preserve"> como consecuencia de la declaración de responsabilidad, a la NACIÓN – SUPERINTENDENCIA DE SOCIEDADES INTENDENCIA REGIONAL CALI, a pagar al señor CARLOS MANUEL HOYOS VALDERRAMA, la suma de </w:t>
      </w:r>
      <w:r w:rsidR="009B57BF">
        <w:rPr>
          <w:rFonts w:ascii="Century Gothic" w:hAnsi="Century Gothic" w:cs="Tahoma"/>
          <w:bCs/>
          <w:iCs/>
          <w:lang w:val="es-CO"/>
        </w:rPr>
        <w:t xml:space="preserve">100 SMMLV., o </w:t>
      </w:r>
      <w:r w:rsidR="00657A3A" w:rsidRPr="009B57BF">
        <w:rPr>
          <w:rFonts w:ascii="Century Gothic" w:hAnsi="Century Gothic" w:cs="Tahoma"/>
          <w:bCs/>
          <w:iCs/>
          <w:lang w:val="es-CO"/>
        </w:rPr>
        <w:t>$130</w:t>
      </w:r>
      <w:r w:rsidR="009743C7" w:rsidRPr="009B57BF">
        <w:rPr>
          <w:rFonts w:ascii="Century Gothic" w:hAnsi="Century Gothic" w:cs="Tahoma"/>
          <w:bCs/>
          <w:iCs/>
          <w:lang w:val="es-CO"/>
        </w:rPr>
        <w:t>.000.000</w:t>
      </w:r>
      <w:r w:rsidR="009743C7">
        <w:rPr>
          <w:rFonts w:ascii="Century Gothic" w:hAnsi="Century Gothic" w:cs="Tahoma"/>
          <w:bCs/>
          <w:iCs/>
          <w:lang w:val="es-CO"/>
        </w:rPr>
        <w:t xml:space="preserve"> M/Cte., por concepto de daño moral.</w:t>
      </w:r>
    </w:p>
    <w:p w14:paraId="6F8198FE" w14:textId="77777777" w:rsidR="009743C7" w:rsidRDefault="009743C7" w:rsidP="009A1E1B">
      <w:pPr>
        <w:jc w:val="both"/>
        <w:rPr>
          <w:rFonts w:ascii="Century Gothic" w:hAnsi="Century Gothic" w:cs="Tahoma"/>
          <w:bCs/>
          <w:iCs/>
          <w:lang w:val="es-CO"/>
        </w:rPr>
      </w:pPr>
    </w:p>
    <w:p w14:paraId="59D73C90" w14:textId="77777777" w:rsidR="009743C7" w:rsidRDefault="009743C7" w:rsidP="009A1E1B">
      <w:pPr>
        <w:jc w:val="both"/>
        <w:rPr>
          <w:rFonts w:ascii="Century Gothic" w:hAnsi="Century Gothic" w:cs="Tahoma"/>
          <w:bCs/>
          <w:iCs/>
          <w:lang w:val="es-CO"/>
        </w:rPr>
      </w:pPr>
      <w:r>
        <w:rPr>
          <w:rFonts w:ascii="Century Gothic" w:hAnsi="Century Gothic" w:cs="Tahoma"/>
          <w:b/>
          <w:bCs/>
          <w:iCs/>
          <w:lang w:val="es-CO"/>
        </w:rPr>
        <w:t xml:space="preserve">CUARTA: QUE SE CONDENE </w:t>
      </w:r>
      <w:r>
        <w:rPr>
          <w:rFonts w:ascii="Century Gothic" w:hAnsi="Century Gothic" w:cs="Tahoma"/>
          <w:bCs/>
          <w:iCs/>
          <w:lang w:val="es-CO"/>
        </w:rPr>
        <w:t>como consecuencia de la declaración de responsabilidad, a la NACIÓN – SUPERINTENDENCIA DE SOCIEDADES INTENDENCIA REGIONAL CALI, al pago</w:t>
      </w:r>
      <w:r w:rsidR="007C3A92">
        <w:rPr>
          <w:rFonts w:ascii="Century Gothic" w:hAnsi="Century Gothic" w:cs="Tahoma"/>
          <w:bCs/>
          <w:iCs/>
          <w:lang w:val="es-CO"/>
        </w:rPr>
        <w:t xml:space="preserve"> de los intereses moratorios</w:t>
      </w:r>
      <w:r>
        <w:rPr>
          <w:rFonts w:ascii="Century Gothic" w:hAnsi="Century Gothic" w:cs="Tahoma"/>
          <w:bCs/>
          <w:iCs/>
          <w:lang w:val="es-CO"/>
        </w:rPr>
        <w:t xml:space="preserve"> causados y que se lleguen a causar hasta la fecha de pago efectivo de las sumas pretendidas.</w:t>
      </w:r>
    </w:p>
    <w:p w14:paraId="313B368E" w14:textId="77777777" w:rsidR="009743C7" w:rsidRDefault="009743C7" w:rsidP="009A1E1B">
      <w:pPr>
        <w:jc w:val="both"/>
        <w:rPr>
          <w:rFonts w:ascii="Century Gothic" w:hAnsi="Century Gothic" w:cs="Tahoma"/>
          <w:bCs/>
          <w:iCs/>
          <w:lang w:val="es-CO"/>
        </w:rPr>
      </w:pPr>
    </w:p>
    <w:p w14:paraId="47A8C20C" w14:textId="77777777" w:rsidR="009743C7" w:rsidRDefault="009743C7" w:rsidP="009A1E1B">
      <w:pPr>
        <w:jc w:val="both"/>
        <w:rPr>
          <w:rFonts w:ascii="Century Gothic" w:hAnsi="Century Gothic" w:cs="Tahoma"/>
          <w:bCs/>
          <w:iCs/>
          <w:lang w:val="es-CO"/>
        </w:rPr>
      </w:pPr>
      <w:r>
        <w:rPr>
          <w:rFonts w:ascii="Century Gothic" w:hAnsi="Century Gothic" w:cs="Tahoma"/>
          <w:b/>
          <w:bCs/>
          <w:iCs/>
          <w:lang w:val="es-CO"/>
        </w:rPr>
        <w:t xml:space="preserve">QUINTA: QUE SE ORDENE </w:t>
      </w:r>
      <w:r>
        <w:rPr>
          <w:rFonts w:ascii="Century Gothic" w:hAnsi="Century Gothic" w:cs="Tahoma"/>
          <w:bCs/>
          <w:iCs/>
          <w:lang w:val="es-CO"/>
        </w:rPr>
        <w:t>la indexación de la sumas al momento de pago, y se de aplicación a lo establecido en los artículos 192 y 195 del CPACA.</w:t>
      </w:r>
    </w:p>
    <w:p w14:paraId="302925BF" w14:textId="77777777" w:rsidR="009743C7" w:rsidRDefault="009743C7" w:rsidP="009A1E1B">
      <w:pPr>
        <w:jc w:val="both"/>
        <w:rPr>
          <w:rFonts w:ascii="Century Gothic" w:hAnsi="Century Gothic" w:cs="Tahoma"/>
          <w:bCs/>
          <w:iCs/>
          <w:lang w:val="es-CO"/>
        </w:rPr>
      </w:pPr>
    </w:p>
    <w:p w14:paraId="3599CCA1" w14:textId="3039E9BF" w:rsidR="009743C7" w:rsidRPr="009743C7" w:rsidRDefault="009743C7" w:rsidP="009A1E1B">
      <w:pPr>
        <w:jc w:val="both"/>
        <w:rPr>
          <w:rFonts w:ascii="Century Gothic" w:hAnsi="Century Gothic" w:cs="Tahoma"/>
          <w:bCs/>
          <w:iCs/>
          <w:lang w:val="es-CO"/>
        </w:rPr>
      </w:pPr>
      <w:r>
        <w:rPr>
          <w:rFonts w:ascii="Century Gothic" w:hAnsi="Century Gothic" w:cs="Tahoma"/>
          <w:b/>
          <w:bCs/>
          <w:iCs/>
          <w:lang w:val="es-CO"/>
        </w:rPr>
        <w:t xml:space="preserve">SEXTA: QUE SE CONDENE </w:t>
      </w:r>
      <w:r>
        <w:rPr>
          <w:rFonts w:ascii="Century Gothic" w:hAnsi="Century Gothic" w:cs="Tahoma"/>
          <w:bCs/>
          <w:iCs/>
          <w:lang w:val="es-CO"/>
        </w:rPr>
        <w:t>en costas y agencias en derecho a la dema</w:t>
      </w:r>
      <w:r w:rsidR="00901927">
        <w:rPr>
          <w:rFonts w:ascii="Century Gothic" w:hAnsi="Century Gothic" w:cs="Tahoma"/>
          <w:bCs/>
          <w:iCs/>
          <w:lang w:val="es-CO"/>
        </w:rPr>
        <w:t>n</w:t>
      </w:r>
      <w:r>
        <w:rPr>
          <w:rFonts w:ascii="Century Gothic" w:hAnsi="Century Gothic" w:cs="Tahoma"/>
          <w:bCs/>
          <w:iCs/>
          <w:lang w:val="es-CO"/>
        </w:rPr>
        <w:t>dada.</w:t>
      </w:r>
    </w:p>
    <w:p w14:paraId="684C17D3" w14:textId="77777777" w:rsidR="009A1E1B" w:rsidRPr="009A1E1B" w:rsidRDefault="009A1E1B" w:rsidP="009A1E1B">
      <w:pPr>
        <w:jc w:val="both"/>
        <w:rPr>
          <w:rFonts w:ascii="Century Gothic" w:hAnsi="Century Gothic" w:cs="Tahoma"/>
          <w:bCs/>
          <w:i/>
          <w:iCs/>
          <w:lang w:val="es-CO"/>
        </w:rPr>
      </w:pPr>
    </w:p>
    <w:p w14:paraId="4A3AE39A" w14:textId="77777777" w:rsidR="009A1E1B" w:rsidRPr="009A1E1B" w:rsidRDefault="009A1E1B" w:rsidP="00F527BF">
      <w:pPr>
        <w:pStyle w:val="Prrafodelista"/>
        <w:numPr>
          <w:ilvl w:val="0"/>
          <w:numId w:val="4"/>
        </w:numPr>
        <w:jc w:val="both"/>
        <w:rPr>
          <w:rFonts w:ascii="Century Gothic" w:hAnsi="Century Gothic" w:cs="Tahoma"/>
          <w:b/>
          <w:bCs/>
          <w:iCs/>
          <w:sz w:val="22"/>
          <w:szCs w:val="22"/>
          <w:lang w:val="es-CO"/>
        </w:rPr>
      </w:pPr>
      <w:r w:rsidRPr="009A1E1B">
        <w:rPr>
          <w:rFonts w:ascii="Century Gothic" w:hAnsi="Century Gothic" w:cs="Tahoma"/>
          <w:b/>
          <w:bCs/>
          <w:iCs/>
          <w:sz w:val="22"/>
          <w:szCs w:val="22"/>
          <w:lang w:val="es-CO"/>
        </w:rPr>
        <w:t xml:space="preserve">SUBSIDIARIAS </w:t>
      </w:r>
    </w:p>
    <w:p w14:paraId="503A5EA4" w14:textId="77777777" w:rsidR="009A1E1B" w:rsidRPr="009A1E1B" w:rsidRDefault="009A1E1B" w:rsidP="009A1E1B">
      <w:pPr>
        <w:jc w:val="both"/>
        <w:rPr>
          <w:rFonts w:ascii="Century Gothic" w:hAnsi="Century Gothic" w:cs="Tahoma"/>
          <w:b/>
          <w:bCs/>
          <w:iCs/>
          <w:lang w:val="es-CO"/>
        </w:rPr>
      </w:pPr>
    </w:p>
    <w:p w14:paraId="6A4D8F4B" w14:textId="359E759E" w:rsidR="009A1E1B" w:rsidRDefault="009A1E1B" w:rsidP="009A1E1B">
      <w:pPr>
        <w:jc w:val="both"/>
        <w:rPr>
          <w:rFonts w:ascii="Century Gothic" w:hAnsi="Century Gothic" w:cs="Tahoma"/>
          <w:bCs/>
          <w:iCs/>
          <w:lang w:val="es-CO"/>
        </w:rPr>
      </w:pPr>
      <w:r w:rsidRPr="009A1E1B">
        <w:rPr>
          <w:rFonts w:ascii="Century Gothic" w:hAnsi="Century Gothic" w:cs="Tahoma"/>
          <w:b/>
          <w:bCs/>
          <w:iCs/>
          <w:lang w:val="es-CO"/>
        </w:rPr>
        <w:t xml:space="preserve">PRIMERA: </w:t>
      </w:r>
      <w:r w:rsidRPr="009A1E1B">
        <w:rPr>
          <w:rFonts w:ascii="Century Gothic" w:hAnsi="Century Gothic" w:cs="Tahoma"/>
          <w:bCs/>
          <w:iCs/>
          <w:lang w:val="es-CO"/>
        </w:rPr>
        <w:t xml:space="preserve">En caso tal de que el </w:t>
      </w:r>
      <w:r w:rsidR="00515EE0">
        <w:rPr>
          <w:rFonts w:ascii="Century Gothic" w:hAnsi="Century Gothic" w:cs="Tahoma"/>
          <w:bCs/>
          <w:iCs/>
          <w:lang w:val="es-CO"/>
        </w:rPr>
        <w:t>d</w:t>
      </w:r>
      <w:r w:rsidRPr="009A1E1B">
        <w:rPr>
          <w:rFonts w:ascii="Century Gothic" w:hAnsi="Century Gothic" w:cs="Tahoma"/>
          <w:bCs/>
          <w:iCs/>
          <w:lang w:val="es-CO"/>
        </w:rPr>
        <w:t xml:space="preserve">espacho considere </w:t>
      </w:r>
      <w:r w:rsidR="009743C7">
        <w:rPr>
          <w:rFonts w:ascii="Century Gothic" w:hAnsi="Century Gothic" w:cs="Tahoma"/>
          <w:bCs/>
          <w:iCs/>
          <w:lang w:val="es-CO"/>
        </w:rPr>
        <w:t xml:space="preserve">no probada la cuantificación del perjuicio moral, se tase el mismo siguiendo el criterio del </w:t>
      </w:r>
      <w:proofErr w:type="spellStart"/>
      <w:r w:rsidR="009743C7" w:rsidRPr="00C177DB">
        <w:rPr>
          <w:rFonts w:ascii="Century Gothic" w:hAnsi="Century Gothic" w:cs="Tahoma"/>
          <w:bCs/>
          <w:i/>
          <w:lang w:val="es-CO"/>
        </w:rPr>
        <w:t>arbitrium</w:t>
      </w:r>
      <w:proofErr w:type="spellEnd"/>
      <w:r w:rsidR="009743C7" w:rsidRPr="00C177DB">
        <w:rPr>
          <w:rFonts w:ascii="Century Gothic" w:hAnsi="Century Gothic" w:cs="Tahoma"/>
          <w:bCs/>
          <w:i/>
          <w:lang w:val="es-CO"/>
        </w:rPr>
        <w:t xml:space="preserve"> </w:t>
      </w:r>
      <w:proofErr w:type="spellStart"/>
      <w:r w:rsidR="009743C7" w:rsidRPr="00C177DB">
        <w:rPr>
          <w:rFonts w:ascii="Century Gothic" w:hAnsi="Century Gothic" w:cs="Tahoma"/>
          <w:bCs/>
          <w:i/>
          <w:lang w:val="es-CO"/>
        </w:rPr>
        <w:t>judicis</w:t>
      </w:r>
      <w:proofErr w:type="spellEnd"/>
      <w:r w:rsidR="009743C7">
        <w:rPr>
          <w:rFonts w:ascii="Century Gothic" w:hAnsi="Century Gothic" w:cs="Tahoma"/>
          <w:bCs/>
          <w:iCs/>
          <w:lang w:val="es-CO"/>
        </w:rPr>
        <w:t>.</w:t>
      </w:r>
    </w:p>
    <w:p w14:paraId="3C7F28A8" w14:textId="77777777" w:rsidR="000B6718" w:rsidRDefault="000B6718" w:rsidP="009A1E1B">
      <w:pPr>
        <w:jc w:val="both"/>
        <w:rPr>
          <w:rFonts w:ascii="Century Gothic" w:hAnsi="Century Gothic" w:cs="Tahoma"/>
          <w:bCs/>
          <w:iCs/>
          <w:lang w:val="es-CO"/>
        </w:rPr>
      </w:pPr>
    </w:p>
    <w:p w14:paraId="75478AE5" w14:textId="1B12F01D" w:rsidR="000B6718" w:rsidRDefault="000B6718" w:rsidP="000B6718">
      <w:pPr>
        <w:jc w:val="both"/>
        <w:rPr>
          <w:rFonts w:ascii="Century Gothic" w:hAnsi="Century Gothic" w:cs="Tahoma"/>
          <w:lang w:val="es-CO"/>
        </w:rPr>
      </w:pPr>
      <w:r>
        <w:rPr>
          <w:rFonts w:ascii="Century Gothic" w:hAnsi="Century Gothic" w:cs="Tahoma"/>
          <w:b/>
          <w:bCs/>
          <w:iCs/>
          <w:lang w:val="es-CO"/>
        </w:rPr>
        <w:t xml:space="preserve">SEGUNDA: </w:t>
      </w:r>
      <w:r>
        <w:rPr>
          <w:rFonts w:ascii="Century Gothic" w:hAnsi="Century Gothic" w:cs="Tahoma"/>
          <w:lang w:val="es-CO"/>
        </w:rPr>
        <w:t xml:space="preserve">En caso de no acceder a la pretensión principal de indemnización del daño emergente, se solicita la indemnización correspondiente al 9.2% de la suma total solicitada por este perjuicio, es decir, ($2.232.889.136.7 * 9.2%) = </w:t>
      </w:r>
      <w:r>
        <w:rPr>
          <w:rFonts w:ascii="Century Gothic" w:hAnsi="Century Gothic" w:cs="Tahoma"/>
          <w:b/>
          <w:lang w:val="es-CO"/>
        </w:rPr>
        <w:t xml:space="preserve">$200.960.022.24 </w:t>
      </w:r>
      <w:r>
        <w:rPr>
          <w:rFonts w:ascii="Century Gothic" w:hAnsi="Century Gothic" w:cs="Tahoma"/>
          <w:lang w:val="es-CO"/>
        </w:rPr>
        <w:t xml:space="preserve">DOSCIENTOS MILLONES NOVECIENTOS SESENTA MIL VEINTIDOS PESOS CON VEINTICUATRO CENTAVOS, la cual corresponde a la equivalencia del total del porcentaje de acciones </w:t>
      </w:r>
      <w:r>
        <w:rPr>
          <w:rFonts w:ascii="Century Gothic" w:hAnsi="Century Gothic" w:cs="Tahoma"/>
          <w:lang w:val="es-CO"/>
        </w:rPr>
        <w:lastRenderedPageBreak/>
        <w:t>del que e</w:t>
      </w:r>
      <w:r w:rsidR="00515EE0">
        <w:rPr>
          <w:rFonts w:ascii="Century Gothic" w:hAnsi="Century Gothic" w:cs="Tahoma"/>
          <w:lang w:val="es-CO"/>
        </w:rPr>
        <w:t>ra</w:t>
      </w:r>
      <w:r>
        <w:rPr>
          <w:rFonts w:ascii="Century Gothic" w:hAnsi="Century Gothic" w:cs="Tahoma"/>
          <w:lang w:val="es-CO"/>
        </w:rPr>
        <w:t xml:space="preserve"> propietario mi mandante en la sociedad </w:t>
      </w:r>
      <w:proofErr w:type="spellStart"/>
      <w:r>
        <w:rPr>
          <w:rFonts w:ascii="Century Gothic" w:hAnsi="Century Gothic" w:cs="Tahoma"/>
          <w:lang w:val="es-CO"/>
        </w:rPr>
        <w:t>Multipolímeros</w:t>
      </w:r>
      <w:proofErr w:type="spellEnd"/>
      <w:r>
        <w:rPr>
          <w:rFonts w:ascii="Century Gothic" w:hAnsi="Century Gothic" w:cs="Tahoma"/>
          <w:lang w:val="es-CO"/>
        </w:rPr>
        <w:t xml:space="preserve"> S.A.S.</w:t>
      </w:r>
    </w:p>
    <w:p w14:paraId="6DE790DD" w14:textId="77777777" w:rsidR="005A4B92" w:rsidRDefault="005A4B92" w:rsidP="000B6718">
      <w:pPr>
        <w:jc w:val="both"/>
        <w:rPr>
          <w:rFonts w:ascii="Century Gothic" w:hAnsi="Century Gothic" w:cs="Tahoma"/>
          <w:lang w:val="es-CO"/>
        </w:rPr>
      </w:pPr>
    </w:p>
    <w:p w14:paraId="67AD639F" w14:textId="4092477A" w:rsidR="005A4B92" w:rsidRPr="005A4B92" w:rsidRDefault="005A4B92" w:rsidP="000B6718">
      <w:pPr>
        <w:jc w:val="both"/>
        <w:rPr>
          <w:rFonts w:ascii="Century Gothic" w:hAnsi="Century Gothic" w:cs="Tahoma"/>
          <w:lang w:val="es-CO"/>
        </w:rPr>
      </w:pPr>
      <w:r>
        <w:rPr>
          <w:rFonts w:ascii="Century Gothic" w:hAnsi="Century Gothic" w:cs="Tahoma"/>
          <w:b/>
          <w:lang w:val="es-CO"/>
        </w:rPr>
        <w:t xml:space="preserve">TERCERA: </w:t>
      </w:r>
      <w:r>
        <w:rPr>
          <w:rFonts w:ascii="Century Gothic" w:hAnsi="Century Gothic" w:cs="Tahoma"/>
          <w:lang w:val="es-CO"/>
        </w:rPr>
        <w:t xml:space="preserve">Se condene a la demandada a la reparación del perjuicio por </w:t>
      </w:r>
      <w:r w:rsidR="00515EE0" w:rsidRPr="00515EE0">
        <w:rPr>
          <w:rFonts w:ascii="Century Gothic" w:hAnsi="Century Gothic" w:cs="Tahoma"/>
          <w:b/>
          <w:bCs/>
          <w:lang w:val="es-CO"/>
        </w:rPr>
        <w:t>PÉRDIDA DE LA OPORTUNIDAD</w:t>
      </w:r>
      <w:r>
        <w:rPr>
          <w:rFonts w:ascii="Century Gothic" w:hAnsi="Century Gothic" w:cs="Tahoma"/>
          <w:lang w:val="es-CO"/>
        </w:rPr>
        <w:t xml:space="preserve"> del que fue sujeto mi representado, en suma de 100 SMMLV., o $130.000.000 M/Cte., o en su defecto por la tasación que encuentre y estime probada la magistratura</w:t>
      </w:r>
      <w:r w:rsidR="00515EE0">
        <w:rPr>
          <w:rFonts w:ascii="Century Gothic" w:hAnsi="Century Gothic" w:cs="Tahoma"/>
          <w:lang w:val="es-CO"/>
        </w:rPr>
        <w:t xml:space="preserve"> según la pérdida del chance en el escenario de haber tenido un mejor resultado en el proceso de liquidación</w:t>
      </w:r>
    </w:p>
    <w:p w14:paraId="761038CF" w14:textId="77777777" w:rsidR="009A1E1B" w:rsidRDefault="009A1E1B" w:rsidP="009A1E1B">
      <w:pPr>
        <w:jc w:val="both"/>
        <w:rPr>
          <w:rFonts w:ascii="Century Gothic" w:hAnsi="Century Gothic" w:cs="Tahoma"/>
          <w:bCs/>
        </w:rPr>
      </w:pPr>
    </w:p>
    <w:p w14:paraId="013E4640" w14:textId="77777777" w:rsidR="001D01AD" w:rsidRPr="009A1E1B" w:rsidRDefault="001D01AD" w:rsidP="009A1E1B">
      <w:pPr>
        <w:jc w:val="both"/>
        <w:rPr>
          <w:rFonts w:ascii="Century Gothic" w:hAnsi="Century Gothic" w:cs="Tahoma"/>
          <w:bCs/>
        </w:rPr>
      </w:pPr>
    </w:p>
    <w:p w14:paraId="6760583B" w14:textId="77777777" w:rsidR="009A1E1B" w:rsidRPr="001E0B1C" w:rsidRDefault="009A1E1B" w:rsidP="00F527BF">
      <w:pPr>
        <w:pStyle w:val="Prrafodelista"/>
        <w:numPr>
          <w:ilvl w:val="0"/>
          <w:numId w:val="1"/>
        </w:numPr>
        <w:jc w:val="center"/>
        <w:rPr>
          <w:rFonts w:ascii="Century Gothic" w:hAnsi="Century Gothic" w:cs="Tahoma"/>
          <w:b/>
          <w:bCs/>
          <w:sz w:val="22"/>
          <w:szCs w:val="22"/>
          <w:u w:val="single"/>
        </w:rPr>
      </w:pPr>
      <w:r w:rsidRPr="001E0B1C">
        <w:rPr>
          <w:rFonts w:ascii="Century Gothic" w:hAnsi="Century Gothic" w:cs="Tahoma"/>
          <w:b/>
          <w:bCs/>
          <w:sz w:val="22"/>
          <w:szCs w:val="22"/>
          <w:u w:val="single"/>
        </w:rPr>
        <w:t>PRUEBAS QUE SE PRETENDEN HACER VALER</w:t>
      </w:r>
    </w:p>
    <w:p w14:paraId="1F572308" w14:textId="77777777" w:rsidR="009A1E1B" w:rsidRDefault="009A1E1B" w:rsidP="009A1E1B">
      <w:pPr>
        <w:jc w:val="both"/>
        <w:rPr>
          <w:rFonts w:ascii="Century Gothic" w:hAnsi="Century Gothic" w:cs="Tahoma"/>
          <w:bCs/>
        </w:rPr>
      </w:pPr>
    </w:p>
    <w:p w14:paraId="0010028B" w14:textId="6A84DB45" w:rsidR="001D01AD" w:rsidRPr="00600779" w:rsidRDefault="00600779" w:rsidP="00600779">
      <w:pPr>
        <w:pStyle w:val="Prrafodelista"/>
        <w:numPr>
          <w:ilvl w:val="0"/>
          <w:numId w:val="4"/>
        </w:numPr>
        <w:jc w:val="both"/>
        <w:rPr>
          <w:rFonts w:ascii="Century Gothic" w:hAnsi="Century Gothic" w:cs="Tahoma"/>
          <w:b/>
          <w:bCs/>
          <w:sz w:val="22"/>
          <w:szCs w:val="22"/>
          <w:lang w:val="es-CO"/>
        </w:rPr>
      </w:pPr>
      <w:r w:rsidRPr="00600779">
        <w:rPr>
          <w:rFonts w:ascii="Century Gothic" w:hAnsi="Century Gothic" w:cs="Tahoma"/>
          <w:b/>
          <w:bCs/>
          <w:sz w:val="22"/>
          <w:szCs w:val="22"/>
          <w:lang w:val="es-CO"/>
        </w:rPr>
        <w:t>DOCUMENTALES:</w:t>
      </w:r>
    </w:p>
    <w:p w14:paraId="07FFEF0F" w14:textId="77777777" w:rsidR="00600779" w:rsidRPr="009A1E1B" w:rsidRDefault="00600779" w:rsidP="009A1E1B">
      <w:pPr>
        <w:jc w:val="both"/>
        <w:rPr>
          <w:rFonts w:ascii="Century Gothic" w:hAnsi="Century Gothic" w:cs="Tahoma"/>
          <w:b/>
          <w:bCs/>
          <w:lang w:val="es-CO"/>
        </w:rPr>
      </w:pPr>
    </w:p>
    <w:p w14:paraId="6CE7BC8D" w14:textId="77777777" w:rsid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1.- </w:t>
      </w:r>
      <w:r w:rsidRPr="009A1E1B">
        <w:rPr>
          <w:rFonts w:ascii="Century Gothic" w:hAnsi="Century Gothic" w:cs="Tahoma"/>
          <w:bCs/>
          <w:lang w:val="es-CO"/>
        </w:rPr>
        <w:t xml:space="preserve">Copia del </w:t>
      </w:r>
      <w:r w:rsidR="001E0B1C">
        <w:rPr>
          <w:rFonts w:ascii="Century Gothic" w:hAnsi="Century Gothic" w:cs="Tahoma"/>
          <w:bCs/>
          <w:lang w:val="es-CO"/>
        </w:rPr>
        <w:t xml:space="preserve">expediente No. 89.699 remitido por la convocada Superintendencia de Sociedades Intendencia Regional Cali, el cual puede visualizarse y ser descargado en el siguiente enlace: </w:t>
      </w:r>
      <w:hyperlink r:id="rId73" w:history="1">
        <w:r w:rsidR="00CD5101" w:rsidRPr="00BF3034">
          <w:rPr>
            <w:rStyle w:val="Hipervnculo"/>
            <w:rFonts w:ascii="Century Gothic" w:hAnsi="Century Gothic" w:cs="Tahoma"/>
            <w:bCs/>
            <w:lang w:val="es-CO"/>
          </w:rPr>
          <w:t>https://gha2-my.sharepoint.com/:f:/g/personal/notificaciones_gha_com_co/EnPRdIc_NKNLqUvckR-RbnMBsufcNjIpNAIEzBlzHGn-GQ?e=yGKSxK</w:t>
        </w:r>
      </w:hyperlink>
      <w:r w:rsidR="00CD5101">
        <w:rPr>
          <w:rFonts w:ascii="Century Gothic" w:hAnsi="Century Gothic" w:cs="Tahoma"/>
          <w:bCs/>
          <w:lang w:val="es-CO"/>
        </w:rPr>
        <w:t xml:space="preserve"> </w:t>
      </w:r>
    </w:p>
    <w:p w14:paraId="1139547A" w14:textId="77777777" w:rsidR="001E0B1C" w:rsidRDefault="001E0B1C" w:rsidP="009A1E1B">
      <w:pPr>
        <w:jc w:val="both"/>
        <w:rPr>
          <w:rFonts w:ascii="Century Gothic" w:hAnsi="Century Gothic" w:cs="Tahoma"/>
          <w:bCs/>
          <w:lang w:val="es-CO"/>
        </w:rPr>
      </w:pPr>
    </w:p>
    <w:p w14:paraId="5F6A8B7C" w14:textId="77777777" w:rsidR="001E0B1C" w:rsidRDefault="001E0B1C" w:rsidP="009A1E1B">
      <w:pPr>
        <w:jc w:val="both"/>
        <w:rPr>
          <w:rFonts w:ascii="Century Gothic" w:hAnsi="Century Gothic" w:cs="Tahoma"/>
          <w:bCs/>
          <w:lang w:val="es-CO"/>
        </w:rPr>
      </w:pPr>
      <w:r>
        <w:rPr>
          <w:rFonts w:ascii="Century Gothic" w:hAnsi="Century Gothic" w:cs="Tahoma"/>
          <w:bCs/>
          <w:lang w:val="es-CO"/>
        </w:rPr>
        <w:t xml:space="preserve">Sin perjuicio de lo anterior, y atendiendo la relación fáctica de la presente </w:t>
      </w:r>
      <w:r w:rsidR="00607FA3">
        <w:rPr>
          <w:rFonts w:ascii="Century Gothic" w:hAnsi="Century Gothic" w:cs="Tahoma"/>
          <w:bCs/>
          <w:lang w:val="es-CO"/>
        </w:rPr>
        <w:t>demanda</w:t>
      </w:r>
      <w:r>
        <w:rPr>
          <w:rFonts w:ascii="Century Gothic" w:hAnsi="Century Gothic" w:cs="Tahoma"/>
          <w:bCs/>
          <w:lang w:val="es-CO"/>
        </w:rPr>
        <w:t>, se adjun</w:t>
      </w:r>
      <w:r w:rsidR="00507C5C">
        <w:rPr>
          <w:rFonts w:ascii="Century Gothic" w:hAnsi="Century Gothic" w:cs="Tahoma"/>
          <w:bCs/>
          <w:lang w:val="es-CO"/>
        </w:rPr>
        <w:t>tan como pruebas documentales la</w:t>
      </w:r>
      <w:r>
        <w:rPr>
          <w:rFonts w:ascii="Century Gothic" w:hAnsi="Century Gothic" w:cs="Tahoma"/>
          <w:bCs/>
          <w:lang w:val="es-CO"/>
        </w:rPr>
        <w:t>s siguientes de conformidad a la radicación obrante en el plenario que reposa en poder de la convocada así:</w:t>
      </w:r>
    </w:p>
    <w:p w14:paraId="1575F29C" w14:textId="77777777" w:rsidR="001E0B1C" w:rsidRPr="009A1E1B" w:rsidRDefault="001E0B1C" w:rsidP="009A1E1B">
      <w:pPr>
        <w:jc w:val="both"/>
        <w:rPr>
          <w:rFonts w:ascii="Century Gothic" w:hAnsi="Century Gothic" w:cs="Tahoma"/>
          <w:bCs/>
          <w:lang w:val="es-CO"/>
        </w:rPr>
      </w:pPr>
    </w:p>
    <w:p w14:paraId="68E906FD" w14:textId="77777777" w:rsidR="009A1E1B" w:rsidRPr="001E0B1C"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2.- </w:t>
      </w:r>
      <w:r w:rsidR="00507C5C">
        <w:rPr>
          <w:rFonts w:ascii="Century Gothic" w:hAnsi="Century Gothic" w:cs="Tahoma"/>
          <w:bCs/>
          <w:lang w:val="es-CO"/>
        </w:rPr>
        <w:t>2019-03-006089</w:t>
      </w:r>
      <w:r w:rsidR="001E0B1C">
        <w:rPr>
          <w:rFonts w:ascii="Century Gothic" w:hAnsi="Century Gothic" w:cs="Tahoma"/>
          <w:bCs/>
          <w:lang w:val="es-CO"/>
        </w:rPr>
        <w:t xml:space="preserve">; </w:t>
      </w:r>
      <w:r w:rsidR="00507C5C">
        <w:rPr>
          <w:rFonts w:ascii="Century Gothic" w:hAnsi="Century Gothic" w:cs="Tahoma"/>
          <w:bCs/>
          <w:lang w:val="es-CO"/>
        </w:rPr>
        <w:t>2019-03-007419</w:t>
      </w:r>
      <w:r w:rsidR="001E0B1C">
        <w:rPr>
          <w:rFonts w:ascii="Century Gothic" w:hAnsi="Century Gothic" w:cs="Tahoma"/>
          <w:bCs/>
          <w:lang w:val="es-CO"/>
        </w:rPr>
        <w:t xml:space="preserve">; </w:t>
      </w:r>
      <w:r w:rsidR="00507C5C">
        <w:rPr>
          <w:rFonts w:ascii="Century Gothic" w:hAnsi="Century Gothic" w:cs="Tahoma"/>
          <w:bCs/>
          <w:lang w:val="es-CO"/>
        </w:rPr>
        <w:t>2019-03-008362</w:t>
      </w:r>
      <w:r w:rsidR="001E0B1C">
        <w:rPr>
          <w:rFonts w:ascii="Century Gothic" w:hAnsi="Century Gothic" w:cs="Tahoma"/>
          <w:bCs/>
          <w:lang w:val="es-CO"/>
        </w:rPr>
        <w:t xml:space="preserve">; </w:t>
      </w:r>
      <w:r w:rsidR="001E0B1C" w:rsidRPr="001E0B1C">
        <w:rPr>
          <w:rFonts w:ascii="Century Gothic" w:hAnsi="Century Gothic" w:cs="Tahoma"/>
          <w:bCs/>
          <w:lang w:val="es-CO"/>
        </w:rPr>
        <w:t>2019-03-008684</w:t>
      </w:r>
      <w:r w:rsidR="001E0B1C">
        <w:rPr>
          <w:rFonts w:ascii="Century Gothic" w:hAnsi="Century Gothic" w:cs="Tahoma"/>
          <w:bCs/>
          <w:lang w:val="es-CO"/>
        </w:rPr>
        <w:t xml:space="preserve">; </w:t>
      </w:r>
      <w:r w:rsidR="00507C5C">
        <w:rPr>
          <w:rFonts w:ascii="Century Gothic" w:hAnsi="Century Gothic" w:cs="Tahoma"/>
          <w:bCs/>
          <w:lang w:val="es-CO"/>
        </w:rPr>
        <w:t>2019-03-010859</w:t>
      </w:r>
      <w:r w:rsidR="001E0B1C">
        <w:rPr>
          <w:rFonts w:ascii="Century Gothic" w:hAnsi="Century Gothic" w:cs="Tahoma"/>
          <w:bCs/>
          <w:lang w:val="es-CO"/>
        </w:rPr>
        <w:t xml:space="preserve">; </w:t>
      </w:r>
      <w:r w:rsidR="001E0B1C" w:rsidRPr="001E0B1C">
        <w:rPr>
          <w:rFonts w:ascii="Century Gothic" w:hAnsi="Century Gothic" w:cs="Tahoma"/>
          <w:bCs/>
          <w:lang w:val="es-CO"/>
        </w:rPr>
        <w:t>2019-03-010902</w:t>
      </w:r>
      <w:r w:rsidR="001E0B1C">
        <w:rPr>
          <w:rFonts w:ascii="Century Gothic" w:hAnsi="Century Gothic" w:cs="Tahoma"/>
          <w:bCs/>
          <w:lang w:val="es-CO"/>
        </w:rPr>
        <w:t xml:space="preserve">; </w:t>
      </w:r>
      <w:r w:rsidR="001E0B1C" w:rsidRPr="001E0B1C">
        <w:rPr>
          <w:rFonts w:ascii="Century Gothic" w:hAnsi="Century Gothic" w:cs="Tahoma"/>
          <w:bCs/>
          <w:lang w:val="es-CO"/>
        </w:rPr>
        <w:t>2019-03-011443</w:t>
      </w:r>
      <w:r w:rsidR="001E0B1C">
        <w:rPr>
          <w:rFonts w:ascii="Century Gothic" w:hAnsi="Century Gothic" w:cs="Tahoma"/>
          <w:bCs/>
          <w:lang w:val="es-CO"/>
        </w:rPr>
        <w:t xml:space="preserve">; </w:t>
      </w:r>
      <w:r w:rsidR="001E0B1C" w:rsidRPr="001E0B1C">
        <w:rPr>
          <w:rFonts w:ascii="Century Gothic" w:hAnsi="Century Gothic" w:cs="Tahoma"/>
          <w:bCs/>
          <w:lang w:val="es-CO"/>
        </w:rPr>
        <w:t>2019-03-011683</w:t>
      </w:r>
      <w:r w:rsidR="001E0B1C">
        <w:rPr>
          <w:rFonts w:ascii="Century Gothic" w:hAnsi="Century Gothic" w:cs="Tahoma"/>
          <w:bCs/>
          <w:lang w:val="es-CO"/>
        </w:rPr>
        <w:t xml:space="preserve">; </w:t>
      </w:r>
      <w:r w:rsidR="001E0B1C" w:rsidRPr="001E0B1C">
        <w:rPr>
          <w:rFonts w:ascii="Century Gothic" w:hAnsi="Century Gothic" w:cs="Tahoma"/>
          <w:bCs/>
          <w:lang w:val="es-CO"/>
        </w:rPr>
        <w:t>2019-03-011765</w:t>
      </w:r>
      <w:r w:rsidR="001E0B1C">
        <w:rPr>
          <w:rFonts w:ascii="Century Gothic" w:hAnsi="Century Gothic" w:cs="Tahoma"/>
          <w:bCs/>
          <w:lang w:val="es-CO"/>
        </w:rPr>
        <w:t xml:space="preserve">; </w:t>
      </w:r>
      <w:r w:rsidR="001E0B1C" w:rsidRPr="001E0B1C">
        <w:rPr>
          <w:rFonts w:ascii="Century Gothic" w:hAnsi="Century Gothic" w:cs="Tahoma"/>
          <w:bCs/>
          <w:lang w:val="es-CO"/>
        </w:rPr>
        <w:t>2019-03-012242</w:t>
      </w:r>
      <w:r w:rsidR="001E0B1C">
        <w:rPr>
          <w:rFonts w:ascii="Century Gothic" w:hAnsi="Century Gothic" w:cs="Tahoma"/>
          <w:bCs/>
          <w:lang w:val="es-CO"/>
        </w:rPr>
        <w:t xml:space="preserve">; </w:t>
      </w:r>
      <w:r w:rsidR="001E0B1C" w:rsidRPr="001E0B1C">
        <w:rPr>
          <w:rFonts w:ascii="Century Gothic" w:hAnsi="Century Gothic" w:cs="Tahoma"/>
          <w:bCs/>
          <w:lang w:val="es-CO"/>
        </w:rPr>
        <w:t>2019-03-012648</w:t>
      </w:r>
      <w:r w:rsidR="001E0B1C">
        <w:rPr>
          <w:rFonts w:ascii="Century Gothic" w:hAnsi="Century Gothic" w:cs="Tahoma"/>
          <w:bCs/>
          <w:lang w:val="es-CO"/>
        </w:rPr>
        <w:t xml:space="preserve">; </w:t>
      </w:r>
      <w:r w:rsidR="001E0B1C" w:rsidRPr="001E0B1C">
        <w:rPr>
          <w:rFonts w:ascii="Century Gothic" w:hAnsi="Century Gothic" w:cs="Tahoma"/>
          <w:bCs/>
          <w:lang w:val="es-CO"/>
        </w:rPr>
        <w:t>2019-03-012858</w:t>
      </w:r>
      <w:r w:rsidR="001E0B1C">
        <w:rPr>
          <w:rFonts w:ascii="Century Gothic" w:hAnsi="Century Gothic" w:cs="Tahoma"/>
          <w:bCs/>
          <w:lang w:val="es-CO"/>
        </w:rPr>
        <w:t xml:space="preserve">; </w:t>
      </w:r>
      <w:r w:rsidR="001E0B1C" w:rsidRPr="001E0B1C">
        <w:rPr>
          <w:rFonts w:ascii="Century Gothic" w:hAnsi="Century Gothic" w:cs="Tahoma"/>
          <w:bCs/>
          <w:lang w:val="es-CO"/>
        </w:rPr>
        <w:t>2019-03-013574</w:t>
      </w:r>
      <w:r w:rsidR="001E0B1C">
        <w:rPr>
          <w:rFonts w:ascii="Century Gothic" w:hAnsi="Century Gothic" w:cs="Tahoma"/>
          <w:bCs/>
          <w:lang w:val="es-CO"/>
        </w:rPr>
        <w:t xml:space="preserve">; </w:t>
      </w:r>
      <w:r w:rsidR="001E0B1C" w:rsidRPr="001E0B1C">
        <w:rPr>
          <w:rFonts w:ascii="Century Gothic" w:hAnsi="Century Gothic" w:cs="Tahoma"/>
          <w:bCs/>
          <w:lang w:val="es-CO"/>
        </w:rPr>
        <w:t>2019-03-013844</w:t>
      </w:r>
      <w:r w:rsidR="001E0B1C">
        <w:rPr>
          <w:rFonts w:ascii="Century Gothic" w:hAnsi="Century Gothic" w:cs="Tahoma"/>
          <w:bCs/>
          <w:lang w:val="es-CO"/>
        </w:rPr>
        <w:t xml:space="preserve">; </w:t>
      </w:r>
      <w:r w:rsidR="001E0B1C" w:rsidRPr="001E0B1C">
        <w:rPr>
          <w:rFonts w:ascii="Century Gothic" w:hAnsi="Century Gothic" w:cs="Tahoma"/>
          <w:bCs/>
          <w:lang w:val="es-CO"/>
        </w:rPr>
        <w:t>2019-03-013900</w:t>
      </w:r>
      <w:r w:rsidR="001E0B1C">
        <w:rPr>
          <w:rFonts w:ascii="Century Gothic" w:hAnsi="Century Gothic" w:cs="Tahoma"/>
          <w:bCs/>
          <w:lang w:val="es-CO"/>
        </w:rPr>
        <w:t xml:space="preserve">; </w:t>
      </w:r>
      <w:r w:rsidR="001E0B1C" w:rsidRPr="001E0B1C">
        <w:rPr>
          <w:rFonts w:ascii="Century Gothic" w:hAnsi="Century Gothic" w:cs="Tahoma"/>
          <w:bCs/>
          <w:lang w:val="es-CO"/>
        </w:rPr>
        <w:t>2019-03-015079</w:t>
      </w:r>
      <w:r w:rsidR="001E0B1C">
        <w:rPr>
          <w:rFonts w:ascii="Century Gothic" w:hAnsi="Century Gothic" w:cs="Tahoma"/>
          <w:bCs/>
          <w:lang w:val="es-CO"/>
        </w:rPr>
        <w:t xml:space="preserve">; </w:t>
      </w:r>
      <w:r w:rsidR="001E0B1C" w:rsidRPr="001E0B1C">
        <w:rPr>
          <w:rFonts w:ascii="Century Gothic" w:hAnsi="Century Gothic" w:cs="Tahoma"/>
          <w:bCs/>
          <w:lang w:val="es-CO"/>
        </w:rPr>
        <w:t>2019-03-015339</w:t>
      </w:r>
      <w:r w:rsidR="001E0B1C">
        <w:rPr>
          <w:rFonts w:ascii="Century Gothic" w:hAnsi="Century Gothic" w:cs="Tahoma"/>
          <w:bCs/>
          <w:lang w:val="es-CO"/>
        </w:rPr>
        <w:t xml:space="preserve">; </w:t>
      </w:r>
      <w:r w:rsidR="001E0B1C" w:rsidRPr="001E0B1C">
        <w:rPr>
          <w:rFonts w:ascii="Century Gothic" w:hAnsi="Century Gothic" w:cs="Tahoma"/>
          <w:bCs/>
          <w:lang w:val="es-CO"/>
        </w:rPr>
        <w:t>2019-03-016236</w:t>
      </w:r>
      <w:r w:rsidR="001E0B1C">
        <w:rPr>
          <w:rFonts w:ascii="Century Gothic" w:hAnsi="Century Gothic" w:cs="Tahoma"/>
          <w:bCs/>
          <w:lang w:val="es-CO"/>
        </w:rPr>
        <w:t xml:space="preserve">; </w:t>
      </w:r>
      <w:r w:rsidR="001E0B1C" w:rsidRPr="001E0B1C">
        <w:rPr>
          <w:rFonts w:ascii="Century Gothic" w:hAnsi="Century Gothic" w:cs="Tahoma"/>
          <w:bCs/>
          <w:lang w:val="es-CO"/>
        </w:rPr>
        <w:t>2019-03-017120</w:t>
      </w:r>
      <w:r w:rsidR="001E0B1C">
        <w:rPr>
          <w:rFonts w:ascii="Century Gothic" w:hAnsi="Century Gothic" w:cs="Tahoma"/>
          <w:bCs/>
          <w:lang w:val="es-CO"/>
        </w:rPr>
        <w:t xml:space="preserve">; </w:t>
      </w:r>
      <w:r w:rsidR="001E0B1C" w:rsidRPr="001E0B1C">
        <w:rPr>
          <w:rFonts w:ascii="Century Gothic" w:hAnsi="Century Gothic" w:cs="Tahoma"/>
          <w:bCs/>
          <w:lang w:val="es-CO"/>
        </w:rPr>
        <w:t>2019-03-017496</w:t>
      </w:r>
      <w:r w:rsidR="001E0B1C">
        <w:rPr>
          <w:rFonts w:ascii="Century Gothic" w:hAnsi="Century Gothic" w:cs="Tahoma"/>
          <w:bCs/>
          <w:lang w:val="es-CO"/>
        </w:rPr>
        <w:t xml:space="preserve">; </w:t>
      </w:r>
      <w:r w:rsidR="001E0B1C" w:rsidRPr="001E0B1C">
        <w:rPr>
          <w:rFonts w:ascii="Century Gothic" w:hAnsi="Century Gothic" w:cs="Tahoma"/>
          <w:bCs/>
          <w:lang w:val="es-CO"/>
        </w:rPr>
        <w:t>2019-03-018841</w:t>
      </w:r>
      <w:r w:rsidR="001E0B1C">
        <w:rPr>
          <w:rFonts w:ascii="Century Gothic" w:hAnsi="Century Gothic" w:cs="Tahoma"/>
          <w:bCs/>
          <w:lang w:val="es-CO"/>
        </w:rPr>
        <w:t xml:space="preserve">; </w:t>
      </w:r>
      <w:r w:rsidR="002C6271" w:rsidRPr="002C6271">
        <w:rPr>
          <w:rFonts w:ascii="Century Gothic" w:hAnsi="Century Gothic" w:cs="Tahoma"/>
          <w:bCs/>
          <w:lang w:val="es-CO"/>
        </w:rPr>
        <w:t>2020-01-117823</w:t>
      </w:r>
      <w:r w:rsidR="002C6271">
        <w:rPr>
          <w:rFonts w:ascii="Century Gothic" w:hAnsi="Century Gothic" w:cs="Tahoma"/>
          <w:bCs/>
          <w:lang w:val="es-CO"/>
        </w:rPr>
        <w:t xml:space="preserve">; </w:t>
      </w:r>
      <w:r w:rsidR="002C6271" w:rsidRPr="002C6271">
        <w:rPr>
          <w:rFonts w:ascii="Century Gothic" w:hAnsi="Century Gothic" w:cs="Tahoma"/>
          <w:bCs/>
          <w:lang w:val="es-CO"/>
        </w:rPr>
        <w:t>2020-01-117825</w:t>
      </w:r>
      <w:r w:rsidR="00507C5C">
        <w:rPr>
          <w:rFonts w:ascii="Century Gothic" w:hAnsi="Century Gothic" w:cs="Tahoma"/>
          <w:bCs/>
          <w:lang w:val="es-CO"/>
        </w:rPr>
        <w:t xml:space="preserve">; </w:t>
      </w:r>
      <w:r w:rsidR="002C6271" w:rsidRPr="002C6271">
        <w:rPr>
          <w:rFonts w:ascii="Century Gothic" w:hAnsi="Century Gothic" w:cs="Tahoma"/>
          <w:bCs/>
          <w:lang w:val="es-CO"/>
        </w:rPr>
        <w:t>2020-01-203753</w:t>
      </w:r>
      <w:r w:rsidR="002C6271">
        <w:rPr>
          <w:rFonts w:ascii="Century Gothic" w:hAnsi="Century Gothic" w:cs="Tahoma"/>
          <w:bCs/>
          <w:lang w:val="es-CO"/>
        </w:rPr>
        <w:t xml:space="preserve">; </w:t>
      </w:r>
      <w:r w:rsidR="002C6271" w:rsidRPr="002C6271">
        <w:rPr>
          <w:rFonts w:ascii="Century Gothic" w:hAnsi="Century Gothic" w:cs="Tahoma"/>
          <w:bCs/>
          <w:lang w:val="es-CO"/>
        </w:rPr>
        <w:t>2020-01-217046</w:t>
      </w:r>
      <w:r w:rsidR="002C6271">
        <w:rPr>
          <w:rFonts w:ascii="Century Gothic" w:hAnsi="Century Gothic" w:cs="Tahoma"/>
          <w:bCs/>
          <w:lang w:val="es-CO"/>
        </w:rPr>
        <w:t xml:space="preserve">; </w:t>
      </w:r>
      <w:r w:rsidR="002C6271" w:rsidRPr="002C6271">
        <w:rPr>
          <w:rFonts w:ascii="Century Gothic" w:hAnsi="Century Gothic" w:cs="Tahoma"/>
          <w:bCs/>
          <w:lang w:val="es-CO"/>
        </w:rPr>
        <w:t>2020-01-217090</w:t>
      </w:r>
      <w:r w:rsidR="002C6271">
        <w:rPr>
          <w:rFonts w:ascii="Century Gothic" w:hAnsi="Century Gothic" w:cs="Tahoma"/>
          <w:bCs/>
          <w:lang w:val="es-CO"/>
        </w:rPr>
        <w:t xml:space="preserve">; </w:t>
      </w:r>
      <w:r w:rsidR="002C6271" w:rsidRPr="002C6271">
        <w:rPr>
          <w:rFonts w:ascii="Century Gothic" w:hAnsi="Century Gothic" w:cs="Tahoma"/>
          <w:bCs/>
          <w:lang w:val="es-CO"/>
        </w:rPr>
        <w:t>2020-01-493587</w:t>
      </w:r>
      <w:r w:rsidR="002C6271">
        <w:rPr>
          <w:rFonts w:ascii="Century Gothic" w:hAnsi="Century Gothic" w:cs="Tahoma"/>
          <w:bCs/>
          <w:lang w:val="es-CO"/>
        </w:rPr>
        <w:t xml:space="preserve">; </w:t>
      </w:r>
      <w:r w:rsidR="002C6271" w:rsidRPr="002C6271">
        <w:rPr>
          <w:rFonts w:ascii="Century Gothic" w:hAnsi="Century Gothic" w:cs="Tahoma"/>
          <w:bCs/>
          <w:lang w:val="es-CO"/>
        </w:rPr>
        <w:t>2020-01-528839</w:t>
      </w:r>
      <w:r w:rsidR="002C6271">
        <w:rPr>
          <w:rFonts w:ascii="Century Gothic" w:hAnsi="Century Gothic" w:cs="Tahoma"/>
          <w:bCs/>
          <w:lang w:val="es-CO"/>
        </w:rPr>
        <w:t xml:space="preserve">; </w:t>
      </w:r>
      <w:r w:rsidR="002C6271" w:rsidRPr="002C6271">
        <w:rPr>
          <w:rFonts w:ascii="Century Gothic" w:hAnsi="Century Gothic" w:cs="Tahoma"/>
          <w:bCs/>
          <w:lang w:val="es-CO"/>
        </w:rPr>
        <w:t>2020-01-528846</w:t>
      </w:r>
      <w:r w:rsidR="002C6271">
        <w:rPr>
          <w:rFonts w:ascii="Century Gothic" w:hAnsi="Century Gothic" w:cs="Tahoma"/>
          <w:bCs/>
          <w:lang w:val="es-CO"/>
        </w:rPr>
        <w:t xml:space="preserve">; </w:t>
      </w:r>
      <w:r w:rsidR="002C6271" w:rsidRPr="002C6271">
        <w:rPr>
          <w:rFonts w:ascii="Century Gothic" w:hAnsi="Century Gothic" w:cs="Tahoma"/>
          <w:bCs/>
          <w:lang w:val="es-CO"/>
        </w:rPr>
        <w:t>2020-03-002958</w:t>
      </w:r>
      <w:r w:rsidR="002C6271">
        <w:rPr>
          <w:rFonts w:ascii="Century Gothic" w:hAnsi="Century Gothic" w:cs="Tahoma"/>
          <w:bCs/>
          <w:lang w:val="es-CO"/>
        </w:rPr>
        <w:t xml:space="preserve">; </w:t>
      </w:r>
      <w:r w:rsidR="002C6271" w:rsidRPr="002C6271">
        <w:rPr>
          <w:rFonts w:ascii="Century Gothic" w:hAnsi="Century Gothic" w:cs="Tahoma"/>
          <w:bCs/>
          <w:lang w:val="es-CO"/>
        </w:rPr>
        <w:t>2020-03-011198</w:t>
      </w:r>
      <w:r w:rsidR="002C6271">
        <w:rPr>
          <w:rFonts w:ascii="Century Gothic" w:hAnsi="Century Gothic" w:cs="Tahoma"/>
          <w:bCs/>
          <w:lang w:val="es-CO"/>
        </w:rPr>
        <w:t xml:space="preserve">; </w:t>
      </w:r>
      <w:r w:rsidR="002C6271" w:rsidRPr="002C6271">
        <w:rPr>
          <w:rFonts w:ascii="Century Gothic" w:hAnsi="Century Gothic" w:cs="Tahoma"/>
          <w:bCs/>
          <w:lang w:val="es-CO"/>
        </w:rPr>
        <w:t>2020-03-011762</w:t>
      </w:r>
      <w:r w:rsidR="002C6271">
        <w:rPr>
          <w:rFonts w:ascii="Century Gothic" w:hAnsi="Century Gothic" w:cs="Tahoma"/>
          <w:bCs/>
          <w:lang w:val="es-CO"/>
        </w:rPr>
        <w:t xml:space="preserve">; </w:t>
      </w:r>
      <w:r w:rsidR="002C6271" w:rsidRPr="002C6271">
        <w:rPr>
          <w:rFonts w:ascii="Century Gothic" w:hAnsi="Century Gothic" w:cs="Tahoma"/>
          <w:bCs/>
          <w:lang w:val="es-CO"/>
        </w:rPr>
        <w:t>2021-01-011656</w:t>
      </w:r>
      <w:r w:rsidR="002C6271">
        <w:rPr>
          <w:rFonts w:ascii="Century Gothic" w:hAnsi="Century Gothic" w:cs="Tahoma"/>
          <w:bCs/>
          <w:lang w:val="es-CO"/>
        </w:rPr>
        <w:t xml:space="preserve">; </w:t>
      </w:r>
      <w:r w:rsidR="002C6271" w:rsidRPr="002C6271">
        <w:rPr>
          <w:rFonts w:ascii="Century Gothic" w:hAnsi="Century Gothic" w:cs="Tahoma"/>
          <w:bCs/>
          <w:lang w:val="es-CO"/>
        </w:rPr>
        <w:t>2021-01-092904</w:t>
      </w:r>
      <w:r w:rsidR="002C6271">
        <w:rPr>
          <w:rFonts w:ascii="Century Gothic" w:hAnsi="Century Gothic" w:cs="Tahoma"/>
          <w:bCs/>
          <w:lang w:val="es-CO"/>
        </w:rPr>
        <w:t xml:space="preserve">; </w:t>
      </w:r>
      <w:r w:rsidR="002C6271" w:rsidRPr="002C6271">
        <w:rPr>
          <w:rFonts w:ascii="Century Gothic" w:hAnsi="Century Gothic" w:cs="Tahoma"/>
          <w:bCs/>
          <w:lang w:val="es-CO"/>
        </w:rPr>
        <w:t>2021-01-376281</w:t>
      </w:r>
      <w:r w:rsidR="002C6271">
        <w:rPr>
          <w:rFonts w:ascii="Century Gothic" w:hAnsi="Century Gothic" w:cs="Tahoma"/>
          <w:bCs/>
          <w:lang w:val="es-CO"/>
        </w:rPr>
        <w:t xml:space="preserve">; </w:t>
      </w:r>
      <w:r w:rsidR="002C6271" w:rsidRPr="002C6271">
        <w:rPr>
          <w:rFonts w:ascii="Century Gothic" w:hAnsi="Century Gothic" w:cs="Tahoma"/>
          <w:bCs/>
          <w:lang w:val="es-CO"/>
        </w:rPr>
        <w:t>2021-01-604197</w:t>
      </w:r>
      <w:r w:rsidR="002C6271">
        <w:rPr>
          <w:rFonts w:ascii="Century Gothic" w:hAnsi="Century Gothic" w:cs="Tahoma"/>
          <w:bCs/>
          <w:lang w:val="es-CO"/>
        </w:rPr>
        <w:t xml:space="preserve">; </w:t>
      </w:r>
      <w:r w:rsidR="002C6271" w:rsidRPr="002C6271">
        <w:rPr>
          <w:rFonts w:ascii="Century Gothic" w:hAnsi="Century Gothic" w:cs="Tahoma"/>
          <w:bCs/>
          <w:lang w:val="es-CO"/>
        </w:rPr>
        <w:t>2021-03-000040</w:t>
      </w:r>
      <w:r w:rsidR="002C6271">
        <w:rPr>
          <w:rFonts w:ascii="Century Gothic" w:hAnsi="Century Gothic" w:cs="Tahoma"/>
          <w:bCs/>
          <w:lang w:val="es-CO"/>
        </w:rPr>
        <w:t xml:space="preserve">; </w:t>
      </w:r>
      <w:r w:rsidR="002C6271" w:rsidRPr="002C6271">
        <w:rPr>
          <w:rFonts w:ascii="Century Gothic" w:hAnsi="Century Gothic" w:cs="Tahoma"/>
          <w:bCs/>
          <w:lang w:val="es-CO"/>
        </w:rPr>
        <w:t>2021-03-011284</w:t>
      </w:r>
      <w:r w:rsidR="002C6271">
        <w:rPr>
          <w:rFonts w:ascii="Century Gothic" w:hAnsi="Century Gothic" w:cs="Tahoma"/>
          <w:bCs/>
          <w:lang w:val="es-CO"/>
        </w:rPr>
        <w:t xml:space="preserve">; </w:t>
      </w:r>
      <w:r w:rsidR="002C6271" w:rsidRPr="002C6271">
        <w:rPr>
          <w:rFonts w:ascii="Century Gothic" w:hAnsi="Century Gothic" w:cs="Tahoma"/>
          <w:bCs/>
          <w:lang w:val="es-CO"/>
        </w:rPr>
        <w:t>2022-01-153592</w:t>
      </w:r>
      <w:r w:rsidR="002C6271">
        <w:rPr>
          <w:rFonts w:ascii="Century Gothic" w:hAnsi="Century Gothic" w:cs="Tahoma"/>
          <w:bCs/>
          <w:lang w:val="es-CO"/>
        </w:rPr>
        <w:t xml:space="preserve">; </w:t>
      </w:r>
      <w:r w:rsidR="002C6271" w:rsidRPr="002C6271">
        <w:rPr>
          <w:rFonts w:ascii="Century Gothic" w:hAnsi="Century Gothic" w:cs="Tahoma"/>
          <w:bCs/>
          <w:lang w:val="es-CO"/>
        </w:rPr>
        <w:t>2022-01-153592</w:t>
      </w:r>
      <w:r w:rsidR="002C6271">
        <w:rPr>
          <w:rFonts w:ascii="Century Gothic" w:hAnsi="Century Gothic" w:cs="Tahoma"/>
          <w:bCs/>
          <w:lang w:val="es-CO"/>
        </w:rPr>
        <w:t xml:space="preserve">; </w:t>
      </w:r>
      <w:r w:rsidR="002C6271" w:rsidRPr="002C6271">
        <w:rPr>
          <w:rFonts w:ascii="Century Gothic" w:hAnsi="Century Gothic" w:cs="Tahoma"/>
          <w:bCs/>
          <w:lang w:val="es-CO"/>
        </w:rPr>
        <w:t>2022-01-170487</w:t>
      </w:r>
      <w:r w:rsidR="002C6271">
        <w:rPr>
          <w:rFonts w:ascii="Century Gothic" w:hAnsi="Century Gothic" w:cs="Tahoma"/>
          <w:bCs/>
          <w:lang w:val="es-CO"/>
        </w:rPr>
        <w:t xml:space="preserve">; </w:t>
      </w:r>
      <w:r w:rsidR="002C6271" w:rsidRPr="002C6271">
        <w:rPr>
          <w:rFonts w:ascii="Century Gothic" w:hAnsi="Century Gothic" w:cs="Tahoma"/>
          <w:bCs/>
          <w:lang w:val="es-CO"/>
        </w:rPr>
        <w:t>2022-01-197422</w:t>
      </w:r>
      <w:r w:rsidR="002C6271">
        <w:rPr>
          <w:rFonts w:ascii="Century Gothic" w:hAnsi="Century Gothic" w:cs="Tahoma"/>
          <w:bCs/>
          <w:lang w:val="es-CO"/>
        </w:rPr>
        <w:t xml:space="preserve">; </w:t>
      </w:r>
      <w:r w:rsidR="002C6271" w:rsidRPr="002C6271">
        <w:rPr>
          <w:rFonts w:ascii="Century Gothic" w:hAnsi="Century Gothic" w:cs="Tahoma"/>
          <w:bCs/>
          <w:lang w:val="es-CO"/>
        </w:rPr>
        <w:t>2022-01-245413</w:t>
      </w:r>
      <w:r w:rsidR="002C6271">
        <w:rPr>
          <w:rFonts w:ascii="Century Gothic" w:hAnsi="Century Gothic" w:cs="Tahoma"/>
          <w:bCs/>
          <w:lang w:val="es-CO"/>
        </w:rPr>
        <w:t xml:space="preserve">; </w:t>
      </w:r>
      <w:r w:rsidR="002C6271" w:rsidRPr="002C6271">
        <w:rPr>
          <w:rFonts w:ascii="Century Gothic" w:hAnsi="Century Gothic" w:cs="Tahoma"/>
          <w:bCs/>
          <w:lang w:val="es-CO"/>
        </w:rPr>
        <w:t>2022-01-245413</w:t>
      </w:r>
      <w:r w:rsidR="002C6271">
        <w:rPr>
          <w:rFonts w:ascii="Century Gothic" w:hAnsi="Century Gothic" w:cs="Tahoma"/>
          <w:bCs/>
          <w:lang w:val="es-CO"/>
        </w:rPr>
        <w:t xml:space="preserve">; </w:t>
      </w:r>
      <w:r w:rsidR="002C6271" w:rsidRPr="002C6271">
        <w:rPr>
          <w:rFonts w:ascii="Century Gothic" w:hAnsi="Century Gothic" w:cs="Tahoma"/>
          <w:bCs/>
          <w:lang w:val="es-CO"/>
        </w:rPr>
        <w:t>2022-01-400337</w:t>
      </w:r>
      <w:r w:rsidR="002C6271">
        <w:rPr>
          <w:rFonts w:ascii="Century Gothic" w:hAnsi="Century Gothic" w:cs="Tahoma"/>
          <w:bCs/>
          <w:lang w:val="es-CO"/>
        </w:rPr>
        <w:t xml:space="preserve">; </w:t>
      </w:r>
      <w:r w:rsidR="002C6271" w:rsidRPr="002C6271">
        <w:rPr>
          <w:rFonts w:ascii="Century Gothic" w:hAnsi="Century Gothic" w:cs="Tahoma"/>
          <w:bCs/>
          <w:lang w:val="es-CO"/>
        </w:rPr>
        <w:t>2022-01-460273</w:t>
      </w:r>
      <w:r w:rsidR="002C6271">
        <w:rPr>
          <w:rFonts w:ascii="Century Gothic" w:hAnsi="Century Gothic" w:cs="Tahoma"/>
          <w:bCs/>
          <w:lang w:val="es-CO"/>
        </w:rPr>
        <w:t xml:space="preserve">; </w:t>
      </w:r>
      <w:r w:rsidR="002C6271" w:rsidRPr="002C6271">
        <w:rPr>
          <w:rFonts w:ascii="Century Gothic" w:hAnsi="Century Gothic" w:cs="Tahoma"/>
          <w:bCs/>
          <w:lang w:val="es-CO"/>
        </w:rPr>
        <w:t>2022-01-460273</w:t>
      </w:r>
      <w:r w:rsidR="002C6271">
        <w:rPr>
          <w:rFonts w:ascii="Century Gothic" w:hAnsi="Century Gothic" w:cs="Tahoma"/>
          <w:bCs/>
          <w:lang w:val="es-CO"/>
        </w:rPr>
        <w:t xml:space="preserve">; </w:t>
      </w:r>
      <w:r w:rsidR="002C6271" w:rsidRPr="002C6271">
        <w:rPr>
          <w:rFonts w:ascii="Century Gothic" w:hAnsi="Century Gothic" w:cs="Tahoma"/>
          <w:bCs/>
          <w:lang w:val="es-CO"/>
        </w:rPr>
        <w:t>2022-01-509176</w:t>
      </w:r>
      <w:r w:rsidR="002C6271">
        <w:rPr>
          <w:rFonts w:ascii="Century Gothic" w:hAnsi="Century Gothic" w:cs="Tahoma"/>
          <w:bCs/>
          <w:lang w:val="es-CO"/>
        </w:rPr>
        <w:t xml:space="preserve">; </w:t>
      </w:r>
      <w:r w:rsidR="002C6271" w:rsidRPr="002C6271">
        <w:rPr>
          <w:rFonts w:ascii="Century Gothic" w:hAnsi="Century Gothic" w:cs="Tahoma"/>
          <w:bCs/>
          <w:lang w:val="es-CO"/>
        </w:rPr>
        <w:t>2022-01-543346</w:t>
      </w:r>
      <w:r w:rsidR="002C6271">
        <w:rPr>
          <w:rFonts w:ascii="Century Gothic" w:hAnsi="Century Gothic" w:cs="Tahoma"/>
          <w:bCs/>
          <w:lang w:val="es-CO"/>
        </w:rPr>
        <w:t xml:space="preserve">; </w:t>
      </w:r>
      <w:r w:rsidR="002C6271" w:rsidRPr="002C6271">
        <w:rPr>
          <w:rFonts w:ascii="Century Gothic" w:hAnsi="Century Gothic" w:cs="Tahoma"/>
          <w:bCs/>
          <w:lang w:val="es-CO"/>
        </w:rPr>
        <w:t>2022-01-724771</w:t>
      </w:r>
      <w:r w:rsidR="002C6271">
        <w:rPr>
          <w:rFonts w:ascii="Century Gothic" w:hAnsi="Century Gothic" w:cs="Tahoma"/>
          <w:bCs/>
          <w:lang w:val="es-CO"/>
        </w:rPr>
        <w:t xml:space="preserve">; </w:t>
      </w:r>
      <w:r w:rsidR="002C6271" w:rsidRPr="002C6271">
        <w:rPr>
          <w:rFonts w:ascii="Century Gothic" w:hAnsi="Century Gothic" w:cs="Tahoma"/>
          <w:bCs/>
          <w:lang w:val="es-CO"/>
        </w:rPr>
        <w:t>2022-01-741626</w:t>
      </w:r>
      <w:r w:rsidR="002C6271">
        <w:rPr>
          <w:rFonts w:ascii="Century Gothic" w:hAnsi="Century Gothic" w:cs="Tahoma"/>
          <w:bCs/>
          <w:lang w:val="es-CO"/>
        </w:rPr>
        <w:t xml:space="preserve">; </w:t>
      </w:r>
      <w:r w:rsidR="002C6271" w:rsidRPr="002C6271">
        <w:rPr>
          <w:rFonts w:ascii="Century Gothic" w:hAnsi="Century Gothic" w:cs="Tahoma"/>
          <w:bCs/>
          <w:lang w:val="es-CO"/>
        </w:rPr>
        <w:t>2022-01-792438</w:t>
      </w:r>
      <w:r w:rsidR="002C6271">
        <w:rPr>
          <w:rFonts w:ascii="Century Gothic" w:hAnsi="Century Gothic" w:cs="Tahoma"/>
          <w:bCs/>
          <w:lang w:val="es-CO"/>
        </w:rPr>
        <w:t xml:space="preserve">; </w:t>
      </w:r>
      <w:r w:rsidR="002C6271" w:rsidRPr="002C6271">
        <w:rPr>
          <w:rFonts w:ascii="Century Gothic" w:hAnsi="Century Gothic" w:cs="Tahoma"/>
          <w:bCs/>
          <w:lang w:val="es-CO"/>
        </w:rPr>
        <w:t>2022-01-792438</w:t>
      </w:r>
      <w:r w:rsidR="002C6271">
        <w:rPr>
          <w:rFonts w:ascii="Century Gothic" w:hAnsi="Century Gothic" w:cs="Tahoma"/>
          <w:bCs/>
          <w:lang w:val="es-CO"/>
        </w:rPr>
        <w:t xml:space="preserve">; </w:t>
      </w:r>
      <w:r w:rsidR="002C6271" w:rsidRPr="002C6271">
        <w:rPr>
          <w:rFonts w:ascii="Century Gothic" w:hAnsi="Century Gothic" w:cs="Tahoma"/>
          <w:bCs/>
          <w:lang w:val="es-CO"/>
        </w:rPr>
        <w:t>2022-03-010734</w:t>
      </w:r>
      <w:r w:rsidR="002C6271">
        <w:rPr>
          <w:rFonts w:ascii="Century Gothic" w:hAnsi="Century Gothic" w:cs="Tahoma"/>
          <w:bCs/>
          <w:lang w:val="es-CO"/>
        </w:rPr>
        <w:t xml:space="preserve">; </w:t>
      </w:r>
      <w:r w:rsidR="002C6271" w:rsidRPr="002C6271">
        <w:rPr>
          <w:rFonts w:ascii="Century Gothic" w:hAnsi="Century Gothic" w:cs="Tahoma"/>
          <w:bCs/>
          <w:lang w:val="es-CO"/>
        </w:rPr>
        <w:t>2023-01-078408</w:t>
      </w:r>
      <w:r w:rsidR="002C6271">
        <w:rPr>
          <w:rFonts w:ascii="Century Gothic" w:hAnsi="Century Gothic" w:cs="Tahoma"/>
          <w:bCs/>
          <w:lang w:val="es-CO"/>
        </w:rPr>
        <w:t xml:space="preserve">; </w:t>
      </w:r>
      <w:r w:rsidR="002C6271" w:rsidRPr="002C6271">
        <w:rPr>
          <w:rFonts w:ascii="Century Gothic" w:hAnsi="Century Gothic" w:cs="Tahoma"/>
          <w:bCs/>
          <w:lang w:val="es-CO"/>
        </w:rPr>
        <w:t>2023-01-148773</w:t>
      </w:r>
      <w:r w:rsidR="002C6271">
        <w:rPr>
          <w:rFonts w:ascii="Century Gothic" w:hAnsi="Century Gothic" w:cs="Tahoma"/>
          <w:bCs/>
          <w:lang w:val="es-CO"/>
        </w:rPr>
        <w:t xml:space="preserve">; </w:t>
      </w:r>
      <w:r w:rsidR="002C6271" w:rsidRPr="002C6271">
        <w:rPr>
          <w:rFonts w:ascii="Century Gothic" w:hAnsi="Century Gothic" w:cs="Tahoma"/>
          <w:bCs/>
          <w:lang w:val="es-CO"/>
        </w:rPr>
        <w:t>2023-01-391204</w:t>
      </w:r>
      <w:r w:rsidR="002C6271">
        <w:rPr>
          <w:rFonts w:ascii="Century Gothic" w:hAnsi="Century Gothic" w:cs="Tahoma"/>
          <w:bCs/>
          <w:lang w:val="es-CO"/>
        </w:rPr>
        <w:t xml:space="preserve">; </w:t>
      </w:r>
      <w:r w:rsidR="002C6271" w:rsidRPr="002C6271">
        <w:rPr>
          <w:rFonts w:ascii="Century Gothic" w:hAnsi="Century Gothic" w:cs="Tahoma"/>
          <w:bCs/>
          <w:lang w:val="es-CO"/>
        </w:rPr>
        <w:t>2023-01-489683</w:t>
      </w:r>
      <w:r w:rsidR="002C6271">
        <w:rPr>
          <w:rFonts w:ascii="Century Gothic" w:hAnsi="Century Gothic" w:cs="Tahoma"/>
          <w:bCs/>
          <w:lang w:val="es-CO"/>
        </w:rPr>
        <w:t xml:space="preserve">; </w:t>
      </w:r>
      <w:r w:rsidR="00507C5C" w:rsidRPr="00507C5C">
        <w:rPr>
          <w:rFonts w:ascii="Century Gothic" w:hAnsi="Century Gothic" w:cs="Tahoma"/>
          <w:bCs/>
          <w:lang w:val="es-CO"/>
        </w:rPr>
        <w:t>2023-01-582707</w:t>
      </w:r>
      <w:r w:rsidR="00507C5C">
        <w:rPr>
          <w:rFonts w:ascii="Century Gothic" w:hAnsi="Century Gothic" w:cs="Tahoma"/>
          <w:bCs/>
          <w:lang w:val="es-CO"/>
        </w:rPr>
        <w:t xml:space="preserve">; </w:t>
      </w:r>
      <w:r w:rsidR="00507C5C" w:rsidRPr="00507C5C">
        <w:rPr>
          <w:rFonts w:ascii="Century Gothic" w:hAnsi="Century Gothic" w:cs="Tahoma"/>
          <w:bCs/>
          <w:lang w:val="es-CO"/>
        </w:rPr>
        <w:t>2023-01-815575</w:t>
      </w:r>
      <w:r w:rsidR="00507C5C">
        <w:rPr>
          <w:rFonts w:ascii="Century Gothic" w:hAnsi="Century Gothic" w:cs="Tahoma"/>
          <w:bCs/>
          <w:lang w:val="es-CO"/>
        </w:rPr>
        <w:t xml:space="preserve">; </w:t>
      </w:r>
      <w:r w:rsidR="00507C5C" w:rsidRPr="00507C5C">
        <w:rPr>
          <w:rFonts w:ascii="Century Gothic" w:hAnsi="Century Gothic" w:cs="Tahoma"/>
          <w:bCs/>
          <w:lang w:val="es-CO"/>
        </w:rPr>
        <w:t>2023-03-004072</w:t>
      </w:r>
      <w:r w:rsidR="00507C5C">
        <w:rPr>
          <w:rFonts w:ascii="Century Gothic" w:hAnsi="Century Gothic" w:cs="Tahoma"/>
          <w:bCs/>
          <w:lang w:val="es-CO"/>
        </w:rPr>
        <w:t xml:space="preserve">; </w:t>
      </w:r>
      <w:r w:rsidR="00507C5C" w:rsidRPr="00507C5C">
        <w:rPr>
          <w:rFonts w:ascii="Century Gothic" w:hAnsi="Century Gothic" w:cs="Tahoma"/>
          <w:bCs/>
          <w:lang w:val="es-CO"/>
        </w:rPr>
        <w:t>2023-03-008383</w:t>
      </w:r>
      <w:r w:rsidR="00B81216">
        <w:rPr>
          <w:rFonts w:ascii="Century Gothic" w:hAnsi="Century Gothic" w:cs="Tahoma"/>
          <w:bCs/>
          <w:lang w:val="es-CO"/>
        </w:rPr>
        <w:t xml:space="preserve">; Pueden visualizarse y descargarse en el siguiente enlace: </w:t>
      </w:r>
      <w:hyperlink r:id="rId74" w:history="1">
        <w:r w:rsidR="00B81216" w:rsidRPr="00DD47DA">
          <w:rPr>
            <w:rStyle w:val="Hipervnculo"/>
            <w:rFonts w:ascii="Century Gothic" w:hAnsi="Century Gothic" w:cs="Tahoma"/>
            <w:bCs/>
            <w:lang w:val="es-CO"/>
          </w:rPr>
          <w:t>https://gha2-my.sharepoint.com/:f:/g/personal/notificaciones_gha_com_co/Eu_38s9MmWBLjfYjGUu8BE0BZItd2MCjebcjDXPx9zBlrA?e=fcFSzP</w:t>
        </w:r>
      </w:hyperlink>
      <w:r w:rsidR="00B81216">
        <w:rPr>
          <w:rFonts w:ascii="Century Gothic" w:hAnsi="Century Gothic" w:cs="Tahoma"/>
          <w:bCs/>
          <w:lang w:val="es-CO"/>
        </w:rPr>
        <w:t xml:space="preserve"> </w:t>
      </w:r>
    </w:p>
    <w:p w14:paraId="4EBDFA37" w14:textId="77777777" w:rsidR="00AD4525" w:rsidRDefault="00AD4525" w:rsidP="009A1E1B">
      <w:pPr>
        <w:jc w:val="both"/>
        <w:rPr>
          <w:rFonts w:ascii="Century Gothic" w:hAnsi="Century Gothic" w:cs="Tahoma"/>
          <w:b/>
          <w:bCs/>
          <w:lang w:val="es-CO"/>
        </w:rPr>
      </w:pPr>
    </w:p>
    <w:p w14:paraId="6934F5CE" w14:textId="50B67005"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3.- </w:t>
      </w:r>
      <w:r w:rsidRPr="009A1E1B">
        <w:rPr>
          <w:rFonts w:ascii="Century Gothic" w:hAnsi="Century Gothic" w:cs="Tahoma"/>
          <w:bCs/>
          <w:lang w:val="es-CO"/>
        </w:rPr>
        <w:t>Copia de solicitud de</w:t>
      </w:r>
      <w:r w:rsidR="00507C5C">
        <w:rPr>
          <w:rFonts w:ascii="Century Gothic" w:hAnsi="Century Gothic" w:cs="Tahoma"/>
          <w:bCs/>
          <w:lang w:val="es-CO"/>
        </w:rPr>
        <w:t xml:space="preserve"> incidente de remoción y sustitución del liquidador y enlace contentivo de sus pruebas adjuntas</w:t>
      </w:r>
      <w:r w:rsidR="00895D00">
        <w:rPr>
          <w:rFonts w:ascii="Century Gothic" w:hAnsi="Century Gothic" w:cs="Tahoma"/>
          <w:bCs/>
          <w:lang w:val="es-CO"/>
        </w:rPr>
        <w:t xml:space="preserve"> visible en el mismo documento o</w:t>
      </w:r>
      <w:r w:rsidR="00507C5C">
        <w:rPr>
          <w:rFonts w:ascii="Century Gothic" w:hAnsi="Century Gothic" w:cs="Tahoma"/>
          <w:bCs/>
          <w:lang w:val="es-CO"/>
        </w:rPr>
        <w:t xml:space="preserve">: </w:t>
      </w:r>
      <w:hyperlink r:id="rId75" w:history="1">
        <w:r w:rsidR="004F3B3B" w:rsidRPr="0004428E">
          <w:rPr>
            <w:rStyle w:val="Hipervnculo"/>
            <w:rFonts w:ascii="Century Gothic" w:hAnsi="Century Gothic" w:cs="Tahoma"/>
            <w:bCs/>
            <w:lang w:val="es-CO"/>
          </w:rPr>
          <w:t>https://gha2-my.sharepoint.com/personal/notificaciones_gha_com_co/_layouts/15/onedrive.aspx?id=%2Fpersonal%2Fnotificaciones%5Fgha%5Fcom%5Fco%2FDocuments%2FPRUEBAS%20SOLICITUD%20DE%20REMOCI%C3%93N%20LIQUIDADOR%20MULTIPOLIMEROS&amp;ga=1</w:t>
        </w:r>
      </w:hyperlink>
      <w:r w:rsidR="004F3B3B">
        <w:rPr>
          <w:rFonts w:ascii="Century Gothic" w:hAnsi="Century Gothic" w:cs="Tahoma"/>
          <w:bCs/>
          <w:lang w:val="es-CO"/>
        </w:rPr>
        <w:t xml:space="preserve"> </w:t>
      </w:r>
      <w:r w:rsidR="008E2B67" w:rsidRPr="00AC695A">
        <w:rPr>
          <w:rFonts w:ascii="Century Gothic" w:hAnsi="Century Gothic" w:cs="Tahoma"/>
          <w:b/>
          <w:bCs/>
          <w:highlight w:val="lightGray"/>
          <w:u w:val="single"/>
          <w:lang w:val="es-CO"/>
        </w:rPr>
        <w:t>(Nota: Para visualizar copiar y pegar en la barra del navegador)</w:t>
      </w:r>
    </w:p>
    <w:p w14:paraId="2FC6DA45" w14:textId="77777777" w:rsidR="00AD4525" w:rsidRDefault="00AD4525" w:rsidP="009A1E1B">
      <w:pPr>
        <w:jc w:val="both"/>
        <w:rPr>
          <w:rFonts w:ascii="Century Gothic" w:hAnsi="Century Gothic" w:cs="Tahoma"/>
          <w:b/>
          <w:bCs/>
          <w:lang w:val="es-CO"/>
        </w:rPr>
      </w:pPr>
    </w:p>
    <w:p w14:paraId="7AB05B42" w14:textId="77777777"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4.- </w:t>
      </w:r>
      <w:r w:rsidRPr="009A1E1B">
        <w:rPr>
          <w:rFonts w:ascii="Century Gothic" w:hAnsi="Century Gothic" w:cs="Tahoma"/>
          <w:bCs/>
          <w:lang w:val="es-CO"/>
        </w:rPr>
        <w:t xml:space="preserve">Copia del Auto No. </w:t>
      </w:r>
      <w:r w:rsidR="00A417E6">
        <w:rPr>
          <w:rFonts w:ascii="Century Gothic" w:hAnsi="Century Gothic" w:cs="Tahoma"/>
          <w:bCs/>
          <w:lang w:val="es-CO"/>
        </w:rPr>
        <w:t>2022-03-005350 del 11 de mayo de 2022, “por medio del cual se reconocen los presupuestos de ineficacia parcial de un pago, se ordena al liquidador, no se accede a unas solicitudes y se ordena estarse a lo dispuesto”</w:t>
      </w:r>
      <w:r w:rsidRPr="009A1E1B">
        <w:rPr>
          <w:rFonts w:ascii="Century Gothic" w:hAnsi="Century Gothic" w:cs="Tahoma"/>
          <w:bCs/>
          <w:lang w:val="es-CO"/>
        </w:rPr>
        <w:t>.</w:t>
      </w:r>
    </w:p>
    <w:p w14:paraId="5AA9FD25" w14:textId="77777777" w:rsidR="00AD4525" w:rsidRDefault="00AD4525" w:rsidP="009A1E1B">
      <w:pPr>
        <w:jc w:val="both"/>
        <w:rPr>
          <w:rFonts w:ascii="Century Gothic" w:hAnsi="Century Gothic" w:cs="Tahoma"/>
          <w:b/>
          <w:bCs/>
          <w:lang w:val="es-CO"/>
        </w:rPr>
      </w:pPr>
      <w:bookmarkStart w:id="0" w:name="_GoBack"/>
      <w:bookmarkEnd w:id="0"/>
    </w:p>
    <w:p w14:paraId="46614C2F" w14:textId="77777777"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5.- </w:t>
      </w:r>
      <w:r w:rsidRPr="009A1E1B">
        <w:rPr>
          <w:rFonts w:ascii="Century Gothic" w:hAnsi="Century Gothic" w:cs="Tahoma"/>
          <w:bCs/>
          <w:lang w:val="es-CO"/>
        </w:rPr>
        <w:t xml:space="preserve">Copia </w:t>
      </w:r>
      <w:r w:rsidR="00A417E6">
        <w:rPr>
          <w:rFonts w:ascii="Century Gothic" w:hAnsi="Century Gothic" w:cs="Tahoma"/>
          <w:bCs/>
          <w:lang w:val="es-CO"/>
        </w:rPr>
        <w:t xml:space="preserve">de recurso de reposición contra el Auto </w:t>
      </w:r>
      <w:r w:rsidR="00A417E6" w:rsidRPr="009A1E1B">
        <w:rPr>
          <w:rFonts w:ascii="Century Gothic" w:hAnsi="Century Gothic" w:cs="Tahoma"/>
          <w:bCs/>
          <w:lang w:val="es-CO"/>
        </w:rPr>
        <w:t xml:space="preserve">No. </w:t>
      </w:r>
      <w:r w:rsidR="00A417E6">
        <w:rPr>
          <w:rFonts w:ascii="Century Gothic" w:hAnsi="Century Gothic" w:cs="Tahoma"/>
          <w:bCs/>
          <w:lang w:val="es-CO"/>
        </w:rPr>
        <w:t>2022-03-005350 del 11 de mayo de 2022, “por medio del cual se reconocen los presupuestos de ineficacia parcial de un pago, se ordena al liquidador, no se accede a unas solicitudes y se ordena estarse a lo dispuesto”</w:t>
      </w:r>
      <w:r w:rsidRPr="009A1E1B">
        <w:rPr>
          <w:rFonts w:ascii="Century Gothic" w:hAnsi="Century Gothic" w:cs="Tahoma"/>
          <w:bCs/>
          <w:lang w:val="es-CO"/>
        </w:rPr>
        <w:t>.</w:t>
      </w:r>
    </w:p>
    <w:p w14:paraId="1DB47574" w14:textId="77777777" w:rsidR="00AD4525" w:rsidRDefault="00AD4525" w:rsidP="009A1E1B">
      <w:pPr>
        <w:jc w:val="both"/>
        <w:rPr>
          <w:rFonts w:ascii="Century Gothic" w:hAnsi="Century Gothic" w:cs="Tahoma"/>
          <w:b/>
          <w:bCs/>
          <w:lang w:val="es-CO"/>
        </w:rPr>
      </w:pPr>
    </w:p>
    <w:p w14:paraId="2F0A9678" w14:textId="77777777"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6.- </w:t>
      </w:r>
      <w:r w:rsidRPr="009A1E1B">
        <w:rPr>
          <w:rFonts w:ascii="Century Gothic" w:hAnsi="Century Gothic" w:cs="Tahoma"/>
          <w:bCs/>
          <w:lang w:val="es-CO"/>
        </w:rPr>
        <w:t>Copia de</w:t>
      </w:r>
      <w:r w:rsidR="00A417E6">
        <w:rPr>
          <w:rFonts w:ascii="Century Gothic" w:hAnsi="Century Gothic" w:cs="Tahoma"/>
          <w:bCs/>
          <w:lang w:val="es-CO"/>
        </w:rPr>
        <w:t xml:space="preserve">l Auto No. 2022-03-007120 del 25 de julio de 2022, “por medio del cual se rechaza de plano un recurso de apelación por ser improcedente y se resuelve un recurso </w:t>
      </w:r>
      <w:r w:rsidR="00A417E6">
        <w:rPr>
          <w:rFonts w:ascii="Century Gothic" w:hAnsi="Century Gothic" w:cs="Tahoma"/>
          <w:bCs/>
          <w:lang w:val="es-CO"/>
        </w:rPr>
        <w:lastRenderedPageBreak/>
        <w:t>de reposición”</w:t>
      </w:r>
      <w:r w:rsidRPr="009A1E1B">
        <w:rPr>
          <w:rFonts w:ascii="Century Gothic" w:hAnsi="Century Gothic" w:cs="Tahoma"/>
          <w:bCs/>
          <w:lang w:val="es-CO"/>
        </w:rPr>
        <w:t>.</w:t>
      </w:r>
    </w:p>
    <w:p w14:paraId="443B3D54" w14:textId="77777777" w:rsidR="00AD4525" w:rsidRDefault="00AD4525" w:rsidP="009A1E1B">
      <w:pPr>
        <w:jc w:val="both"/>
        <w:rPr>
          <w:rFonts w:ascii="Century Gothic" w:hAnsi="Century Gothic" w:cs="Tahoma"/>
          <w:b/>
          <w:bCs/>
          <w:lang w:val="es-CO"/>
        </w:rPr>
      </w:pPr>
    </w:p>
    <w:p w14:paraId="2FACA126" w14:textId="77777777" w:rsid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7.- </w:t>
      </w:r>
      <w:r w:rsidRPr="009A1E1B">
        <w:rPr>
          <w:rFonts w:ascii="Century Gothic" w:hAnsi="Century Gothic" w:cs="Tahoma"/>
          <w:bCs/>
          <w:lang w:val="es-CO"/>
        </w:rPr>
        <w:t>Copia del Auto No.</w:t>
      </w:r>
      <w:r w:rsidR="00A417E6">
        <w:rPr>
          <w:rFonts w:ascii="Century Gothic" w:hAnsi="Century Gothic" w:cs="Tahoma"/>
          <w:bCs/>
          <w:lang w:val="es-CO"/>
        </w:rPr>
        <w:t xml:space="preserve"> 2022-03-007724 del 16 de junio de 2022, “por medio del cual se tiene por cumplido un requerimiento por parte del liquidador y se adjudican bienes</w:t>
      </w:r>
      <w:r w:rsidRPr="009A1E1B">
        <w:rPr>
          <w:rFonts w:ascii="Century Gothic" w:hAnsi="Century Gothic" w:cs="Tahoma"/>
          <w:bCs/>
          <w:lang w:val="es-CO"/>
        </w:rPr>
        <w:t>”.</w:t>
      </w:r>
    </w:p>
    <w:p w14:paraId="0CAEFC49" w14:textId="77777777" w:rsidR="00AD4525" w:rsidRDefault="00AD4525" w:rsidP="009A1E1B">
      <w:pPr>
        <w:jc w:val="both"/>
        <w:rPr>
          <w:rFonts w:ascii="Century Gothic" w:hAnsi="Century Gothic" w:cs="Tahoma"/>
          <w:b/>
          <w:bCs/>
          <w:lang w:val="es-CO"/>
        </w:rPr>
      </w:pPr>
    </w:p>
    <w:p w14:paraId="301128F4" w14:textId="77777777" w:rsidR="00A537A5" w:rsidRDefault="00A537A5" w:rsidP="009A1E1B">
      <w:pPr>
        <w:jc w:val="both"/>
        <w:rPr>
          <w:rFonts w:ascii="Century Gothic" w:hAnsi="Century Gothic" w:cs="Tahoma"/>
          <w:bCs/>
          <w:lang w:val="es-CO"/>
        </w:rPr>
      </w:pPr>
      <w:r>
        <w:rPr>
          <w:rFonts w:ascii="Century Gothic" w:hAnsi="Century Gothic" w:cs="Tahoma"/>
          <w:b/>
          <w:bCs/>
          <w:lang w:val="es-CO"/>
        </w:rPr>
        <w:t xml:space="preserve">8.- </w:t>
      </w:r>
      <w:r>
        <w:rPr>
          <w:rFonts w:ascii="Century Gothic" w:hAnsi="Century Gothic" w:cs="Tahoma"/>
          <w:bCs/>
          <w:lang w:val="es-CO"/>
        </w:rPr>
        <w:t>Copia del Auto No. 2023-03-004072 del 25 de mayo de 2023, “Por medio del cual se aprueba la rendición final de cuentas presentada por el liquidador y se termina el proceso de liquidación judicial”.</w:t>
      </w:r>
    </w:p>
    <w:p w14:paraId="1D5CE778" w14:textId="77777777" w:rsidR="00AD4525" w:rsidRDefault="00AD4525" w:rsidP="009A1E1B">
      <w:pPr>
        <w:jc w:val="both"/>
        <w:rPr>
          <w:rFonts w:ascii="Century Gothic" w:hAnsi="Century Gothic" w:cs="Tahoma"/>
          <w:b/>
          <w:bCs/>
          <w:lang w:val="es-CO"/>
        </w:rPr>
      </w:pPr>
    </w:p>
    <w:p w14:paraId="10289D5F" w14:textId="77777777" w:rsidR="00A537A5" w:rsidRPr="00A537A5" w:rsidRDefault="00A537A5" w:rsidP="009A1E1B">
      <w:pPr>
        <w:jc w:val="both"/>
        <w:rPr>
          <w:rFonts w:ascii="Century Gothic" w:hAnsi="Century Gothic" w:cs="Tahoma"/>
          <w:bCs/>
          <w:lang w:val="es-CO"/>
        </w:rPr>
      </w:pPr>
      <w:r>
        <w:rPr>
          <w:rFonts w:ascii="Century Gothic" w:hAnsi="Century Gothic" w:cs="Tahoma"/>
          <w:b/>
          <w:bCs/>
          <w:lang w:val="es-CO"/>
        </w:rPr>
        <w:t xml:space="preserve">9.- </w:t>
      </w:r>
      <w:r>
        <w:rPr>
          <w:rFonts w:ascii="Century Gothic" w:hAnsi="Century Gothic" w:cs="Tahoma"/>
          <w:bCs/>
          <w:lang w:val="es-CO"/>
        </w:rPr>
        <w:t xml:space="preserve">Copia del Auto No. 2023-03-005140 del 7 de julio de 2023, “deja sin efectos el Auto de terminación del proceso, pone en conocimiento del </w:t>
      </w:r>
      <w:proofErr w:type="spellStart"/>
      <w:r>
        <w:rPr>
          <w:rFonts w:ascii="Century Gothic" w:hAnsi="Century Gothic" w:cs="Tahoma"/>
          <w:bCs/>
          <w:lang w:val="es-CO"/>
        </w:rPr>
        <w:t>lilquidador</w:t>
      </w:r>
      <w:proofErr w:type="spellEnd"/>
      <w:r>
        <w:rPr>
          <w:rFonts w:ascii="Century Gothic" w:hAnsi="Century Gothic" w:cs="Tahoma"/>
          <w:bCs/>
          <w:lang w:val="es-CO"/>
        </w:rPr>
        <w:t xml:space="preserve"> una objeción al informe final de cuentas y advierte”.</w:t>
      </w:r>
    </w:p>
    <w:p w14:paraId="0129F086" w14:textId="77777777" w:rsidR="00AD4525" w:rsidRDefault="00AD4525" w:rsidP="00A417E6">
      <w:pPr>
        <w:jc w:val="both"/>
        <w:rPr>
          <w:rFonts w:ascii="Century Gothic" w:hAnsi="Century Gothic" w:cs="Tahoma"/>
          <w:b/>
          <w:bCs/>
          <w:lang w:val="es-CO"/>
        </w:rPr>
      </w:pPr>
    </w:p>
    <w:p w14:paraId="40FD0232" w14:textId="77777777" w:rsidR="00E1705F" w:rsidRDefault="00E1705F" w:rsidP="00A417E6">
      <w:pPr>
        <w:jc w:val="both"/>
        <w:rPr>
          <w:rFonts w:ascii="Century Gothic" w:hAnsi="Century Gothic" w:cs="Tahoma"/>
          <w:bCs/>
          <w:lang w:val="es-CO"/>
        </w:rPr>
      </w:pPr>
      <w:r>
        <w:rPr>
          <w:rFonts w:ascii="Century Gothic" w:hAnsi="Century Gothic" w:cs="Tahoma"/>
          <w:b/>
          <w:bCs/>
          <w:lang w:val="es-CO"/>
        </w:rPr>
        <w:t>10</w:t>
      </w:r>
      <w:r w:rsidR="009A1E1B" w:rsidRPr="009A1E1B">
        <w:rPr>
          <w:rFonts w:ascii="Century Gothic" w:hAnsi="Century Gothic" w:cs="Tahoma"/>
          <w:b/>
          <w:bCs/>
          <w:lang w:val="es-CO"/>
        </w:rPr>
        <w:t xml:space="preserve">.- </w:t>
      </w:r>
      <w:r>
        <w:rPr>
          <w:rFonts w:ascii="Century Gothic" w:hAnsi="Century Gothic" w:cs="Tahoma"/>
          <w:bCs/>
          <w:lang w:val="es-CO"/>
        </w:rPr>
        <w:t>Copia del Auto No. 2023-03-007698 del 22 de septiembre de 2023, “Resuelve objeción contra rendición final de cuentas, termina proceso, deja sin efectos unos oficios y advierte”.</w:t>
      </w:r>
    </w:p>
    <w:p w14:paraId="454A16E0" w14:textId="77777777" w:rsidR="00AD4525" w:rsidRDefault="00AD4525" w:rsidP="00A417E6">
      <w:pPr>
        <w:jc w:val="both"/>
        <w:rPr>
          <w:rFonts w:ascii="Century Gothic" w:hAnsi="Century Gothic" w:cs="Tahoma"/>
          <w:b/>
          <w:bCs/>
          <w:lang w:val="es-CO"/>
        </w:rPr>
      </w:pPr>
    </w:p>
    <w:p w14:paraId="465C6518" w14:textId="77777777" w:rsidR="00E1705F" w:rsidRPr="00E1705F" w:rsidRDefault="00E1705F" w:rsidP="00A417E6">
      <w:pPr>
        <w:jc w:val="both"/>
        <w:rPr>
          <w:rFonts w:ascii="Century Gothic" w:hAnsi="Century Gothic" w:cs="Tahoma"/>
          <w:bCs/>
          <w:lang w:val="es-CO"/>
        </w:rPr>
      </w:pPr>
      <w:r>
        <w:rPr>
          <w:rFonts w:ascii="Century Gothic" w:hAnsi="Century Gothic" w:cs="Tahoma"/>
          <w:b/>
          <w:bCs/>
          <w:lang w:val="es-CO"/>
        </w:rPr>
        <w:t xml:space="preserve">11.- </w:t>
      </w:r>
      <w:r>
        <w:rPr>
          <w:rFonts w:ascii="Century Gothic" w:hAnsi="Century Gothic" w:cs="Tahoma"/>
          <w:bCs/>
          <w:lang w:val="es-CO"/>
        </w:rPr>
        <w:t>Copia del Oficio No. 2023-03-008383 del 9 de octubre de 2023, por medio del cual se comunica a la Cámara de Comercio de Cali el Auto No. 2023-03-007698 del 22 de septiembre de 2023, y se deja constancia de su ejecutoria, la cual se configuró el día 28 de septiembre de 2023.</w:t>
      </w:r>
    </w:p>
    <w:p w14:paraId="619F1BC3" w14:textId="77777777" w:rsidR="00AD4525" w:rsidRDefault="00AD4525" w:rsidP="00A417E6">
      <w:pPr>
        <w:jc w:val="both"/>
        <w:rPr>
          <w:rFonts w:ascii="Century Gothic" w:hAnsi="Century Gothic" w:cs="Tahoma"/>
          <w:b/>
          <w:bCs/>
          <w:lang w:val="es-CO"/>
        </w:rPr>
      </w:pPr>
    </w:p>
    <w:p w14:paraId="2FF90412" w14:textId="77777777" w:rsidR="009A1E1B" w:rsidRDefault="00E1705F" w:rsidP="00A417E6">
      <w:pPr>
        <w:jc w:val="both"/>
        <w:rPr>
          <w:rFonts w:ascii="Century Gothic" w:hAnsi="Century Gothic" w:cs="Tahoma"/>
          <w:bCs/>
          <w:lang w:val="es-CO"/>
        </w:rPr>
      </w:pPr>
      <w:r>
        <w:rPr>
          <w:rFonts w:ascii="Century Gothic" w:hAnsi="Century Gothic" w:cs="Tahoma"/>
          <w:b/>
          <w:bCs/>
          <w:lang w:val="es-CO"/>
        </w:rPr>
        <w:t xml:space="preserve">12.- </w:t>
      </w:r>
      <w:r w:rsidR="00A417E6">
        <w:rPr>
          <w:rFonts w:ascii="Century Gothic" w:hAnsi="Century Gothic" w:cs="Tahoma"/>
          <w:bCs/>
          <w:lang w:val="es-CO"/>
        </w:rPr>
        <w:t>Copia del Auto No. 2022-01-547357 del 21 de junio de 2022, dentro del expediente 59.979, de intervención judicial de DMG Grupo Holding S.A., en el que se resuelve abrir incidente de remoción del liquidador.</w:t>
      </w:r>
    </w:p>
    <w:p w14:paraId="7F1E0685" w14:textId="77777777" w:rsidR="00AD4525" w:rsidRDefault="00AD4525" w:rsidP="00A417E6">
      <w:pPr>
        <w:jc w:val="both"/>
        <w:rPr>
          <w:rFonts w:ascii="Century Gothic" w:hAnsi="Century Gothic" w:cs="Tahoma"/>
          <w:b/>
          <w:bCs/>
          <w:lang w:val="es-CO"/>
        </w:rPr>
      </w:pPr>
    </w:p>
    <w:p w14:paraId="3DED104E" w14:textId="77777777" w:rsidR="00A417E6" w:rsidRDefault="00E1705F" w:rsidP="00A417E6">
      <w:pPr>
        <w:jc w:val="both"/>
        <w:rPr>
          <w:rFonts w:ascii="Century Gothic" w:hAnsi="Century Gothic" w:cs="Tahoma"/>
          <w:bCs/>
          <w:lang w:val="es-CO"/>
        </w:rPr>
      </w:pPr>
      <w:r>
        <w:rPr>
          <w:rFonts w:ascii="Century Gothic" w:hAnsi="Century Gothic" w:cs="Tahoma"/>
          <w:b/>
          <w:bCs/>
          <w:lang w:val="es-CO"/>
        </w:rPr>
        <w:t>13</w:t>
      </w:r>
      <w:r w:rsidR="00A417E6">
        <w:rPr>
          <w:rFonts w:ascii="Century Gothic" w:hAnsi="Century Gothic" w:cs="Tahoma"/>
          <w:b/>
          <w:bCs/>
          <w:lang w:val="es-CO"/>
        </w:rPr>
        <w:t xml:space="preserve">.- </w:t>
      </w:r>
      <w:r w:rsidR="00A417E6">
        <w:rPr>
          <w:rFonts w:ascii="Century Gothic" w:hAnsi="Century Gothic" w:cs="Tahoma"/>
          <w:bCs/>
          <w:lang w:val="es-CO"/>
        </w:rPr>
        <w:t>Copia del Acta No. 2022-01-472994 del 27 de mayo de 2022, dentro del expediente 38.381, de intervención judicial de Integración de la Ingeniería Química</w:t>
      </w:r>
      <w:r w:rsidR="000E3C63">
        <w:rPr>
          <w:rFonts w:ascii="Century Gothic" w:hAnsi="Century Gothic" w:cs="Tahoma"/>
          <w:bCs/>
          <w:lang w:val="es-CO"/>
        </w:rPr>
        <w:t>, Mecánica y Afines S.A., en la que se resuelve sobre el incidente de remoción del liquidador.</w:t>
      </w:r>
    </w:p>
    <w:p w14:paraId="4A976111" w14:textId="77777777" w:rsidR="00AD4525" w:rsidRDefault="00AD4525" w:rsidP="00A417E6">
      <w:pPr>
        <w:jc w:val="both"/>
        <w:rPr>
          <w:rFonts w:ascii="Century Gothic" w:hAnsi="Century Gothic" w:cs="Tahoma"/>
          <w:b/>
          <w:bCs/>
          <w:lang w:val="es-CO"/>
        </w:rPr>
      </w:pPr>
    </w:p>
    <w:p w14:paraId="2C73B61F" w14:textId="77777777" w:rsidR="00CB6FFB" w:rsidRDefault="00E1705F" w:rsidP="00A417E6">
      <w:pPr>
        <w:jc w:val="both"/>
        <w:rPr>
          <w:rFonts w:ascii="Century Gothic" w:hAnsi="Century Gothic" w:cs="Tahoma"/>
          <w:bCs/>
          <w:lang w:val="es-CO"/>
        </w:rPr>
      </w:pPr>
      <w:r>
        <w:rPr>
          <w:rFonts w:ascii="Century Gothic" w:hAnsi="Century Gothic" w:cs="Tahoma"/>
          <w:b/>
          <w:bCs/>
          <w:lang w:val="es-CO"/>
        </w:rPr>
        <w:t>14</w:t>
      </w:r>
      <w:r w:rsidR="00CB6FFB">
        <w:rPr>
          <w:rFonts w:ascii="Century Gothic" w:hAnsi="Century Gothic" w:cs="Tahoma"/>
          <w:b/>
          <w:bCs/>
          <w:lang w:val="es-CO"/>
        </w:rPr>
        <w:t xml:space="preserve">.- </w:t>
      </w:r>
      <w:r w:rsidR="00CB6FFB">
        <w:rPr>
          <w:rFonts w:ascii="Century Gothic" w:hAnsi="Century Gothic" w:cs="Tahoma"/>
          <w:bCs/>
          <w:lang w:val="es-CO"/>
        </w:rPr>
        <w:t>Copia de las cuentas de cobro por servicios de representación judicial emitidos por el abogado ALBERTO MARIO PÁZ BASTIDAS con cargo de mi mandante.</w:t>
      </w:r>
    </w:p>
    <w:p w14:paraId="6E1EA125" w14:textId="77777777" w:rsidR="00607FA3" w:rsidRDefault="00607FA3" w:rsidP="00A417E6">
      <w:pPr>
        <w:jc w:val="both"/>
        <w:rPr>
          <w:rFonts w:ascii="Century Gothic" w:hAnsi="Century Gothic" w:cs="Tahoma"/>
          <w:bCs/>
          <w:lang w:val="es-CO"/>
        </w:rPr>
      </w:pPr>
    </w:p>
    <w:p w14:paraId="3794960C" w14:textId="112FAEA2" w:rsidR="000663F7" w:rsidRPr="000663F7" w:rsidRDefault="00607FA3" w:rsidP="00A417E6">
      <w:pPr>
        <w:jc w:val="both"/>
        <w:rPr>
          <w:rFonts w:ascii="Century Gothic" w:hAnsi="Century Gothic" w:cs="Tahoma"/>
          <w:bCs/>
          <w:lang w:val="es-CO"/>
        </w:rPr>
      </w:pPr>
      <w:r>
        <w:rPr>
          <w:rFonts w:ascii="Century Gothic" w:hAnsi="Century Gothic" w:cs="Tahoma"/>
          <w:b/>
          <w:bCs/>
          <w:lang w:val="es-CO"/>
        </w:rPr>
        <w:t xml:space="preserve">15.- </w:t>
      </w:r>
      <w:r w:rsidR="000663F7">
        <w:rPr>
          <w:rFonts w:ascii="Century Gothic" w:hAnsi="Century Gothic" w:cs="Tahoma"/>
          <w:bCs/>
          <w:lang w:val="es-CO"/>
        </w:rPr>
        <w:t>Copia de historia clínica con énfasis psicológico del señor CARLOS MANUEL HOYOS VALDERRAMA.</w:t>
      </w:r>
    </w:p>
    <w:p w14:paraId="588D1713" w14:textId="77777777" w:rsidR="000663F7" w:rsidRDefault="000663F7" w:rsidP="00A417E6">
      <w:pPr>
        <w:jc w:val="both"/>
        <w:rPr>
          <w:rFonts w:ascii="Century Gothic" w:hAnsi="Century Gothic" w:cs="Tahoma"/>
          <w:b/>
          <w:bCs/>
          <w:lang w:val="es-CO"/>
        </w:rPr>
      </w:pPr>
    </w:p>
    <w:p w14:paraId="2818F923" w14:textId="6D4B37AB" w:rsidR="00607FA3" w:rsidRDefault="000663F7" w:rsidP="00A417E6">
      <w:pPr>
        <w:jc w:val="both"/>
        <w:rPr>
          <w:rFonts w:ascii="Century Gothic" w:hAnsi="Century Gothic" w:cs="Tahoma"/>
          <w:bCs/>
          <w:lang w:val="es-CO"/>
        </w:rPr>
      </w:pPr>
      <w:r>
        <w:rPr>
          <w:rFonts w:ascii="Century Gothic" w:hAnsi="Century Gothic" w:cs="Tahoma"/>
          <w:b/>
          <w:bCs/>
          <w:lang w:val="es-CO"/>
        </w:rPr>
        <w:t xml:space="preserve">16.- </w:t>
      </w:r>
      <w:r w:rsidR="00607FA3">
        <w:rPr>
          <w:rFonts w:ascii="Century Gothic" w:hAnsi="Century Gothic" w:cs="Tahoma"/>
          <w:bCs/>
          <w:lang w:val="es-CO"/>
        </w:rPr>
        <w:t xml:space="preserve">Copia de acta y constancia de audiencia de conciliación extrajudicial con radicado No. E-2023-81626, </w:t>
      </w:r>
      <w:r w:rsidR="00637E0C">
        <w:rPr>
          <w:rFonts w:ascii="Century Gothic" w:hAnsi="Century Gothic" w:cs="Tahoma"/>
          <w:bCs/>
          <w:lang w:val="es-CO"/>
        </w:rPr>
        <w:t>adelantada ante la Procuraduría 19 Judicial II Para Asuntos Administrativos de Cali.</w:t>
      </w:r>
    </w:p>
    <w:p w14:paraId="2E6F01DF" w14:textId="77777777" w:rsidR="001B73EC" w:rsidRPr="00607FA3" w:rsidRDefault="001B73EC" w:rsidP="00A417E6">
      <w:pPr>
        <w:jc w:val="both"/>
        <w:rPr>
          <w:rFonts w:ascii="Century Gothic" w:hAnsi="Century Gothic" w:cs="Tahoma"/>
          <w:bCs/>
          <w:lang w:val="es-CO"/>
        </w:rPr>
      </w:pPr>
    </w:p>
    <w:p w14:paraId="611A6E62" w14:textId="21749FE2" w:rsidR="009A1E1B" w:rsidRPr="00600779" w:rsidRDefault="00600779" w:rsidP="00600779">
      <w:pPr>
        <w:pStyle w:val="Prrafodelista"/>
        <w:numPr>
          <w:ilvl w:val="0"/>
          <w:numId w:val="4"/>
        </w:numPr>
        <w:jc w:val="both"/>
        <w:rPr>
          <w:rFonts w:ascii="Century Gothic" w:hAnsi="Century Gothic" w:cs="Tahoma"/>
          <w:sz w:val="22"/>
          <w:szCs w:val="22"/>
          <w:lang w:val="es-CO"/>
        </w:rPr>
      </w:pPr>
      <w:r w:rsidRPr="00600779">
        <w:rPr>
          <w:rFonts w:ascii="Century Gothic" w:hAnsi="Century Gothic" w:cs="Tahoma"/>
          <w:b/>
          <w:sz w:val="22"/>
          <w:szCs w:val="22"/>
          <w:lang w:val="es-CO"/>
        </w:rPr>
        <w:t>TESTIMONIALES:</w:t>
      </w:r>
    </w:p>
    <w:p w14:paraId="12267087" w14:textId="77777777" w:rsidR="00600779" w:rsidRDefault="00600779" w:rsidP="00600779">
      <w:pPr>
        <w:jc w:val="both"/>
        <w:rPr>
          <w:rFonts w:ascii="Century Gothic" w:hAnsi="Century Gothic" w:cs="Tahoma"/>
          <w:lang w:val="es-CO"/>
        </w:rPr>
      </w:pPr>
    </w:p>
    <w:p w14:paraId="4C698450" w14:textId="6168093A" w:rsidR="00600779" w:rsidRDefault="00600779" w:rsidP="00600779">
      <w:pPr>
        <w:jc w:val="both"/>
        <w:rPr>
          <w:rFonts w:ascii="Century Gothic" w:hAnsi="Century Gothic" w:cs="Tahoma"/>
          <w:lang w:val="es-CO"/>
        </w:rPr>
      </w:pPr>
      <w:r>
        <w:rPr>
          <w:rFonts w:ascii="Century Gothic" w:hAnsi="Century Gothic" w:cs="Tahoma"/>
          <w:b/>
          <w:lang w:val="es-CO"/>
        </w:rPr>
        <w:t xml:space="preserve">1.- </w:t>
      </w:r>
      <w:r w:rsidR="00357DB7">
        <w:rPr>
          <w:rFonts w:ascii="Century Gothic" w:hAnsi="Century Gothic" w:cs="Tahoma"/>
          <w:lang w:val="es-CO"/>
        </w:rPr>
        <w:t xml:space="preserve">Doctor Oscar Díaz, profesional de la salud con énfasis en asuntos psicológicos, quien podrá ser citado a través del correo electrónico </w:t>
      </w:r>
      <w:hyperlink r:id="rId76" w:history="1">
        <w:r w:rsidR="00357DB7" w:rsidRPr="00221C55">
          <w:rPr>
            <w:rStyle w:val="Hipervnculo"/>
            <w:rFonts w:ascii="Century Gothic" w:hAnsi="Century Gothic" w:cs="Tahoma"/>
            <w:lang w:val="es-CO"/>
          </w:rPr>
          <w:t>obdiazb51@gmail.com</w:t>
        </w:r>
      </w:hyperlink>
      <w:r w:rsidR="00357DB7">
        <w:rPr>
          <w:rFonts w:ascii="Century Gothic" w:hAnsi="Century Gothic" w:cs="Tahoma"/>
          <w:lang w:val="es-CO"/>
        </w:rPr>
        <w:t xml:space="preserve"> o a través del suscrito.</w:t>
      </w:r>
    </w:p>
    <w:p w14:paraId="134F39C5" w14:textId="77777777" w:rsidR="00357DB7" w:rsidRDefault="00357DB7" w:rsidP="00600779">
      <w:pPr>
        <w:jc w:val="both"/>
        <w:rPr>
          <w:rFonts w:ascii="Century Gothic" w:hAnsi="Century Gothic" w:cs="Tahoma"/>
          <w:lang w:val="es-CO"/>
        </w:rPr>
      </w:pPr>
    </w:p>
    <w:p w14:paraId="6F36E03E" w14:textId="64A0AEE2" w:rsidR="00357DB7" w:rsidRDefault="00357DB7" w:rsidP="00C177DB">
      <w:pPr>
        <w:ind w:left="708"/>
        <w:jc w:val="both"/>
        <w:rPr>
          <w:rFonts w:ascii="Century Gothic" w:hAnsi="Century Gothic" w:cs="Tahoma"/>
          <w:lang w:val="es-CO"/>
        </w:rPr>
      </w:pPr>
      <w:r>
        <w:rPr>
          <w:rFonts w:ascii="Century Gothic" w:hAnsi="Century Gothic" w:cs="Tahoma"/>
          <w:b/>
          <w:lang w:val="es-CO"/>
        </w:rPr>
        <w:t xml:space="preserve">.- Objeto de la prueba: </w:t>
      </w:r>
      <w:r w:rsidR="007D6A16">
        <w:rPr>
          <w:rFonts w:ascii="Century Gothic" w:hAnsi="Century Gothic" w:cs="Tahoma"/>
          <w:lang w:val="es-CO"/>
        </w:rPr>
        <w:t xml:space="preserve">Declarar sobre la condición psicológica de mi mandante, en cuanto a sus antecedentes, tratamientos, recomendaciones, y afectaciones derivadas del proceso de liquidación judicial de </w:t>
      </w:r>
      <w:proofErr w:type="spellStart"/>
      <w:r w:rsidR="007D6A16">
        <w:rPr>
          <w:rFonts w:ascii="Century Gothic" w:hAnsi="Century Gothic" w:cs="Tahoma"/>
          <w:lang w:val="es-CO"/>
        </w:rPr>
        <w:t>Multipolímeros</w:t>
      </w:r>
      <w:proofErr w:type="spellEnd"/>
      <w:r w:rsidR="007D6A16">
        <w:rPr>
          <w:rFonts w:ascii="Century Gothic" w:hAnsi="Century Gothic" w:cs="Tahoma"/>
          <w:lang w:val="es-CO"/>
        </w:rPr>
        <w:t xml:space="preserve"> S.A.S.</w:t>
      </w:r>
    </w:p>
    <w:p w14:paraId="4D377C19" w14:textId="77777777" w:rsidR="007D6A16" w:rsidRDefault="007D6A16" w:rsidP="00600779">
      <w:pPr>
        <w:jc w:val="both"/>
        <w:rPr>
          <w:rFonts w:ascii="Century Gothic" w:hAnsi="Century Gothic" w:cs="Tahoma"/>
          <w:lang w:val="es-CO"/>
        </w:rPr>
      </w:pPr>
    </w:p>
    <w:p w14:paraId="03621236" w14:textId="0EC25CE4" w:rsidR="007D6A16" w:rsidRDefault="007D6A16" w:rsidP="00600779">
      <w:pPr>
        <w:jc w:val="both"/>
        <w:rPr>
          <w:rFonts w:ascii="Century Gothic" w:hAnsi="Century Gothic" w:cs="Tahoma"/>
          <w:lang w:val="es-CO"/>
        </w:rPr>
      </w:pPr>
      <w:r>
        <w:rPr>
          <w:rFonts w:ascii="Century Gothic" w:hAnsi="Century Gothic" w:cs="Tahoma"/>
          <w:b/>
          <w:lang w:val="es-CO"/>
        </w:rPr>
        <w:t xml:space="preserve">2.- </w:t>
      </w:r>
      <w:r>
        <w:rPr>
          <w:rFonts w:ascii="Century Gothic" w:hAnsi="Century Gothic" w:cs="Tahoma"/>
          <w:lang w:val="es-CO"/>
        </w:rPr>
        <w:t xml:space="preserve">Adolfo Rodríguez </w:t>
      </w:r>
      <w:proofErr w:type="spellStart"/>
      <w:r>
        <w:rPr>
          <w:rFonts w:ascii="Century Gothic" w:hAnsi="Century Gothic" w:cs="Tahoma"/>
          <w:lang w:val="es-CO"/>
        </w:rPr>
        <w:t>Gantiva</w:t>
      </w:r>
      <w:proofErr w:type="spellEnd"/>
      <w:r>
        <w:rPr>
          <w:rFonts w:ascii="Century Gothic" w:hAnsi="Century Gothic" w:cs="Tahoma"/>
          <w:lang w:val="es-CO"/>
        </w:rPr>
        <w:t xml:space="preserve">, identificado con cédula de ciudadanía No. 16.604.700, en su calidad de liquidador de </w:t>
      </w:r>
      <w:proofErr w:type="spellStart"/>
      <w:r>
        <w:rPr>
          <w:rFonts w:ascii="Century Gothic" w:hAnsi="Century Gothic" w:cs="Tahoma"/>
          <w:lang w:val="es-CO"/>
        </w:rPr>
        <w:t>Multipolímeros</w:t>
      </w:r>
      <w:proofErr w:type="spellEnd"/>
      <w:r>
        <w:rPr>
          <w:rFonts w:ascii="Century Gothic" w:hAnsi="Century Gothic" w:cs="Tahoma"/>
          <w:lang w:val="es-CO"/>
        </w:rPr>
        <w:t xml:space="preserve"> S.A.S., </w:t>
      </w:r>
      <w:r w:rsidR="00BA6BD1">
        <w:rPr>
          <w:rFonts w:ascii="Century Gothic" w:hAnsi="Century Gothic" w:cs="Tahoma"/>
          <w:lang w:val="es-CO"/>
        </w:rPr>
        <w:t xml:space="preserve">quien podrá ser citado a través del correo electrónico </w:t>
      </w:r>
      <w:hyperlink r:id="rId77" w:history="1">
        <w:r w:rsidR="00BA6BD1" w:rsidRPr="00221C55">
          <w:rPr>
            <w:rStyle w:val="Hipervnculo"/>
            <w:rFonts w:ascii="Century Gothic" w:hAnsi="Century Gothic" w:cs="Tahoma"/>
            <w:lang w:val="es-CO"/>
          </w:rPr>
          <w:t>arg@legalcorpabogados.com</w:t>
        </w:r>
      </w:hyperlink>
      <w:r w:rsidR="00BA6BD1">
        <w:rPr>
          <w:rFonts w:ascii="Century Gothic" w:hAnsi="Century Gothic" w:cs="Tahoma"/>
          <w:lang w:val="es-CO"/>
        </w:rPr>
        <w:t xml:space="preserve"> y en la Calle 10 No. 4-40 Oficina 1002, Edificio Bolsa de OC, Cali, Valle del Cauca.</w:t>
      </w:r>
    </w:p>
    <w:p w14:paraId="2D396AC9" w14:textId="77777777" w:rsidR="00BA6BD1" w:rsidRDefault="00BA6BD1" w:rsidP="00600779">
      <w:pPr>
        <w:jc w:val="both"/>
        <w:rPr>
          <w:rFonts w:ascii="Century Gothic" w:hAnsi="Century Gothic" w:cs="Tahoma"/>
          <w:lang w:val="es-CO"/>
        </w:rPr>
      </w:pPr>
    </w:p>
    <w:p w14:paraId="51724F53" w14:textId="6BBCBF84" w:rsidR="00BA6BD1" w:rsidRDefault="00BA6BD1" w:rsidP="00C177DB">
      <w:pPr>
        <w:ind w:left="708"/>
        <w:jc w:val="both"/>
        <w:rPr>
          <w:rFonts w:ascii="Century Gothic" w:hAnsi="Century Gothic" w:cs="Tahoma"/>
          <w:lang w:val="es-CO"/>
        </w:rPr>
      </w:pPr>
      <w:r>
        <w:rPr>
          <w:rFonts w:ascii="Century Gothic" w:hAnsi="Century Gothic" w:cs="Tahoma"/>
          <w:b/>
          <w:lang w:val="es-CO"/>
        </w:rPr>
        <w:t xml:space="preserve">.- Objeto de la prueba: </w:t>
      </w:r>
      <w:r>
        <w:rPr>
          <w:rFonts w:ascii="Century Gothic" w:hAnsi="Century Gothic" w:cs="Tahoma"/>
          <w:lang w:val="es-CO"/>
        </w:rPr>
        <w:t xml:space="preserve">Declarar respecto de sus funciones como liquidador de </w:t>
      </w:r>
      <w:proofErr w:type="spellStart"/>
      <w:r>
        <w:rPr>
          <w:rFonts w:ascii="Century Gothic" w:hAnsi="Century Gothic" w:cs="Tahoma"/>
          <w:lang w:val="es-CO"/>
        </w:rPr>
        <w:t>Multipolímeros</w:t>
      </w:r>
      <w:proofErr w:type="spellEnd"/>
      <w:r>
        <w:rPr>
          <w:rFonts w:ascii="Century Gothic" w:hAnsi="Century Gothic" w:cs="Tahoma"/>
          <w:lang w:val="es-CO"/>
        </w:rPr>
        <w:t xml:space="preserve"> S.A.S., </w:t>
      </w:r>
      <w:r w:rsidR="002D362B">
        <w:rPr>
          <w:rFonts w:ascii="Century Gothic" w:hAnsi="Century Gothic" w:cs="Tahoma"/>
          <w:lang w:val="es-CO"/>
        </w:rPr>
        <w:t xml:space="preserve">así como del avalúo de la maquinaria, planta y equipo de la </w:t>
      </w:r>
      <w:r w:rsidR="002D362B">
        <w:rPr>
          <w:rFonts w:ascii="Century Gothic" w:hAnsi="Century Gothic" w:cs="Tahoma"/>
          <w:lang w:val="es-CO"/>
        </w:rPr>
        <w:lastRenderedPageBreak/>
        <w:t>sociedad, y ofrecer detalles respecto de su gestión como auxiliar de la justicia para dicho asunto.</w:t>
      </w:r>
    </w:p>
    <w:p w14:paraId="33DACB79" w14:textId="77777777" w:rsidR="002D362B" w:rsidRDefault="002D362B" w:rsidP="00600779">
      <w:pPr>
        <w:jc w:val="both"/>
        <w:rPr>
          <w:rFonts w:ascii="Century Gothic" w:hAnsi="Century Gothic" w:cs="Tahoma"/>
          <w:lang w:val="es-CO"/>
        </w:rPr>
      </w:pPr>
    </w:p>
    <w:p w14:paraId="430C0DA2" w14:textId="0C13CFE8" w:rsidR="002D362B" w:rsidRDefault="002D362B" w:rsidP="00600779">
      <w:pPr>
        <w:jc w:val="both"/>
        <w:rPr>
          <w:rFonts w:ascii="Century Gothic" w:hAnsi="Century Gothic" w:cs="Tahoma"/>
          <w:lang w:val="es-CO"/>
        </w:rPr>
      </w:pPr>
      <w:r>
        <w:rPr>
          <w:rFonts w:ascii="Century Gothic" w:hAnsi="Century Gothic" w:cs="Tahoma"/>
          <w:b/>
          <w:lang w:val="es-CO"/>
        </w:rPr>
        <w:t xml:space="preserve">3.- </w:t>
      </w:r>
      <w:r>
        <w:rPr>
          <w:rFonts w:ascii="Century Gothic" w:hAnsi="Century Gothic" w:cs="Tahoma"/>
          <w:lang w:val="es-CO"/>
        </w:rPr>
        <w:t>Olga Lucía Briceño López, Contadora Pública, identificada con cédula de ciudadanía No. 66.855.921y T.P. No. 76844-T, quien podrá ser citada a trav</w:t>
      </w:r>
      <w:r w:rsidR="00451704">
        <w:rPr>
          <w:rFonts w:ascii="Century Gothic" w:hAnsi="Century Gothic" w:cs="Tahoma"/>
          <w:lang w:val="es-CO"/>
        </w:rPr>
        <w:t xml:space="preserve">és del correo electrónico </w:t>
      </w:r>
      <w:hyperlink r:id="rId78" w:history="1">
        <w:r w:rsidR="00451704" w:rsidRPr="00221C55">
          <w:rPr>
            <w:rStyle w:val="Hipervnculo"/>
            <w:rFonts w:ascii="Century Gothic" w:hAnsi="Century Gothic" w:cs="Tahoma"/>
            <w:lang w:val="es-CO"/>
          </w:rPr>
          <w:t>olgaluciabl@hotmail.com</w:t>
        </w:r>
      </w:hyperlink>
      <w:r w:rsidR="00451704">
        <w:rPr>
          <w:rFonts w:ascii="Century Gothic" w:hAnsi="Century Gothic" w:cs="Tahoma"/>
          <w:lang w:val="es-CO"/>
        </w:rPr>
        <w:t xml:space="preserve"> y en la calle 8B No. 47-95 de la ciudad de Cali, así como al celular 3165767133 y al teléfono 8842435.</w:t>
      </w:r>
    </w:p>
    <w:p w14:paraId="0E41C449" w14:textId="77777777" w:rsidR="00451704" w:rsidRDefault="00451704" w:rsidP="00600779">
      <w:pPr>
        <w:jc w:val="both"/>
        <w:rPr>
          <w:rFonts w:ascii="Century Gothic" w:hAnsi="Century Gothic" w:cs="Tahoma"/>
          <w:lang w:val="es-CO"/>
        </w:rPr>
      </w:pPr>
    </w:p>
    <w:p w14:paraId="6F1BB146" w14:textId="376FD6C9" w:rsidR="00451704" w:rsidRPr="00451704" w:rsidRDefault="00451704" w:rsidP="00C177DB">
      <w:pPr>
        <w:ind w:left="708"/>
        <w:jc w:val="both"/>
        <w:rPr>
          <w:rFonts w:ascii="Century Gothic" w:hAnsi="Century Gothic" w:cs="Tahoma"/>
          <w:lang w:val="es-CO"/>
        </w:rPr>
      </w:pPr>
      <w:r>
        <w:rPr>
          <w:rFonts w:ascii="Century Gothic" w:hAnsi="Century Gothic" w:cs="Tahoma"/>
          <w:b/>
          <w:lang w:val="es-CO"/>
        </w:rPr>
        <w:t xml:space="preserve">.- Objeto de la prueba: </w:t>
      </w:r>
      <w:r>
        <w:rPr>
          <w:rFonts w:ascii="Century Gothic" w:hAnsi="Century Gothic" w:cs="Tahoma"/>
          <w:lang w:val="es-CO"/>
        </w:rPr>
        <w:t xml:space="preserve">Declarar todo lo que le conste sobre la certificación de estados financieros de </w:t>
      </w:r>
      <w:proofErr w:type="spellStart"/>
      <w:r>
        <w:rPr>
          <w:rFonts w:ascii="Century Gothic" w:hAnsi="Century Gothic" w:cs="Tahoma"/>
          <w:lang w:val="es-CO"/>
        </w:rPr>
        <w:t>Multipolímeros</w:t>
      </w:r>
      <w:proofErr w:type="spellEnd"/>
      <w:r>
        <w:rPr>
          <w:rFonts w:ascii="Century Gothic" w:hAnsi="Century Gothic" w:cs="Tahoma"/>
          <w:lang w:val="es-CO"/>
        </w:rPr>
        <w:t xml:space="preserve"> S.A.S., y lo relacionado a los mismos dentro del proceso de liquidación judicial de </w:t>
      </w:r>
      <w:proofErr w:type="spellStart"/>
      <w:r>
        <w:rPr>
          <w:rFonts w:ascii="Century Gothic" w:hAnsi="Century Gothic" w:cs="Tahoma"/>
          <w:lang w:val="es-CO"/>
        </w:rPr>
        <w:t>Multipolímeros</w:t>
      </w:r>
      <w:proofErr w:type="spellEnd"/>
      <w:r>
        <w:rPr>
          <w:rFonts w:ascii="Century Gothic" w:hAnsi="Century Gothic" w:cs="Tahoma"/>
          <w:lang w:val="es-CO"/>
        </w:rPr>
        <w:t xml:space="preserve"> S.A.S.</w:t>
      </w:r>
    </w:p>
    <w:p w14:paraId="5D6021EE" w14:textId="77777777" w:rsidR="002D362B" w:rsidRDefault="002D362B" w:rsidP="00600779">
      <w:pPr>
        <w:jc w:val="both"/>
        <w:rPr>
          <w:rFonts w:ascii="Century Gothic" w:hAnsi="Century Gothic" w:cs="Tahoma"/>
          <w:lang w:val="es-CO"/>
        </w:rPr>
      </w:pPr>
    </w:p>
    <w:p w14:paraId="4C028678" w14:textId="144C85F7" w:rsidR="002D362B" w:rsidRDefault="002D362B" w:rsidP="00600779">
      <w:pPr>
        <w:jc w:val="both"/>
        <w:rPr>
          <w:rFonts w:ascii="Century Gothic" w:hAnsi="Century Gothic" w:cs="Tahoma"/>
          <w:lang w:val="es-CO"/>
        </w:rPr>
      </w:pPr>
      <w:r>
        <w:rPr>
          <w:rFonts w:ascii="Century Gothic" w:hAnsi="Century Gothic" w:cs="Tahoma"/>
          <w:b/>
          <w:lang w:val="es-CO"/>
        </w:rPr>
        <w:t xml:space="preserve">4.- </w:t>
      </w:r>
      <w:r>
        <w:rPr>
          <w:rFonts w:ascii="Century Gothic" w:hAnsi="Century Gothic" w:cs="Tahoma"/>
          <w:lang w:val="es-CO"/>
        </w:rPr>
        <w:t xml:space="preserve">Adriana Lucía Aguirre Pabón, </w:t>
      </w:r>
      <w:proofErr w:type="spellStart"/>
      <w:r>
        <w:rPr>
          <w:rFonts w:ascii="Century Gothic" w:hAnsi="Century Gothic" w:cs="Tahoma"/>
          <w:lang w:val="es-CO"/>
        </w:rPr>
        <w:t>Avaluadora</w:t>
      </w:r>
      <w:proofErr w:type="spellEnd"/>
      <w:r>
        <w:rPr>
          <w:rFonts w:ascii="Century Gothic" w:hAnsi="Century Gothic" w:cs="Tahoma"/>
          <w:lang w:val="es-CO"/>
        </w:rPr>
        <w:t xml:space="preserve">, identificada con cédula de ciudadanía No. 51.933.039, quien puede ser contactada a través del correo </w:t>
      </w:r>
      <w:hyperlink r:id="rId79" w:history="1">
        <w:r w:rsidRPr="00221C55">
          <w:rPr>
            <w:rStyle w:val="Hipervnculo"/>
            <w:rFonts w:ascii="Century Gothic" w:hAnsi="Century Gothic" w:cs="Tahoma"/>
            <w:lang w:val="es-CO"/>
          </w:rPr>
          <w:t>asaguirres@yahoo.com.mx</w:t>
        </w:r>
      </w:hyperlink>
      <w:r>
        <w:rPr>
          <w:rFonts w:ascii="Century Gothic" w:hAnsi="Century Gothic" w:cs="Tahoma"/>
          <w:lang w:val="es-CO"/>
        </w:rPr>
        <w:t xml:space="preserve"> </w:t>
      </w:r>
      <w:r w:rsidR="00DB4040">
        <w:rPr>
          <w:rFonts w:ascii="Century Gothic" w:hAnsi="Century Gothic" w:cs="Tahoma"/>
          <w:lang w:val="es-CO"/>
        </w:rPr>
        <w:t xml:space="preserve">y en la Carrera 9 No. 9-49, oficina 501A Edificio </w:t>
      </w:r>
      <w:proofErr w:type="spellStart"/>
      <w:r w:rsidR="00DB4040">
        <w:rPr>
          <w:rFonts w:ascii="Century Gothic" w:hAnsi="Century Gothic" w:cs="Tahoma"/>
          <w:lang w:val="es-CO"/>
        </w:rPr>
        <w:t>Aristi</w:t>
      </w:r>
      <w:proofErr w:type="spellEnd"/>
      <w:r w:rsidR="00DB4040">
        <w:rPr>
          <w:rFonts w:ascii="Century Gothic" w:hAnsi="Century Gothic" w:cs="Tahoma"/>
          <w:lang w:val="es-CO"/>
        </w:rPr>
        <w:t>, de Cali.</w:t>
      </w:r>
    </w:p>
    <w:p w14:paraId="396289C8" w14:textId="77777777" w:rsidR="00DB4040" w:rsidRDefault="00DB4040" w:rsidP="00600779">
      <w:pPr>
        <w:jc w:val="both"/>
        <w:rPr>
          <w:rFonts w:ascii="Century Gothic" w:hAnsi="Century Gothic" w:cs="Tahoma"/>
          <w:lang w:val="es-CO"/>
        </w:rPr>
      </w:pPr>
    </w:p>
    <w:p w14:paraId="56BC1312" w14:textId="59E01778" w:rsidR="00DB4040" w:rsidRDefault="00DB4040" w:rsidP="00F32458">
      <w:pPr>
        <w:ind w:left="360"/>
        <w:jc w:val="both"/>
        <w:rPr>
          <w:rFonts w:ascii="Century Gothic" w:hAnsi="Century Gothic" w:cs="Tahoma"/>
          <w:lang w:val="es-CO"/>
        </w:rPr>
      </w:pPr>
      <w:r>
        <w:rPr>
          <w:rFonts w:ascii="Century Gothic" w:hAnsi="Century Gothic" w:cs="Tahoma"/>
          <w:b/>
          <w:lang w:val="es-CO"/>
        </w:rPr>
        <w:t xml:space="preserve">.- Objeto de la prueba: </w:t>
      </w:r>
      <w:r w:rsidR="005F199E">
        <w:rPr>
          <w:rFonts w:ascii="Century Gothic" w:hAnsi="Century Gothic" w:cs="Tahoma"/>
          <w:lang w:val="es-CO"/>
        </w:rPr>
        <w:t xml:space="preserve">Declarar sobre el avalúo de los bienes que conformaron el patrimonio de </w:t>
      </w:r>
      <w:proofErr w:type="spellStart"/>
      <w:r w:rsidR="005F199E">
        <w:rPr>
          <w:rFonts w:ascii="Century Gothic" w:hAnsi="Century Gothic" w:cs="Tahoma"/>
          <w:lang w:val="es-CO"/>
        </w:rPr>
        <w:t>Multipolímeros</w:t>
      </w:r>
      <w:proofErr w:type="spellEnd"/>
      <w:r w:rsidR="005F199E">
        <w:rPr>
          <w:rFonts w:ascii="Century Gothic" w:hAnsi="Century Gothic" w:cs="Tahoma"/>
          <w:lang w:val="es-CO"/>
        </w:rPr>
        <w:t xml:space="preserve"> S.A.S., el método de su avalúo y los periodos durante los cuales al servicio del señor Adolfo Rodríguez </w:t>
      </w:r>
      <w:proofErr w:type="spellStart"/>
      <w:r w:rsidR="005F199E">
        <w:rPr>
          <w:rFonts w:ascii="Century Gothic" w:hAnsi="Century Gothic" w:cs="Tahoma"/>
          <w:lang w:val="es-CO"/>
        </w:rPr>
        <w:t>Gantiva</w:t>
      </w:r>
      <w:proofErr w:type="spellEnd"/>
      <w:r w:rsidR="005F199E">
        <w:rPr>
          <w:rFonts w:ascii="Century Gothic" w:hAnsi="Century Gothic" w:cs="Tahoma"/>
          <w:lang w:val="es-CO"/>
        </w:rPr>
        <w:t xml:space="preserve">, intervino como </w:t>
      </w:r>
      <w:proofErr w:type="spellStart"/>
      <w:r w:rsidR="005F199E">
        <w:rPr>
          <w:rFonts w:ascii="Century Gothic" w:hAnsi="Century Gothic" w:cs="Tahoma"/>
          <w:lang w:val="es-CO"/>
        </w:rPr>
        <w:t>avaluadora</w:t>
      </w:r>
      <w:proofErr w:type="spellEnd"/>
      <w:r w:rsidR="005F199E">
        <w:rPr>
          <w:rFonts w:ascii="Century Gothic" w:hAnsi="Century Gothic" w:cs="Tahoma"/>
          <w:lang w:val="es-CO"/>
        </w:rPr>
        <w:t xml:space="preserve"> frente a la liquidación judicial de la sociedad en cuestión.</w:t>
      </w:r>
    </w:p>
    <w:p w14:paraId="47895ECF" w14:textId="77777777" w:rsidR="00F32458" w:rsidRPr="005F199E" w:rsidRDefault="00F32458" w:rsidP="00C177DB">
      <w:pPr>
        <w:ind w:left="360"/>
        <w:jc w:val="both"/>
        <w:rPr>
          <w:rFonts w:ascii="Century Gothic" w:hAnsi="Century Gothic" w:cs="Tahoma"/>
          <w:lang w:val="es-CO"/>
        </w:rPr>
      </w:pPr>
    </w:p>
    <w:p w14:paraId="626A80CE" w14:textId="77777777" w:rsidR="00600779" w:rsidRPr="009A1E1B" w:rsidRDefault="00600779" w:rsidP="009A1E1B">
      <w:pPr>
        <w:jc w:val="both"/>
        <w:rPr>
          <w:rFonts w:ascii="Century Gothic" w:hAnsi="Century Gothic" w:cs="Tahoma"/>
          <w:lang w:val="es-CO"/>
        </w:rPr>
      </w:pPr>
    </w:p>
    <w:p w14:paraId="4E09880F" w14:textId="77777777" w:rsidR="009A1E1B" w:rsidRPr="009A1E1B" w:rsidRDefault="009A1E1B" w:rsidP="00F527BF">
      <w:pPr>
        <w:pStyle w:val="Prrafodelista"/>
        <w:numPr>
          <w:ilvl w:val="0"/>
          <w:numId w:val="1"/>
        </w:numPr>
        <w:jc w:val="center"/>
        <w:rPr>
          <w:rFonts w:ascii="Century Gothic" w:hAnsi="Century Gothic" w:cs="Tahoma"/>
          <w:b/>
          <w:bCs/>
          <w:sz w:val="22"/>
          <w:szCs w:val="22"/>
          <w:lang w:val="es-CO"/>
        </w:rPr>
      </w:pPr>
      <w:r w:rsidRPr="009A1E1B">
        <w:rPr>
          <w:rFonts w:ascii="Century Gothic" w:hAnsi="Century Gothic" w:cs="Tahoma"/>
          <w:b/>
          <w:bCs/>
          <w:sz w:val="22"/>
          <w:szCs w:val="22"/>
          <w:lang w:val="es-CO"/>
        </w:rPr>
        <w:t>ESTIMACIÓN RAZONADA DE LA CUANTÍA DE LAS ASPIRACIONES QUE SE PRETENDEN CONCILIAR</w:t>
      </w:r>
    </w:p>
    <w:p w14:paraId="72509B05" w14:textId="77777777" w:rsidR="009A1E1B" w:rsidRDefault="009A1E1B" w:rsidP="009A1E1B">
      <w:pPr>
        <w:jc w:val="center"/>
        <w:rPr>
          <w:rFonts w:ascii="Century Gothic" w:hAnsi="Century Gothic" w:cs="Tahoma"/>
          <w:bCs/>
          <w:lang w:val="es-CO"/>
        </w:rPr>
      </w:pPr>
    </w:p>
    <w:p w14:paraId="7CD264B9" w14:textId="77777777" w:rsidR="001B73EC" w:rsidRPr="009A1E1B" w:rsidRDefault="001B73EC" w:rsidP="009A1E1B">
      <w:pPr>
        <w:jc w:val="center"/>
        <w:rPr>
          <w:rFonts w:ascii="Century Gothic" w:hAnsi="Century Gothic" w:cs="Tahoma"/>
          <w:bCs/>
          <w:lang w:val="es-CO"/>
        </w:rPr>
      </w:pPr>
    </w:p>
    <w:p w14:paraId="19580821" w14:textId="77777777" w:rsidR="009A1E1B" w:rsidRDefault="009A1E1B" w:rsidP="009A1E1B">
      <w:pPr>
        <w:jc w:val="both"/>
        <w:rPr>
          <w:rFonts w:ascii="Century Gothic" w:hAnsi="Century Gothic" w:cs="Tahoma"/>
          <w:bCs/>
        </w:rPr>
      </w:pPr>
      <w:r w:rsidRPr="009A1E1B">
        <w:rPr>
          <w:rFonts w:ascii="Century Gothic" w:hAnsi="Century Gothic" w:cs="Tahoma"/>
          <w:bCs/>
        </w:rPr>
        <w:t>La estimo en la suma de</w:t>
      </w:r>
      <w:r w:rsidRPr="009A1E1B">
        <w:rPr>
          <w:rFonts w:ascii="Century Gothic" w:hAnsi="Century Gothic" w:cs="Tahoma"/>
          <w:b/>
          <w:bCs/>
        </w:rPr>
        <w:t xml:space="preserve"> </w:t>
      </w:r>
      <w:r w:rsidR="00887C59" w:rsidRPr="00887C59">
        <w:rPr>
          <w:rFonts w:ascii="Century Gothic" w:hAnsi="Century Gothic" w:cs="Tahoma"/>
          <w:b/>
          <w:bCs/>
          <w:i/>
          <w:iCs/>
          <w:lang w:val="es-CO"/>
        </w:rPr>
        <w:t>DOS MIL DOSCIENTOS TREINTA Y DOS MILLONES OCHOCIENTOS OCHENTA Y NUEVE MIL CIENTO TREINTA Y SEIS PESOS CON SIETE CENTAVOS (</w:t>
      </w:r>
      <w:r w:rsidR="00887C59" w:rsidRPr="00887C59">
        <w:rPr>
          <w:rFonts w:ascii="Century Gothic" w:hAnsi="Century Gothic" w:cs="Tahoma"/>
          <w:b/>
          <w:bCs/>
          <w:i/>
          <w:iCs/>
          <w:u w:val="single"/>
          <w:lang w:val="es-CO"/>
        </w:rPr>
        <w:t>$2.232.889.136,7)</w:t>
      </w:r>
      <w:r w:rsidR="00887C59" w:rsidRPr="00887C59">
        <w:rPr>
          <w:rFonts w:ascii="Century Gothic" w:hAnsi="Century Gothic" w:cs="Tahoma"/>
          <w:b/>
          <w:bCs/>
          <w:i/>
          <w:iCs/>
          <w:lang w:val="es-CO"/>
        </w:rPr>
        <w:t xml:space="preserve"> M/Cte.</w:t>
      </w:r>
      <w:r w:rsidR="00D01516" w:rsidRPr="00D01516">
        <w:rPr>
          <w:rFonts w:ascii="Century Gothic" w:hAnsi="Century Gothic" w:cs="Tahoma"/>
          <w:b/>
          <w:bCs/>
          <w:i/>
          <w:iCs/>
          <w:lang w:val="es-CO"/>
        </w:rPr>
        <w:t>,</w:t>
      </w:r>
      <w:r w:rsidRPr="009A1E1B">
        <w:rPr>
          <w:rFonts w:ascii="Century Gothic" w:hAnsi="Century Gothic" w:cs="Tahoma"/>
          <w:bCs/>
        </w:rPr>
        <w:t xml:space="preserve"> de conformidad con lo dispuesto en el artículo 157 de la Ley 1437 de 2011, modificado por el artículo 32 de la Ley 2080 de 2021.</w:t>
      </w:r>
    </w:p>
    <w:p w14:paraId="73A79ACE" w14:textId="77777777" w:rsidR="001B73EC" w:rsidRPr="009A1E1B" w:rsidRDefault="001B73EC" w:rsidP="009A1E1B">
      <w:pPr>
        <w:jc w:val="both"/>
        <w:rPr>
          <w:rFonts w:ascii="Century Gothic" w:hAnsi="Century Gothic" w:cs="Tahoma"/>
          <w:bCs/>
        </w:rPr>
      </w:pPr>
    </w:p>
    <w:p w14:paraId="613C9076" w14:textId="77777777" w:rsidR="009A1E1B" w:rsidRPr="009A1E1B" w:rsidRDefault="009A1E1B" w:rsidP="009A1E1B">
      <w:pPr>
        <w:jc w:val="both"/>
        <w:rPr>
          <w:rFonts w:ascii="Century Gothic" w:hAnsi="Century Gothic" w:cs="Tahoma"/>
          <w:bCs/>
        </w:rPr>
      </w:pPr>
    </w:p>
    <w:p w14:paraId="6B7EDABA" w14:textId="77777777" w:rsidR="009A1E1B" w:rsidRPr="009A1E1B" w:rsidRDefault="009A1E1B" w:rsidP="00F527BF">
      <w:pPr>
        <w:pStyle w:val="Prrafodelista"/>
        <w:numPr>
          <w:ilvl w:val="0"/>
          <w:numId w:val="1"/>
        </w:numPr>
        <w:jc w:val="center"/>
        <w:rPr>
          <w:rFonts w:ascii="Century Gothic" w:hAnsi="Century Gothic" w:cs="Tahoma"/>
          <w:b/>
          <w:bCs/>
          <w:sz w:val="22"/>
          <w:szCs w:val="22"/>
        </w:rPr>
      </w:pPr>
      <w:r w:rsidRPr="009A1E1B">
        <w:rPr>
          <w:rFonts w:ascii="Century Gothic" w:hAnsi="Century Gothic" w:cs="Tahoma"/>
          <w:b/>
          <w:bCs/>
          <w:sz w:val="22"/>
          <w:szCs w:val="22"/>
        </w:rPr>
        <w:t>JURAMENTO</w:t>
      </w:r>
    </w:p>
    <w:p w14:paraId="7FEAC605" w14:textId="77777777" w:rsidR="001B73EC" w:rsidRPr="009A1E1B" w:rsidRDefault="001B73EC" w:rsidP="009A1E1B">
      <w:pPr>
        <w:pStyle w:val="Prrafodelista"/>
        <w:ind w:left="1080"/>
        <w:rPr>
          <w:rFonts w:ascii="Century Gothic" w:hAnsi="Century Gothic" w:cs="Tahoma"/>
          <w:b/>
          <w:bCs/>
          <w:sz w:val="22"/>
          <w:szCs w:val="22"/>
        </w:rPr>
      </w:pPr>
    </w:p>
    <w:p w14:paraId="7B33348D" w14:textId="77777777" w:rsidR="009A1E1B" w:rsidRPr="009A1E1B" w:rsidRDefault="009A1E1B" w:rsidP="009A1E1B">
      <w:pPr>
        <w:jc w:val="center"/>
        <w:rPr>
          <w:rFonts w:ascii="Century Gothic" w:hAnsi="Century Gothic" w:cs="Tahoma"/>
          <w:bCs/>
        </w:rPr>
      </w:pPr>
    </w:p>
    <w:p w14:paraId="76740E30" w14:textId="26088803" w:rsidR="009A1E1B" w:rsidRPr="009A1E1B" w:rsidRDefault="009A1E1B" w:rsidP="009A1E1B">
      <w:pPr>
        <w:jc w:val="both"/>
        <w:rPr>
          <w:rFonts w:ascii="Century Gothic" w:hAnsi="Century Gothic" w:cs="Tahoma"/>
          <w:b/>
          <w:bCs/>
          <w:i/>
        </w:rPr>
      </w:pPr>
      <w:r w:rsidRPr="009A1E1B">
        <w:rPr>
          <w:rFonts w:ascii="Century Gothic" w:hAnsi="Century Gothic" w:cs="Tahoma"/>
          <w:bCs/>
        </w:rPr>
        <w:t xml:space="preserve">Bajo la gravedad del juramento, manifiesto que ni mi poderdante ni el suscrito hemos presentado, hasta la fecha, parecida </w:t>
      </w:r>
      <w:r w:rsidR="001871E0">
        <w:rPr>
          <w:rFonts w:ascii="Century Gothic" w:hAnsi="Century Gothic" w:cs="Tahoma"/>
          <w:bCs/>
        </w:rPr>
        <w:t>demanda</w:t>
      </w:r>
      <w:r w:rsidRPr="009A1E1B">
        <w:rPr>
          <w:rFonts w:ascii="Century Gothic" w:hAnsi="Century Gothic" w:cs="Tahoma"/>
          <w:bCs/>
        </w:rPr>
        <w:t xml:space="preserve"> ante otra autoridad, con identidad de violación, hechos y derechos reclamados a la de la referencia. </w:t>
      </w:r>
    </w:p>
    <w:p w14:paraId="5D514923" w14:textId="77777777" w:rsidR="009A1E1B" w:rsidRDefault="009A1E1B" w:rsidP="009A1E1B">
      <w:pPr>
        <w:jc w:val="both"/>
        <w:rPr>
          <w:rFonts w:ascii="Century Gothic" w:hAnsi="Century Gothic" w:cs="Tahoma"/>
          <w:bCs/>
        </w:rPr>
      </w:pPr>
    </w:p>
    <w:p w14:paraId="126FADBE" w14:textId="77777777" w:rsidR="001871E0" w:rsidRPr="009A1E1B" w:rsidRDefault="001871E0" w:rsidP="009A1E1B">
      <w:pPr>
        <w:jc w:val="both"/>
        <w:rPr>
          <w:rFonts w:ascii="Century Gothic" w:hAnsi="Century Gothic" w:cs="Tahoma"/>
          <w:bCs/>
        </w:rPr>
      </w:pPr>
    </w:p>
    <w:p w14:paraId="61690652" w14:textId="77777777" w:rsidR="009A1E1B" w:rsidRPr="009A1E1B" w:rsidRDefault="009A1E1B" w:rsidP="00F527BF">
      <w:pPr>
        <w:pStyle w:val="Prrafodelista"/>
        <w:numPr>
          <w:ilvl w:val="0"/>
          <w:numId w:val="1"/>
        </w:numPr>
        <w:jc w:val="center"/>
        <w:rPr>
          <w:rFonts w:ascii="Century Gothic" w:hAnsi="Century Gothic" w:cs="Tahoma"/>
          <w:b/>
          <w:bCs/>
          <w:sz w:val="22"/>
          <w:szCs w:val="22"/>
        </w:rPr>
      </w:pPr>
      <w:r w:rsidRPr="009A1E1B">
        <w:rPr>
          <w:rFonts w:ascii="Century Gothic" w:hAnsi="Century Gothic" w:cs="Tahoma"/>
          <w:b/>
          <w:bCs/>
          <w:sz w:val="22"/>
          <w:szCs w:val="22"/>
        </w:rPr>
        <w:t>NOTIFICACIONES</w:t>
      </w:r>
    </w:p>
    <w:p w14:paraId="15246FC1" w14:textId="77777777" w:rsidR="009A1E1B" w:rsidRPr="009A1E1B" w:rsidRDefault="009A1E1B" w:rsidP="009A1E1B">
      <w:pPr>
        <w:pStyle w:val="Prrafodelista"/>
        <w:ind w:left="1080"/>
        <w:rPr>
          <w:rFonts w:ascii="Century Gothic" w:hAnsi="Century Gothic" w:cs="Tahoma"/>
          <w:b/>
          <w:bCs/>
          <w:sz w:val="22"/>
          <w:szCs w:val="22"/>
        </w:rPr>
      </w:pPr>
    </w:p>
    <w:p w14:paraId="764DC954" w14:textId="77777777" w:rsidR="009A1E1B" w:rsidRPr="009A1E1B" w:rsidRDefault="009A1E1B" w:rsidP="009A1E1B">
      <w:pPr>
        <w:jc w:val="center"/>
        <w:rPr>
          <w:rFonts w:ascii="Century Gothic" w:hAnsi="Century Gothic" w:cs="Tahoma"/>
          <w:bCs/>
        </w:rPr>
      </w:pPr>
    </w:p>
    <w:p w14:paraId="21318D42" w14:textId="77777777" w:rsidR="009A1E1B" w:rsidRPr="009A1E1B" w:rsidRDefault="009A1E1B" w:rsidP="00F527BF">
      <w:pPr>
        <w:pStyle w:val="Prrafodelista"/>
        <w:numPr>
          <w:ilvl w:val="0"/>
          <w:numId w:val="4"/>
        </w:numPr>
        <w:jc w:val="both"/>
        <w:rPr>
          <w:rFonts w:ascii="Century Gothic" w:hAnsi="Century Gothic" w:cs="Tahoma"/>
          <w:bCs/>
          <w:sz w:val="22"/>
          <w:szCs w:val="22"/>
        </w:rPr>
      </w:pPr>
      <w:r w:rsidRPr="009A1E1B">
        <w:rPr>
          <w:rFonts w:ascii="Century Gothic" w:hAnsi="Century Gothic" w:cs="Tahoma"/>
          <w:b/>
          <w:bCs/>
          <w:sz w:val="22"/>
          <w:szCs w:val="22"/>
        </w:rPr>
        <w:t>CONVOCANTE</w:t>
      </w:r>
    </w:p>
    <w:p w14:paraId="0504ECA1" w14:textId="77777777" w:rsidR="009A1E1B" w:rsidRPr="009A1E1B" w:rsidRDefault="009A1E1B" w:rsidP="009A1E1B">
      <w:pPr>
        <w:jc w:val="both"/>
        <w:rPr>
          <w:rFonts w:ascii="Century Gothic" w:hAnsi="Century Gothic" w:cs="Tahoma"/>
          <w:bCs/>
        </w:rPr>
      </w:pPr>
    </w:p>
    <w:p w14:paraId="28F69330" w14:textId="77777777" w:rsidR="009A1E1B" w:rsidRPr="009A1E1B" w:rsidRDefault="009A1E1B" w:rsidP="009A1E1B">
      <w:pPr>
        <w:jc w:val="both"/>
        <w:rPr>
          <w:rFonts w:ascii="Century Gothic" w:hAnsi="Century Gothic" w:cs="Tahoma"/>
          <w:bCs/>
          <w:lang w:val="es-CO"/>
        </w:rPr>
      </w:pPr>
      <w:r w:rsidRPr="009A1E1B">
        <w:rPr>
          <w:rFonts w:ascii="Century Gothic" w:hAnsi="Century Gothic" w:cs="Tahoma"/>
          <w:bCs/>
          <w:lang w:val="es-CO"/>
        </w:rPr>
        <w:t xml:space="preserve">De manera respetuosa solicito que las actuaciones que deban notificarse personalmente a mi representada, se efectúen a través del suscrito en la Av. 6A Bis No. 35N - 100 Oficina 212 del Centro Empresarial Chipichape de la ciudad de Cali, Valle Del Cauca; adicionalmente, tener en cuenta la siguiente dirección de correo electrónica: </w:t>
      </w:r>
      <w:hyperlink r:id="rId80" w:history="1">
        <w:r w:rsidRPr="009A1E1B">
          <w:rPr>
            <w:rStyle w:val="Hipervnculo"/>
            <w:rFonts w:ascii="Century Gothic" w:hAnsi="Century Gothic" w:cs="Tahoma"/>
            <w:bCs/>
            <w:lang w:val="es-CO"/>
          </w:rPr>
          <w:t>notificaciones@gha.com.co</w:t>
        </w:r>
      </w:hyperlink>
      <w:r w:rsidRPr="009A1E1B">
        <w:rPr>
          <w:rFonts w:ascii="Century Gothic" w:hAnsi="Century Gothic" w:cs="Tahoma"/>
          <w:bCs/>
          <w:lang w:val="es-CO"/>
        </w:rPr>
        <w:t xml:space="preserve"> </w:t>
      </w:r>
    </w:p>
    <w:p w14:paraId="167962D8" w14:textId="77777777" w:rsidR="009A1E1B" w:rsidRPr="009A1E1B" w:rsidRDefault="009A1E1B" w:rsidP="009A1E1B">
      <w:pPr>
        <w:jc w:val="both"/>
        <w:rPr>
          <w:rFonts w:ascii="Century Gothic" w:hAnsi="Century Gothic" w:cs="Tahoma"/>
          <w:bCs/>
          <w:lang w:val="es-CO"/>
        </w:rPr>
      </w:pPr>
    </w:p>
    <w:p w14:paraId="49D1BA1B" w14:textId="77777777" w:rsidR="009A1E1B" w:rsidRPr="009A1E1B" w:rsidRDefault="009A1E1B" w:rsidP="00F527BF">
      <w:pPr>
        <w:pStyle w:val="Prrafodelista"/>
        <w:numPr>
          <w:ilvl w:val="0"/>
          <w:numId w:val="4"/>
        </w:numPr>
        <w:jc w:val="both"/>
        <w:rPr>
          <w:rFonts w:ascii="Century Gothic" w:hAnsi="Century Gothic" w:cs="Tahoma"/>
          <w:bCs/>
          <w:sz w:val="22"/>
          <w:szCs w:val="22"/>
        </w:rPr>
      </w:pPr>
      <w:r w:rsidRPr="009A1E1B">
        <w:rPr>
          <w:rFonts w:ascii="Century Gothic" w:hAnsi="Century Gothic" w:cs="Tahoma"/>
          <w:b/>
          <w:bCs/>
          <w:sz w:val="22"/>
          <w:szCs w:val="22"/>
        </w:rPr>
        <w:t>CONVOCADA</w:t>
      </w:r>
    </w:p>
    <w:p w14:paraId="0DDD7C26" w14:textId="77777777" w:rsidR="009A1E1B" w:rsidRPr="009A1E1B" w:rsidRDefault="009A1E1B" w:rsidP="009A1E1B">
      <w:pPr>
        <w:jc w:val="both"/>
        <w:rPr>
          <w:rFonts w:ascii="Century Gothic" w:hAnsi="Century Gothic" w:cs="Tahoma"/>
          <w:bCs/>
        </w:rPr>
      </w:pPr>
    </w:p>
    <w:p w14:paraId="04F06539" w14:textId="77777777" w:rsidR="005420B3" w:rsidRPr="009A1E1B" w:rsidRDefault="005420B3" w:rsidP="005420B3">
      <w:pPr>
        <w:jc w:val="both"/>
        <w:rPr>
          <w:rFonts w:ascii="Century Gothic" w:hAnsi="Century Gothic" w:cs="Tahoma"/>
          <w:lang w:val="es-CO"/>
        </w:rPr>
      </w:pPr>
      <w:r>
        <w:rPr>
          <w:rFonts w:ascii="Century Gothic" w:hAnsi="Century Gothic" w:cs="Tahoma"/>
          <w:lang w:val="es-CO"/>
        </w:rPr>
        <w:t>L</w:t>
      </w:r>
      <w:r w:rsidRPr="009A1E1B">
        <w:rPr>
          <w:rFonts w:ascii="Century Gothic" w:hAnsi="Century Gothic" w:cs="Tahoma"/>
          <w:lang w:val="es-CO"/>
        </w:rPr>
        <w:t xml:space="preserve">a </w:t>
      </w:r>
      <w:r>
        <w:rPr>
          <w:rFonts w:ascii="Century Gothic" w:hAnsi="Century Gothic" w:cs="Tahoma"/>
          <w:b/>
        </w:rPr>
        <w:t>NACIÓN-SUPERINTENDENCIA DE SOCIEDADES</w:t>
      </w:r>
      <w:r w:rsidRPr="009A1E1B">
        <w:rPr>
          <w:rFonts w:ascii="Century Gothic" w:hAnsi="Century Gothic" w:cs="Tahoma"/>
          <w:lang w:val="es-CO"/>
        </w:rPr>
        <w:t xml:space="preserve">, representada legalmente por </w:t>
      </w:r>
      <w:r w:rsidR="00244722">
        <w:rPr>
          <w:rFonts w:ascii="Century Gothic" w:hAnsi="Century Gothic" w:cs="Tahoma"/>
          <w:lang w:val="es-CO"/>
        </w:rPr>
        <w:t>BILLY ESCOBAR PÉREZ</w:t>
      </w:r>
      <w:r>
        <w:rPr>
          <w:rFonts w:ascii="Century Gothic" w:hAnsi="Century Gothic" w:cs="Tahoma"/>
          <w:lang w:val="es-CO"/>
        </w:rPr>
        <w:t>,</w:t>
      </w:r>
      <w:r w:rsidRPr="009A1E1B">
        <w:rPr>
          <w:rFonts w:ascii="Century Gothic" w:hAnsi="Century Gothic" w:cs="Tahoma"/>
          <w:lang w:val="es-CO"/>
        </w:rPr>
        <w:t xml:space="preserve"> </w:t>
      </w:r>
      <w:r>
        <w:rPr>
          <w:rFonts w:ascii="Century Gothic" w:hAnsi="Century Gothic" w:cs="Tahoma"/>
          <w:lang w:val="es-CO"/>
        </w:rPr>
        <w:t xml:space="preserve">identificado con cédula de ciudadanía No. 79.156.527, </w:t>
      </w:r>
      <w:r w:rsidRPr="009A1E1B">
        <w:rPr>
          <w:rFonts w:ascii="Century Gothic" w:hAnsi="Century Gothic" w:cs="Tahoma"/>
          <w:lang w:val="es-CO"/>
        </w:rPr>
        <w:t xml:space="preserve">o quien haga sus veces, </w:t>
      </w:r>
      <w:r>
        <w:rPr>
          <w:rFonts w:ascii="Century Gothic" w:hAnsi="Century Gothic" w:cs="Tahoma"/>
          <w:lang w:val="es-CO"/>
        </w:rPr>
        <w:t>se efectúa en la</w:t>
      </w:r>
      <w:r w:rsidRPr="009A1E1B">
        <w:rPr>
          <w:rFonts w:ascii="Century Gothic" w:hAnsi="Century Gothic" w:cs="Tahoma"/>
          <w:lang w:val="es-CO"/>
        </w:rPr>
        <w:t xml:space="preserve"> dirección </w:t>
      </w:r>
      <w:r w:rsidRPr="00772448">
        <w:rPr>
          <w:rFonts w:ascii="Century Gothic" w:hAnsi="Century Gothic" w:cs="Tahoma"/>
        </w:rPr>
        <w:t>Calle 10 No.4-40 Piso 2 Edificio Bolsa de Occidente</w:t>
      </w:r>
      <w:r>
        <w:rPr>
          <w:rFonts w:ascii="Century Gothic" w:hAnsi="Century Gothic" w:cs="Tahoma"/>
          <w:lang w:val="es-CO"/>
        </w:rPr>
        <w:t xml:space="preserve"> de Cali, Valle del Cauca,</w:t>
      </w:r>
      <w:r w:rsidRPr="009A1E1B">
        <w:rPr>
          <w:rFonts w:ascii="Century Gothic" w:hAnsi="Century Gothic" w:cs="Tahoma"/>
          <w:lang w:val="es-CO"/>
        </w:rPr>
        <w:t xml:space="preserve"> y electrónicas al email: </w:t>
      </w:r>
      <w:hyperlink r:id="rId81" w:history="1">
        <w:r w:rsidRPr="0063272C">
          <w:rPr>
            <w:rStyle w:val="Hipervnculo"/>
            <w:rFonts w:ascii="Century Gothic" w:hAnsi="Century Gothic" w:cs="Tahoma"/>
            <w:lang w:val="es-CO"/>
          </w:rPr>
          <w:t>notificacionesjudiciales@supersociedades.gov.co</w:t>
        </w:r>
      </w:hyperlink>
      <w:r w:rsidRPr="009A1E1B">
        <w:rPr>
          <w:rFonts w:ascii="Century Gothic" w:hAnsi="Century Gothic" w:cs="Tahoma"/>
          <w:lang w:val="es-CO"/>
        </w:rPr>
        <w:t xml:space="preserve"> ; </w:t>
      </w:r>
      <w:hyperlink r:id="rId82" w:history="1">
        <w:r w:rsidRPr="0063272C">
          <w:rPr>
            <w:rStyle w:val="Hipervnculo"/>
            <w:rFonts w:ascii="Century Gothic" w:hAnsi="Century Gothic" w:cs="Tahoma"/>
            <w:lang w:val="es-CO"/>
          </w:rPr>
          <w:t>webmaster@supersociedades.gov.co</w:t>
        </w:r>
      </w:hyperlink>
      <w:r w:rsidRPr="009A1E1B">
        <w:rPr>
          <w:rFonts w:ascii="Century Gothic" w:hAnsi="Century Gothic" w:cs="Tahoma"/>
          <w:lang w:val="es-CO"/>
        </w:rPr>
        <w:t xml:space="preserve"> y </w:t>
      </w:r>
      <w:hyperlink r:id="rId83" w:history="1">
        <w:r w:rsidRPr="0063272C">
          <w:rPr>
            <w:rStyle w:val="Hipervnculo"/>
            <w:rFonts w:ascii="Century Gothic" w:hAnsi="Century Gothic" w:cs="Tahoma"/>
            <w:lang w:val="es-CO"/>
          </w:rPr>
          <w:t>pmercantiles@supersociedades.gov.co</w:t>
        </w:r>
      </w:hyperlink>
      <w:r w:rsidRPr="009A1E1B">
        <w:rPr>
          <w:rFonts w:ascii="Century Gothic" w:hAnsi="Century Gothic" w:cs="Tahoma"/>
          <w:lang w:val="es-CO"/>
        </w:rPr>
        <w:t xml:space="preserve"> </w:t>
      </w:r>
    </w:p>
    <w:p w14:paraId="1567DDA7" w14:textId="77777777" w:rsidR="009A1E1B" w:rsidRDefault="009A1E1B" w:rsidP="009A1E1B">
      <w:pPr>
        <w:jc w:val="both"/>
        <w:rPr>
          <w:rFonts w:ascii="Century Gothic" w:hAnsi="Century Gothic" w:cs="Tahoma"/>
          <w:bCs/>
          <w:lang w:val="es-CO"/>
        </w:rPr>
      </w:pPr>
    </w:p>
    <w:p w14:paraId="4CAF0E02" w14:textId="77777777" w:rsidR="001871E0" w:rsidRPr="009A1E1B" w:rsidRDefault="001871E0" w:rsidP="009A1E1B">
      <w:pPr>
        <w:jc w:val="both"/>
        <w:rPr>
          <w:rFonts w:ascii="Century Gothic" w:hAnsi="Century Gothic" w:cs="Tahoma"/>
          <w:bCs/>
          <w:lang w:val="es-CO"/>
        </w:rPr>
      </w:pPr>
    </w:p>
    <w:p w14:paraId="72B9415C" w14:textId="77777777" w:rsidR="009A1E1B" w:rsidRPr="009A1E1B" w:rsidRDefault="009A1E1B" w:rsidP="00F527BF">
      <w:pPr>
        <w:pStyle w:val="Prrafodelista"/>
        <w:numPr>
          <w:ilvl w:val="0"/>
          <w:numId w:val="1"/>
        </w:numPr>
        <w:jc w:val="center"/>
        <w:rPr>
          <w:rFonts w:ascii="Century Gothic" w:hAnsi="Century Gothic" w:cs="Tahoma"/>
          <w:b/>
          <w:bCs/>
          <w:sz w:val="22"/>
          <w:szCs w:val="22"/>
          <w:lang w:val="es-CO"/>
        </w:rPr>
      </w:pPr>
      <w:r w:rsidRPr="009A1E1B">
        <w:rPr>
          <w:rFonts w:ascii="Century Gothic" w:hAnsi="Century Gothic" w:cs="Tahoma"/>
          <w:b/>
          <w:bCs/>
          <w:sz w:val="22"/>
          <w:szCs w:val="22"/>
          <w:lang w:val="es-CO"/>
        </w:rPr>
        <w:t>ANEXOS</w:t>
      </w:r>
    </w:p>
    <w:p w14:paraId="480D5012" w14:textId="77777777" w:rsidR="009A1E1B" w:rsidRPr="009A1E1B" w:rsidRDefault="009A1E1B" w:rsidP="009A1E1B">
      <w:pPr>
        <w:jc w:val="center"/>
        <w:rPr>
          <w:rFonts w:ascii="Century Gothic" w:hAnsi="Century Gothic" w:cs="Tahoma"/>
          <w:b/>
          <w:bCs/>
          <w:lang w:val="es-CO"/>
        </w:rPr>
      </w:pPr>
    </w:p>
    <w:p w14:paraId="41C5A0E0" w14:textId="77777777" w:rsidR="009A1E1B" w:rsidRPr="009A1E1B" w:rsidRDefault="009A1E1B" w:rsidP="009A1E1B">
      <w:pPr>
        <w:jc w:val="both"/>
        <w:rPr>
          <w:rFonts w:ascii="Century Gothic" w:hAnsi="Century Gothic" w:cs="Tahoma"/>
          <w:b/>
          <w:bCs/>
          <w:u w:val="single"/>
          <w:lang w:val="es-CO"/>
        </w:rPr>
      </w:pPr>
      <w:r w:rsidRPr="009A1E1B">
        <w:rPr>
          <w:rFonts w:ascii="Century Gothic" w:hAnsi="Century Gothic" w:cs="Tahoma"/>
          <w:b/>
          <w:bCs/>
          <w:lang w:val="es-CO"/>
        </w:rPr>
        <w:t xml:space="preserve">1.- </w:t>
      </w:r>
      <w:r w:rsidRPr="009A1E1B">
        <w:rPr>
          <w:rFonts w:ascii="Century Gothic" w:hAnsi="Century Gothic" w:cs="Tahoma"/>
          <w:bCs/>
          <w:lang w:val="es-CO"/>
        </w:rPr>
        <w:t xml:space="preserve">Documentos aportados con la </w:t>
      </w:r>
      <w:r w:rsidR="00454AC9">
        <w:rPr>
          <w:rFonts w:ascii="Century Gothic" w:hAnsi="Century Gothic" w:cs="Tahoma"/>
          <w:bCs/>
          <w:lang w:val="es-CO"/>
        </w:rPr>
        <w:t>demanda</w:t>
      </w:r>
      <w:r w:rsidRPr="009A1E1B">
        <w:rPr>
          <w:rFonts w:ascii="Century Gothic" w:hAnsi="Century Gothic" w:cs="Tahoma"/>
          <w:bCs/>
          <w:lang w:val="es-CO"/>
        </w:rPr>
        <w:t xml:space="preserve"> y relacionados en el acápite de pruebas. </w:t>
      </w:r>
    </w:p>
    <w:p w14:paraId="55B97F26" w14:textId="77777777"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2.- </w:t>
      </w:r>
      <w:r w:rsidRPr="009A1E1B">
        <w:rPr>
          <w:rFonts w:ascii="Century Gothic" w:hAnsi="Century Gothic" w:cs="Tahoma"/>
          <w:bCs/>
          <w:lang w:val="es-CO"/>
        </w:rPr>
        <w:t>Cédula de ciudadanía de Gustavo Alberto Herrera Ávila.</w:t>
      </w:r>
    </w:p>
    <w:p w14:paraId="484FC379" w14:textId="77777777"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3.- </w:t>
      </w:r>
      <w:r w:rsidRPr="009A1E1B">
        <w:rPr>
          <w:rFonts w:ascii="Century Gothic" w:hAnsi="Century Gothic" w:cs="Tahoma"/>
          <w:bCs/>
          <w:lang w:val="es-CO"/>
        </w:rPr>
        <w:t>Tarjeta profesional de abogado Gustavo Alberto Herrera Ávila.</w:t>
      </w:r>
    </w:p>
    <w:p w14:paraId="370ADDA9" w14:textId="736F3413" w:rsidR="009A1E1B" w:rsidRPr="009A1E1B" w:rsidRDefault="009A1E1B" w:rsidP="009A1E1B">
      <w:pPr>
        <w:jc w:val="both"/>
        <w:rPr>
          <w:rFonts w:ascii="Century Gothic" w:hAnsi="Century Gothic" w:cs="Tahoma"/>
          <w:bCs/>
          <w:lang w:val="es-CO"/>
        </w:rPr>
      </w:pPr>
      <w:r w:rsidRPr="009A1E1B">
        <w:rPr>
          <w:rFonts w:ascii="Century Gothic" w:hAnsi="Century Gothic" w:cs="Tahoma"/>
          <w:b/>
          <w:bCs/>
          <w:lang w:val="es-CO"/>
        </w:rPr>
        <w:t xml:space="preserve">4.- </w:t>
      </w:r>
      <w:r w:rsidRPr="009A1E1B">
        <w:rPr>
          <w:rFonts w:ascii="Century Gothic" w:hAnsi="Century Gothic" w:cs="Tahoma"/>
          <w:bCs/>
          <w:lang w:val="es-CO"/>
        </w:rPr>
        <w:t>Poder especial para actuar</w:t>
      </w:r>
      <w:r w:rsidR="003E1BF6">
        <w:rPr>
          <w:rFonts w:ascii="Century Gothic" w:hAnsi="Century Gothic" w:cs="Tahoma"/>
          <w:bCs/>
          <w:lang w:val="es-CO"/>
        </w:rPr>
        <w:t xml:space="preserve"> conferido mediante mensaje de datos y en documento firmado</w:t>
      </w:r>
      <w:r w:rsidRPr="009A1E1B">
        <w:rPr>
          <w:rFonts w:ascii="Century Gothic" w:hAnsi="Century Gothic" w:cs="Tahoma"/>
          <w:bCs/>
          <w:lang w:val="es-CO"/>
        </w:rPr>
        <w:t>.</w:t>
      </w:r>
    </w:p>
    <w:p w14:paraId="36E67B08" w14:textId="77777777" w:rsidR="009A1E1B" w:rsidRPr="009A1E1B" w:rsidRDefault="009A1E1B" w:rsidP="009A1E1B">
      <w:pPr>
        <w:jc w:val="both"/>
        <w:rPr>
          <w:rFonts w:ascii="Century Gothic" w:hAnsi="Century Gothic" w:cs="Tahoma"/>
          <w:b/>
          <w:bCs/>
          <w:lang w:val="es-CO"/>
        </w:rPr>
      </w:pPr>
    </w:p>
    <w:p w14:paraId="430AA531" w14:textId="77777777" w:rsidR="009A1E1B" w:rsidRPr="009A1E1B" w:rsidRDefault="009A1E1B" w:rsidP="009A1E1B">
      <w:pPr>
        <w:jc w:val="both"/>
        <w:rPr>
          <w:rFonts w:ascii="Century Gothic" w:hAnsi="Century Gothic" w:cs="Tahoma"/>
          <w:lang w:val="es-ES_tradnl"/>
        </w:rPr>
      </w:pPr>
      <w:r w:rsidRPr="009A1E1B">
        <w:rPr>
          <w:rFonts w:ascii="Century Gothic" w:hAnsi="Century Gothic" w:cs="Tahoma"/>
          <w:lang w:val="es-ES_tradnl"/>
        </w:rPr>
        <w:t xml:space="preserve">Sin motivo diferente, con el respeto y decoro acostumbrados, </w:t>
      </w:r>
    </w:p>
    <w:p w14:paraId="0A7026FD" w14:textId="77777777" w:rsidR="009A1E1B" w:rsidRPr="009A1E1B" w:rsidRDefault="009A1E1B" w:rsidP="009A1E1B">
      <w:pPr>
        <w:jc w:val="both"/>
        <w:rPr>
          <w:rFonts w:ascii="Century Gothic" w:hAnsi="Century Gothic" w:cs="Tahoma"/>
          <w:lang w:val="es-ES_tradnl"/>
        </w:rPr>
      </w:pPr>
      <w:r w:rsidRPr="009A1E1B">
        <w:rPr>
          <w:rFonts w:ascii="Century Gothic" w:hAnsi="Century Gothic"/>
          <w:noProof/>
          <w:lang w:val="es-CO" w:eastAsia="es-CO"/>
        </w:rPr>
        <w:drawing>
          <wp:anchor distT="0" distB="0" distL="114300" distR="114300" simplePos="0" relativeHeight="251659264" behindDoc="1" locked="0" layoutInCell="1" allowOverlap="1" wp14:anchorId="4FD12DFD" wp14:editId="4D3EBA49">
            <wp:simplePos x="0" y="0"/>
            <wp:positionH relativeFrom="margin">
              <wp:posOffset>125095</wp:posOffset>
            </wp:positionH>
            <wp:positionV relativeFrom="paragraph">
              <wp:posOffset>84455</wp:posOffset>
            </wp:positionV>
            <wp:extent cx="2208530" cy="1409700"/>
            <wp:effectExtent l="0" t="0" r="1270" b="0"/>
            <wp:wrapNone/>
            <wp:docPr id="14" name="Imagen 1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exto, Carta&#10;&#10;Descripción generada automáticament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0853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477C1" w14:textId="77777777" w:rsidR="009A1E1B" w:rsidRPr="009A1E1B" w:rsidRDefault="009A1E1B" w:rsidP="009A1E1B">
      <w:pPr>
        <w:jc w:val="both"/>
        <w:rPr>
          <w:rFonts w:ascii="Century Gothic" w:hAnsi="Century Gothic" w:cs="Tahoma"/>
          <w:lang w:val="es-ES_tradnl"/>
        </w:rPr>
      </w:pPr>
      <w:r w:rsidRPr="009A1E1B">
        <w:rPr>
          <w:rFonts w:ascii="Century Gothic" w:hAnsi="Century Gothic" w:cs="Tahoma"/>
          <w:lang w:val="es-ES_tradnl"/>
        </w:rPr>
        <w:t>Atentamente,</w:t>
      </w:r>
      <w:r w:rsidRPr="009A1E1B">
        <w:rPr>
          <w:rFonts w:ascii="Century Gothic" w:hAnsi="Century Gothic" w:cs="Tahoma"/>
          <w:lang w:val="es-ES_tradnl"/>
        </w:rPr>
        <w:tab/>
      </w:r>
    </w:p>
    <w:p w14:paraId="59C2D14C" w14:textId="77777777" w:rsidR="009A1E1B" w:rsidRPr="009A1E1B" w:rsidRDefault="009A1E1B" w:rsidP="009A1E1B">
      <w:pPr>
        <w:jc w:val="both"/>
        <w:rPr>
          <w:rFonts w:ascii="Century Gothic" w:hAnsi="Century Gothic" w:cs="Tahoma"/>
          <w:lang w:val="es-ES_tradnl"/>
        </w:rPr>
      </w:pPr>
    </w:p>
    <w:p w14:paraId="21E43491" w14:textId="77777777" w:rsidR="009A1E1B" w:rsidRPr="009A1E1B" w:rsidRDefault="009A1E1B" w:rsidP="009A1E1B">
      <w:pPr>
        <w:jc w:val="both"/>
        <w:rPr>
          <w:rFonts w:ascii="Century Gothic" w:hAnsi="Century Gothic" w:cs="Tahoma"/>
          <w:b/>
          <w:bCs/>
          <w:lang w:val="es-ES_tradnl"/>
        </w:rPr>
      </w:pPr>
    </w:p>
    <w:p w14:paraId="4AC15DFD" w14:textId="77777777" w:rsidR="009A1E1B" w:rsidRPr="009A1E1B" w:rsidRDefault="009A1E1B" w:rsidP="009A1E1B">
      <w:pPr>
        <w:jc w:val="both"/>
        <w:rPr>
          <w:rFonts w:ascii="Century Gothic" w:hAnsi="Century Gothic" w:cs="Tahoma"/>
          <w:b/>
          <w:bCs/>
          <w:lang w:val="es-ES_tradnl"/>
        </w:rPr>
      </w:pPr>
    </w:p>
    <w:p w14:paraId="773F9F67" w14:textId="77777777" w:rsidR="009A1E1B" w:rsidRPr="009A1E1B" w:rsidRDefault="009A1E1B" w:rsidP="009A1E1B">
      <w:pPr>
        <w:jc w:val="both"/>
        <w:rPr>
          <w:rFonts w:ascii="Century Gothic" w:hAnsi="Century Gothic" w:cs="Tahoma"/>
          <w:b/>
          <w:bCs/>
          <w:lang w:val="es-ES_tradnl"/>
        </w:rPr>
      </w:pPr>
      <w:r w:rsidRPr="009A1E1B">
        <w:rPr>
          <w:rFonts w:ascii="Century Gothic" w:hAnsi="Century Gothic" w:cs="Tahoma"/>
          <w:b/>
          <w:bCs/>
          <w:lang w:val="es-ES_tradnl"/>
        </w:rPr>
        <w:t>GUSTAVO ALBERTO HERRERA ÁVILA</w:t>
      </w:r>
    </w:p>
    <w:p w14:paraId="5ED33338" w14:textId="77777777" w:rsidR="009A1E1B" w:rsidRPr="009A1E1B" w:rsidRDefault="009A1E1B" w:rsidP="009A1E1B">
      <w:pPr>
        <w:jc w:val="both"/>
        <w:rPr>
          <w:rFonts w:ascii="Century Gothic" w:hAnsi="Century Gothic" w:cs="Tahoma"/>
          <w:lang w:val="es-ES_tradnl"/>
        </w:rPr>
      </w:pPr>
      <w:r w:rsidRPr="009A1E1B">
        <w:rPr>
          <w:rFonts w:ascii="Century Gothic" w:hAnsi="Century Gothic" w:cs="Tahoma"/>
          <w:lang w:val="es-ES_tradnl"/>
        </w:rPr>
        <w:t>C.C. No. 19.395.114 de Bogotá D. C.</w:t>
      </w:r>
    </w:p>
    <w:p w14:paraId="6760CE79" w14:textId="77777777" w:rsidR="009A1E1B" w:rsidRPr="009A1E1B" w:rsidRDefault="009A1E1B" w:rsidP="009A1E1B">
      <w:pPr>
        <w:jc w:val="both"/>
        <w:rPr>
          <w:rFonts w:ascii="Century Gothic" w:hAnsi="Century Gothic" w:cs="Tahoma"/>
          <w:lang w:val="es-ES_tradnl"/>
        </w:rPr>
      </w:pPr>
      <w:r w:rsidRPr="009A1E1B">
        <w:rPr>
          <w:rFonts w:ascii="Century Gothic" w:hAnsi="Century Gothic" w:cs="Tahoma"/>
          <w:lang w:val="es-ES_tradnl"/>
        </w:rPr>
        <w:t>T.P. No. 39.116 del C. S. de la J.</w:t>
      </w:r>
    </w:p>
    <w:p w14:paraId="07DDDDB7" w14:textId="77777777" w:rsidR="009A1E1B" w:rsidRPr="009A1E1B" w:rsidRDefault="009A1E1B" w:rsidP="009A1E1B">
      <w:pPr>
        <w:jc w:val="both"/>
        <w:rPr>
          <w:rFonts w:ascii="Century Gothic" w:hAnsi="Century Gothic" w:cs="Tahoma"/>
          <w:iCs/>
          <w:u w:val="single"/>
        </w:rPr>
      </w:pPr>
      <w:r w:rsidRPr="009A1E1B">
        <w:rPr>
          <w:rFonts w:ascii="Century Gothic" w:hAnsi="Century Gothic" w:cs="Tahoma"/>
          <w:iCs/>
        </w:rPr>
        <w:t xml:space="preserve">Correo: </w:t>
      </w:r>
      <w:hyperlink r:id="rId85" w:history="1">
        <w:r w:rsidRPr="009A1E1B">
          <w:rPr>
            <w:rStyle w:val="Hipervnculo"/>
            <w:rFonts w:ascii="Century Gothic" w:hAnsi="Century Gothic" w:cs="Tahoma"/>
            <w:iCs/>
          </w:rPr>
          <w:t>notificaciones@gha.com.co</w:t>
        </w:r>
      </w:hyperlink>
    </w:p>
    <w:sectPr w:rsidR="009A1E1B" w:rsidRPr="009A1E1B" w:rsidSect="003F09BB">
      <w:headerReference w:type="default" r:id="rId86"/>
      <w:footerReference w:type="default" r:id="rId87"/>
      <w:pgSz w:w="12240" w:h="20160" w:code="5"/>
      <w:pgMar w:top="1985" w:right="1304" w:bottom="2552" w:left="1304" w:header="709" w:footer="624" w:gutter="0"/>
      <w:pgNumType w:chapStyle="1"/>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69275E4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2C1D2D4" w16cex:dateUtc="2024-06-25T19: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69275E4A" w16cid:durableId="72C1D2D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B051C6" w14:textId="77777777" w:rsidR="0067543A" w:rsidRDefault="0067543A" w:rsidP="0025591F">
      <w:r>
        <w:separator/>
      </w:r>
    </w:p>
  </w:endnote>
  <w:endnote w:type="continuationSeparator" w:id="0">
    <w:p w14:paraId="6490A7F2" w14:textId="77777777" w:rsidR="0067543A" w:rsidRDefault="0067543A"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Raleway">
    <w:altName w:val="Trebuchet MS"/>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144FD" w14:textId="77777777" w:rsidR="00E76757" w:rsidRDefault="00E76757"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7CA07B70" wp14:editId="33AC5F9D">
          <wp:simplePos x="0" y="0"/>
          <wp:positionH relativeFrom="column">
            <wp:posOffset>4491990</wp:posOffset>
          </wp:positionH>
          <wp:positionV relativeFrom="margin">
            <wp:posOffset>10036810</wp:posOffset>
          </wp:positionV>
          <wp:extent cx="1466850" cy="905510"/>
          <wp:effectExtent l="0" t="0" r="0" b="889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76DCE179" wp14:editId="12C2DE30">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334697" w14:textId="77777777" w:rsidR="00E76757" w:rsidRPr="004A356B" w:rsidRDefault="00E76757"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0727EC4B" w14:textId="77777777" w:rsidR="00E76757" w:rsidRPr="004A356B" w:rsidRDefault="00E76757"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DCE179"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" filled="f" stroked="f" strokeweight="1pt">
              <v:textbox>
                <w:txbxContent>
                  <w:p w14:paraId="61334697" w14:textId="77777777" w:rsidR="00E76757" w:rsidRPr="004A356B" w:rsidRDefault="00E76757"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0727EC4B" w14:textId="77777777" w:rsidR="00E76757" w:rsidRPr="004A356B" w:rsidRDefault="00E76757"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58D29B65" wp14:editId="22A0683B">
          <wp:simplePos x="0" y="0"/>
          <wp:positionH relativeFrom="page">
            <wp:align>left</wp:align>
          </wp:positionH>
          <wp:positionV relativeFrom="page">
            <wp:align>bottom</wp:align>
          </wp:positionV>
          <wp:extent cx="7767778" cy="1868509"/>
          <wp:effectExtent l="0" t="0" r="508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108218" w14:textId="77777777" w:rsidR="00E76757" w:rsidRDefault="00E76757" w:rsidP="00416F84">
    <w:pPr>
      <w:ind w:left="7080" w:firstLine="708"/>
      <w:rPr>
        <w:color w:val="222A35" w:themeColor="text2" w:themeShade="80"/>
      </w:rPr>
    </w:pPr>
  </w:p>
  <w:p w14:paraId="645B80A6" w14:textId="77777777" w:rsidR="00E76757" w:rsidRDefault="00E76757"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7ECB608B" wp14:editId="5B43AEC7">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F78563" w14:textId="77777777" w:rsidR="00E76757" w:rsidRPr="004A356B" w:rsidRDefault="00E76757"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CB608B"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" filled="f" stroked="f" strokeweight="1pt">
              <v:textbox>
                <w:txbxContent>
                  <w:p w14:paraId="2EF78563" w14:textId="77777777" w:rsidR="00E76757" w:rsidRPr="004A356B" w:rsidRDefault="00E76757"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14:paraId="25634768" w14:textId="77777777" w:rsidR="00E76757" w:rsidRDefault="00E76757" w:rsidP="004A356B">
    <w:pPr>
      <w:rPr>
        <w:color w:val="222A35" w:themeColor="text2" w:themeShade="80"/>
      </w:rPr>
    </w:pPr>
  </w:p>
  <w:p w14:paraId="6CB73838" w14:textId="77777777" w:rsidR="00E76757" w:rsidRPr="00194DAC" w:rsidRDefault="00E76757"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384AC0">
      <w:rPr>
        <w:rFonts w:ascii="Raleway" w:hAnsi="Raleway"/>
        <w:b/>
        <w:bCs/>
        <w:noProof/>
        <w:color w:val="222A35" w:themeColor="text2" w:themeShade="80"/>
        <w:sz w:val="16"/>
        <w:szCs w:val="16"/>
      </w:rPr>
      <w:t>38</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384AC0">
      <w:rPr>
        <w:rFonts w:ascii="Raleway" w:hAnsi="Raleway"/>
        <w:b/>
        <w:bCs/>
        <w:noProof/>
        <w:color w:val="222A35" w:themeColor="text2" w:themeShade="80"/>
        <w:sz w:val="16"/>
        <w:szCs w:val="16"/>
      </w:rPr>
      <w:t>38</w:t>
    </w:r>
    <w:r w:rsidRPr="00194DAC">
      <w:rPr>
        <w:rFonts w:ascii="Raleway" w:hAnsi="Raleway"/>
        <w:b/>
        <w:bCs/>
        <w:color w:val="222A35" w:themeColor="text2" w:themeShade="80"/>
        <w:sz w:val="16"/>
        <w:szCs w:val="16"/>
      </w:rPr>
      <w:fldChar w:fldCharType="end"/>
    </w:r>
  </w:p>
  <w:p w14:paraId="4BF4BB92" w14:textId="77777777" w:rsidR="00E76757" w:rsidRDefault="00E7675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306973" w14:textId="77777777" w:rsidR="0067543A" w:rsidRDefault="0067543A" w:rsidP="0025591F">
      <w:r>
        <w:separator/>
      </w:r>
    </w:p>
  </w:footnote>
  <w:footnote w:type="continuationSeparator" w:id="0">
    <w:p w14:paraId="77F8A908" w14:textId="77777777" w:rsidR="0067543A" w:rsidRDefault="0067543A" w:rsidP="0025591F">
      <w:r>
        <w:continuationSeparator/>
      </w:r>
    </w:p>
  </w:footnote>
  <w:footnote w:id="1">
    <w:p w14:paraId="4E94F2EA" w14:textId="77777777" w:rsidR="00E76757" w:rsidRPr="00C177DB" w:rsidRDefault="00E76757" w:rsidP="0077593A">
      <w:pPr>
        <w:pStyle w:val="Textonotapie"/>
        <w:jc w:val="both"/>
        <w:rPr>
          <w:rFonts w:ascii="Century Gothic" w:hAnsi="Century Gothic" w:cs="Tahoma"/>
          <w:sz w:val="16"/>
          <w:szCs w:val="16"/>
          <w:lang w:val="es-ES"/>
        </w:rPr>
      </w:pPr>
      <w:r w:rsidRPr="00C177DB">
        <w:rPr>
          <w:rStyle w:val="Refdenotaalpie"/>
          <w:rFonts w:ascii="Century Gothic" w:hAnsi="Century Gothic" w:cs="Tahoma"/>
          <w:sz w:val="16"/>
          <w:szCs w:val="16"/>
        </w:rPr>
        <w:footnoteRef/>
      </w:r>
      <w:r w:rsidRPr="00C177DB">
        <w:rPr>
          <w:rFonts w:ascii="Century Gothic" w:hAnsi="Century Gothic" w:cs="Tahoma"/>
          <w:sz w:val="16"/>
          <w:szCs w:val="16"/>
        </w:rPr>
        <w:t xml:space="preserve"> </w:t>
      </w:r>
      <w:r w:rsidRPr="00C177DB">
        <w:rPr>
          <w:rFonts w:ascii="Century Gothic" w:hAnsi="Century Gothic" w:cs="Tahoma"/>
          <w:sz w:val="16"/>
          <w:szCs w:val="16"/>
          <w:lang w:val="es-ES"/>
        </w:rPr>
        <w:t xml:space="preserve">Consejo de Estado. Sala de lo Contencioso Administrativo. Sección Tercera. Sentencia del 4 de Septiembre de 1997, expediente: 10285; 27 de abril de 2006, expediente: 14837; y 13 de agosto de 2008, expediente: 17412.  </w:t>
      </w:r>
    </w:p>
  </w:footnote>
  <w:footnote w:id="2">
    <w:p w14:paraId="4337E70E" w14:textId="77777777" w:rsidR="00E76757" w:rsidRPr="009D461F" w:rsidRDefault="00E76757" w:rsidP="0077593A">
      <w:pPr>
        <w:pStyle w:val="Textonotapie"/>
        <w:jc w:val="both"/>
        <w:rPr>
          <w:rFonts w:ascii="Century Gothic" w:hAnsi="Century Gothic" w:cs="Tahoma"/>
          <w:lang w:val="es-ES"/>
        </w:rPr>
      </w:pPr>
      <w:r w:rsidRPr="00C177DB">
        <w:rPr>
          <w:rStyle w:val="Refdenotaalpie"/>
          <w:rFonts w:ascii="Century Gothic" w:hAnsi="Century Gothic" w:cs="Tahoma"/>
          <w:sz w:val="16"/>
          <w:szCs w:val="16"/>
        </w:rPr>
        <w:footnoteRef/>
      </w:r>
      <w:r w:rsidRPr="00C177DB">
        <w:rPr>
          <w:rFonts w:ascii="Century Gothic" w:hAnsi="Century Gothic" w:cs="Tahoma"/>
          <w:sz w:val="16"/>
          <w:szCs w:val="16"/>
        </w:rPr>
        <w:t xml:space="preserve"> </w:t>
      </w:r>
      <w:r w:rsidRPr="00C177DB">
        <w:rPr>
          <w:rFonts w:ascii="Century Gothic" w:hAnsi="Century Gothic" w:cs="Tahoma"/>
          <w:sz w:val="16"/>
          <w:szCs w:val="16"/>
          <w:lang w:val="es-ES"/>
        </w:rPr>
        <w:t>Ibídem.</w:t>
      </w:r>
    </w:p>
  </w:footnote>
  <w:footnote w:id="3">
    <w:p w14:paraId="0C8C63B0" w14:textId="77777777" w:rsidR="00E76757" w:rsidRPr="00C177DB" w:rsidRDefault="00E76757" w:rsidP="0077593A">
      <w:pPr>
        <w:pStyle w:val="Textonotapie"/>
        <w:jc w:val="both"/>
        <w:rPr>
          <w:rFonts w:ascii="Tahoma" w:hAnsi="Tahoma" w:cs="Tahoma"/>
          <w:sz w:val="16"/>
          <w:szCs w:val="16"/>
          <w:lang w:val="es-ES"/>
        </w:rPr>
      </w:pPr>
      <w:r w:rsidRPr="00C177DB">
        <w:rPr>
          <w:rStyle w:val="Refdenotaalpie"/>
          <w:rFonts w:ascii="Century Gothic" w:hAnsi="Century Gothic" w:cs="Tahoma"/>
          <w:sz w:val="16"/>
          <w:szCs w:val="16"/>
        </w:rPr>
        <w:footnoteRef/>
      </w:r>
      <w:r w:rsidRPr="00C177DB">
        <w:rPr>
          <w:rFonts w:ascii="Century Gothic" w:hAnsi="Century Gothic" w:cs="Tahoma"/>
          <w:sz w:val="16"/>
          <w:szCs w:val="16"/>
        </w:rPr>
        <w:t xml:space="preserve"> </w:t>
      </w:r>
      <w:r w:rsidRPr="00C177DB">
        <w:rPr>
          <w:rFonts w:ascii="Century Gothic" w:hAnsi="Century Gothic" w:cs="Tahoma"/>
          <w:sz w:val="16"/>
          <w:szCs w:val="16"/>
          <w:lang w:val="es-ES"/>
        </w:rPr>
        <w:t>Ibídem, página 115.</w:t>
      </w:r>
    </w:p>
  </w:footnote>
  <w:footnote w:id="4">
    <w:p w14:paraId="00D90D1D" w14:textId="77777777" w:rsidR="00E76757" w:rsidRPr="00546D51" w:rsidRDefault="00E76757" w:rsidP="00546D51">
      <w:pPr>
        <w:pStyle w:val="Textonotapie"/>
        <w:jc w:val="both"/>
        <w:rPr>
          <w:rFonts w:ascii="Century Gothic" w:hAnsi="Century Gothic"/>
          <w:lang w:val="es-ES"/>
        </w:rPr>
      </w:pPr>
      <w:r w:rsidRPr="00C177DB">
        <w:rPr>
          <w:rStyle w:val="Refdenotaalpie"/>
          <w:rFonts w:ascii="Century Gothic" w:hAnsi="Century Gothic"/>
          <w:sz w:val="16"/>
          <w:szCs w:val="16"/>
        </w:rPr>
        <w:footnoteRef/>
      </w:r>
      <w:r w:rsidRPr="00C177DB">
        <w:rPr>
          <w:rFonts w:ascii="Century Gothic" w:hAnsi="Century Gothic"/>
          <w:sz w:val="16"/>
          <w:szCs w:val="16"/>
        </w:rPr>
        <w:t xml:space="preserve"> </w:t>
      </w:r>
      <w:r w:rsidRPr="00C177DB">
        <w:rPr>
          <w:rFonts w:ascii="Century Gothic" w:hAnsi="Century Gothic"/>
          <w:sz w:val="16"/>
          <w:szCs w:val="16"/>
          <w:lang w:val="es-ES"/>
        </w:rPr>
        <w:t xml:space="preserve">Consejo de Estado. Sala de lo Contencioso Administrativo. Sección Tercera. Sentencia del 27 de abril de 2006, expediente: 14837 y 23 de abril de 2008, expediente: 16271.  </w:t>
      </w:r>
    </w:p>
  </w:footnote>
  <w:footnote w:id="5">
    <w:p w14:paraId="21D8D187" w14:textId="77777777" w:rsidR="00E76757" w:rsidRPr="00C177DB" w:rsidRDefault="00E76757" w:rsidP="00546D51">
      <w:pPr>
        <w:pStyle w:val="Textonotapie"/>
        <w:jc w:val="both"/>
        <w:rPr>
          <w:rFonts w:ascii="Century Gothic" w:hAnsi="Century Gothic"/>
          <w:sz w:val="16"/>
          <w:szCs w:val="16"/>
          <w:lang w:val="es-ES"/>
        </w:rPr>
      </w:pPr>
      <w:r w:rsidRPr="00C177DB">
        <w:rPr>
          <w:rStyle w:val="Refdenotaalpie"/>
          <w:rFonts w:ascii="Century Gothic" w:hAnsi="Century Gothic"/>
          <w:sz w:val="16"/>
          <w:szCs w:val="16"/>
        </w:rPr>
        <w:footnoteRef/>
      </w:r>
      <w:r w:rsidRPr="00C177DB">
        <w:rPr>
          <w:rFonts w:ascii="Century Gothic" w:hAnsi="Century Gothic"/>
          <w:sz w:val="16"/>
          <w:szCs w:val="16"/>
        </w:rPr>
        <w:t xml:space="preserve"> </w:t>
      </w:r>
      <w:r w:rsidRPr="00C177DB">
        <w:rPr>
          <w:rFonts w:ascii="Century Gothic" w:hAnsi="Century Gothic"/>
          <w:sz w:val="16"/>
          <w:szCs w:val="16"/>
          <w:lang w:val="es-ES"/>
        </w:rPr>
        <w:t xml:space="preserve">Reyes Monterreal, José María. La Responsabilidad del Estado por Error y Anormal Funcionamiento de la Administración de Justicia. Editorial Colex. Madrid. 1995. Página 24.”  </w:t>
      </w:r>
    </w:p>
  </w:footnote>
  <w:footnote w:id="6">
    <w:p w14:paraId="15EAE02B" w14:textId="77777777" w:rsidR="00E76757" w:rsidRPr="00546D51" w:rsidRDefault="00E76757" w:rsidP="00546D51">
      <w:pPr>
        <w:pStyle w:val="Textonotapie"/>
        <w:jc w:val="both"/>
        <w:rPr>
          <w:rFonts w:ascii="Century Gothic" w:hAnsi="Century Gothic"/>
          <w:lang w:val="es-ES"/>
        </w:rPr>
      </w:pPr>
      <w:r w:rsidRPr="00C177DB">
        <w:rPr>
          <w:rStyle w:val="Refdenotaalpie"/>
          <w:rFonts w:ascii="Century Gothic" w:hAnsi="Century Gothic"/>
          <w:sz w:val="16"/>
          <w:szCs w:val="16"/>
        </w:rPr>
        <w:footnoteRef/>
      </w:r>
      <w:r w:rsidRPr="00C177DB">
        <w:rPr>
          <w:rFonts w:ascii="Century Gothic" w:hAnsi="Century Gothic"/>
          <w:sz w:val="16"/>
          <w:szCs w:val="16"/>
        </w:rPr>
        <w:t xml:space="preserve"> </w:t>
      </w:r>
      <w:r w:rsidRPr="00C177DB">
        <w:rPr>
          <w:rFonts w:ascii="Century Gothic" w:hAnsi="Century Gothic"/>
          <w:sz w:val="16"/>
          <w:szCs w:val="16"/>
          <w:lang w:val="es-ES"/>
        </w:rPr>
        <w:t xml:space="preserve">Consejo de Estado. Sala de lo Contencioso Administrativo. Sección Tercera. Sentencia del 27 de abril de 2006, expediente: 14837.  </w:t>
      </w:r>
    </w:p>
  </w:footnote>
  <w:footnote w:id="7">
    <w:p w14:paraId="6EA69278" w14:textId="77777777" w:rsidR="00E76757" w:rsidRPr="00D30A92" w:rsidRDefault="00E76757" w:rsidP="00D30A92">
      <w:pPr>
        <w:pStyle w:val="Textonotapie"/>
        <w:jc w:val="both"/>
        <w:rPr>
          <w:rFonts w:ascii="Century Gothic" w:hAnsi="Century Gothic"/>
          <w:lang w:val="es-ES"/>
        </w:rPr>
      </w:pPr>
      <w:r w:rsidRPr="00C177DB">
        <w:rPr>
          <w:rStyle w:val="Refdenotaalpie"/>
          <w:rFonts w:ascii="Century Gothic" w:hAnsi="Century Gothic"/>
          <w:sz w:val="16"/>
          <w:szCs w:val="16"/>
        </w:rPr>
        <w:footnoteRef/>
      </w:r>
      <w:r w:rsidRPr="00C177DB">
        <w:rPr>
          <w:rFonts w:ascii="Century Gothic" w:hAnsi="Century Gothic"/>
          <w:sz w:val="16"/>
          <w:szCs w:val="16"/>
        </w:rPr>
        <w:t xml:space="preserve"> </w:t>
      </w:r>
      <w:r w:rsidRPr="00C177DB">
        <w:rPr>
          <w:rFonts w:ascii="Century Gothic" w:hAnsi="Century Gothic"/>
          <w:sz w:val="16"/>
          <w:szCs w:val="16"/>
          <w:lang w:val="es-ES"/>
        </w:rPr>
        <w:t xml:space="preserve">Consejo de Estado. Sección Tercera. Sentencia del 27 de abril de 2006. </w:t>
      </w:r>
      <w:proofErr w:type="spellStart"/>
      <w:r w:rsidRPr="00C177DB">
        <w:rPr>
          <w:rFonts w:ascii="Century Gothic" w:hAnsi="Century Gothic"/>
          <w:sz w:val="16"/>
          <w:szCs w:val="16"/>
          <w:lang w:val="es-ES"/>
        </w:rPr>
        <w:t>Exp</w:t>
      </w:r>
      <w:proofErr w:type="spellEnd"/>
      <w:r w:rsidRPr="00C177DB">
        <w:rPr>
          <w:rFonts w:ascii="Century Gothic" w:hAnsi="Century Gothic"/>
          <w:sz w:val="16"/>
          <w:szCs w:val="16"/>
          <w:lang w:val="es-ES"/>
        </w:rPr>
        <w:t>. 14837. M.P. Alier Eduardo Hernández Enríquez</w:t>
      </w:r>
      <w:r w:rsidRPr="00D30A92">
        <w:rPr>
          <w:rFonts w:ascii="Century Gothic" w:hAnsi="Century Gothic"/>
          <w:lang w:val="es-ES"/>
        </w:rPr>
        <w:t xml:space="preserve">.  </w:t>
      </w:r>
    </w:p>
  </w:footnote>
  <w:footnote w:id="8">
    <w:p w14:paraId="074DFAAC" w14:textId="77777777" w:rsidR="00E76757" w:rsidRPr="00C177DB" w:rsidRDefault="00E76757" w:rsidP="001C5BA9">
      <w:pPr>
        <w:pStyle w:val="Textonotapie"/>
        <w:jc w:val="both"/>
        <w:rPr>
          <w:rFonts w:ascii="Century Gothic" w:hAnsi="Century Gothic"/>
          <w:sz w:val="16"/>
          <w:szCs w:val="16"/>
          <w:lang w:val="es-ES"/>
        </w:rPr>
      </w:pPr>
      <w:r w:rsidRPr="00C177DB">
        <w:rPr>
          <w:rStyle w:val="Refdenotaalpie"/>
          <w:rFonts w:ascii="Century Gothic" w:hAnsi="Century Gothic"/>
          <w:sz w:val="16"/>
          <w:szCs w:val="16"/>
        </w:rPr>
        <w:footnoteRef/>
      </w:r>
      <w:r w:rsidRPr="00C177DB">
        <w:rPr>
          <w:rFonts w:ascii="Century Gothic" w:hAnsi="Century Gothic"/>
          <w:sz w:val="16"/>
          <w:szCs w:val="16"/>
        </w:rPr>
        <w:t xml:space="preserve"> </w:t>
      </w:r>
      <w:r w:rsidRPr="00C177DB">
        <w:rPr>
          <w:rFonts w:ascii="Century Gothic" w:hAnsi="Century Gothic"/>
          <w:sz w:val="16"/>
          <w:szCs w:val="16"/>
          <w:lang w:val="es-ES"/>
        </w:rPr>
        <w:t xml:space="preserve">Consejo de Estado, Sección Tercera, sentencias del 13 de agosto de 2008, </w:t>
      </w:r>
      <w:proofErr w:type="spellStart"/>
      <w:r w:rsidRPr="00C177DB">
        <w:rPr>
          <w:rFonts w:ascii="Century Gothic" w:hAnsi="Century Gothic"/>
          <w:sz w:val="16"/>
          <w:szCs w:val="16"/>
          <w:lang w:val="es-ES"/>
        </w:rPr>
        <w:t>exp</w:t>
      </w:r>
      <w:proofErr w:type="spellEnd"/>
      <w:r w:rsidRPr="00C177DB">
        <w:rPr>
          <w:rFonts w:ascii="Century Gothic" w:hAnsi="Century Gothic"/>
          <w:sz w:val="16"/>
          <w:szCs w:val="16"/>
          <w:lang w:val="es-ES"/>
        </w:rPr>
        <w:t xml:space="preserve">. 17.412 MP. Enrique Gil Botero y del 6 de junio de 2012, </w:t>
      </w:r>
      <w:proofErr w:type="spellStart"/>
      <w:r w:rsidRPr="00C177DB">
        <w:rPr>
          <w:rFonts w:ascii="Century Gothic" w:hAnsi="Century Gothic"/>
          <w:sz w:val="16"/>
          <w:szCs w:val="16"/>
          <w:lang w:val="es-ES"/>
        </w:rPr>
        <w:t>exp</w:t>
      </w:r>
      <w:proofErr w:type="spellEnd"/>
      <w:r w:rsidRPr="00C177DB">
        <w:rPr>
          <w:rFonts w:ascii="Century Gothic" w:hAnsi="Century Gothic"/>
          <w:sz w:val="16"/>
          <w:szCs w:val="16"/>
          <w:lang w:val="es-ES"/>
        </w:rPr>
        <w:t xml:space="preserve">. 24.633, M.P. Hernán Andrade Rincón, entre otras.  </w:t>
      </w:r>
    </w:p>
  </w:footnote>
  <w:footnote w:id="9">
    <w:p w14:paraId="55965819" w14:textId="77777777" w:rsidR="00E76757" w:rsidRPr="00171FC4" w:rsidRDefault="00E76757" w:rsidP="00171FC4">
      <w:pPr>
        <w:pStyle w:val="Textonotapie"/>
        <w:jc w:val="both"/>
        <w:rPr>
          <w:rFonts w:ascii="Century Gothic" w:hAnsi="Century Gothic"/>
          <w:lang w:val="es-ES"/>
        </w:rPr>
      </w:pPr>
      <w:r w:rsidRPr="00171FC4">
        <w:rPr>
          <w:rStyle w:val="Refdenotaalpie"/>
          <w:rFonts w:ascii="Century Gothic" w:hAnsi="Century Gothic"/>
        </w:rPr>
        <w:footnoteRef/>
      </w:r>
      <w:r w:rsidRPr="00171FC4">
        <w:rPr>
          <w:rFonts w:ascii="Century Gothic" w:hAnsi="Century Gothic"/>
        </w:rPr>
        <w:t xml:space="preserve"> </w:t>
      </w:r>
      <w:r w:rsidRPr="00171FC4">
        <w:rPr>
          <w:rFonts w:ascii="Century Gothic" w:hAnsi="Century Gothic"/>
          <w:lang w:val="es-ES"/>
        </w:rPr>
        <w:t xml:space="preserve">Consejo de Estado, Sección Tercera, Subsección A, sentencia del 16 de julio de 2015, </w:t>
      </w:r>
      <w:proofErr w:type="spellStart"/>
      <w:r w:rsidRPr="00171FC4">
        <w:rPr>
          <w:rFonts w:ascii="Century Gothic" w:hAnsi="Century Gothic"/>
          <w:lang w:val="es-ES"/>
        </w:rPr>
        <w:t>exp</w:t>
      </w:r>
      <w:proofErr w:type="spellEnd"/>
      <w:r w:rsidRPr="00171FC4">
        <w:rPr>
          <w:rFonts w:ascii="Century Gothic" w:hAnsi="Century Gothic"/>
          <w:lang w:val="es-ES"/>
        </w:rPr>
        <w:t xml:space="preserve">. 28.389, M.P. Hernán Andrade Rincón. La Subsección, de forma pacífica, ha reiterado el criterio antes expuesto. Al respecto se pueden consultar las siguientes decisiones: i) radicado No 38.824 del 10 de noviembre de 2017; ii) radicado No 50.451 del 10 de noviembre de 2017; iii) radicado No 42.121 del 23 de octubre de 2017; iv) radicado No 44.260 del 14 de septiembre de 2017; v) radicado No 43.447 del 19 de julio de 2017; vi) radicado No 39.321 del 26 de abril de 2017, entre otras.  </w:t>
      </w:r>
    </w:p>
  </w:footnote>
  <w:footnote w:id="10">
    <w:p w14:paraId="03BE9918" w14:textId="77777777" w:rsidR="00E76757" w:rsidRPr="00171FC4" w:rsidRDefault="00E76757" w:rsidP="00171FC4">
      <w:pPr>
        <w:pStyle w:val="Textonotapie"/>
        <w:jc w:val="both"/>
        <w:rPr>
          <w:rFonts w:ascii="Century Gothic" w:hAnsi="Century Gothic"/>
          <w:lang w:val="es-ES"/>
        </w:rPr>
      </w:pPr>
      <w:r w:rsidRPr="00171FC4">
        <w:rPr>
          <w:rStyle w:val="Refdenotaalpie"/>
          <w:rFonts w:ascii="Century Gothic" w:hAnsi="Century Gothic"/>
        </w:rPr>
        <w:footnoteRef/>
      </w:r>
      <w:r w:rsidRPr="00171FC4">
        <w:rPr>
          <w:rFonts w:ascii="Century Gothic" w:hAnsi="Century Gothic"/>
        </w:rPr>
        <w:t xml:space="preserve"> </w:t>
      </w:r>
      <w:r w:rsidRPr="00171FC4">
        <w:rPr>
          <w:rFonts w:ascii="Century Gothic" w:hAnsi="Century Gothic"/>
          <w:lang w:val="es-ES"/>
        </w:rPr>
        <w:t xml:space="preserve">Consejo de Estado, Sección Tercera, sentencias del 13 de agosto de 2008, </w:t>
      </w:r>
      <w:proofErr w:type="spellStart"/>
      <w:r w:rsidRPr="00171FC4">
        <w:rPr>
          <w:rFonts w:ascii="Century Gothic" w:hAnsi="Century Gothic"/>
          <w:lang w:val="es-ES"/>
        </w:rPr>
        <w:t>exp</w:t>
      </w:r>
      <w:proofErr w:type="spellEnd"/>
      <w:r w:rsidRPr="00171FC4">
        <w:rPr>
          <w:rFonts w:ascii="Century Gothic" w:hAnsi="Century Gothic"/>
          <w:lang w:val="es-ES"/>
        </w:rPr>
        <w:t xml:space="preserve">. 16.516 MP. Enrique Gil Botero y sentencia del 6 de junio de 2012 dictada por esta Subsección dentro del expediente No. 24.633, M.P. Hernán Andrade Rincón, reiterada en sentencia del 24 de octubre de 2017, expediente No 32.985B, entre otras.  </w:t>
      </w:r>
    </w:p>
  </w:footnote>
  <w:footnote w:id="11">
    <w:p w14:paraId="4203D14F" w14:textId="77777777" w:rsidR="00E76757" w:rsidRPr="00171FC4" w:rsidRDefault="00E76757" w:rsidP="00171FC4">
      <w:pPr>
        <w:pStyle w:val="Textonotapie"/>
        <w:jc w:val="both"/>
        <w:rPr>
          <w:rFonts w:ascii="Century Gothic" w:hAnsi="Century Gothic"/>
          <w:lang w:val="es-ES"/>
        </w:rPr>
      </w:pPr>
      <w:r w:rsidRPr="00171FC4">
        <w:rPr>
          <w:rStyle w:val="Refdenotaalpie"/>
          <w:rFonts w:ascii="Century Gothic" w:hAnsi="Century Gothic"/>
        </w:rPr>
        <w:footnoteRef/>
      </w:r>
      <w:r w:rsidRPr="00171FC4">
        <w:rPr>
          <w:rFonts w:ascii="Century Gothic" w:hAnsi="Century Gothic"/>
        </w:rPr>
        <w:t xml:space="preserve"> </w:t>
      </w:r>
      <w:r w:rsidRPr="00171FC4">
        <w:rPr>
          <w:rFonts w:ascii="Century Gothic" w:hAnsi="Century Gothic"/>
          <w:lang w:val="es-ES"/>
        </w:rPr>
        <w:t xml:space="preserve">Consejo de Estado. Sala de lo Contencioso Administrativo. Sección Tercera. Sentencia del 27 de abril de 2006, expediente: 14837 y 23 de abril de 2008, expediente: 16271. Reiterada por la Subsección A, en sentencia del 1 de marzo de 2018, expediente 52.097, y por la Subsección C, en sentencia del 7 de mayo de 2018, expediente 40.610. M.P. Jaime Orlando Santofimio Gamboa.  </w:t>
      </w:r>
    </w:p>
  </w:footnote>
  <w:footnote w:id="12">
    <w:p w14:paraId="2781A841" w14:textId="77777777" w:rsidR="00E76757" w:rsidRPr="00171FC4" w:rsidRDefault="00E76757" w:rsidP="00171FC4">
      <w:pPr>
        <w:pStyle w:val="Textonotapie"/>
        <w:jc w:val="both"/>
        <w:rPr>
          <w:rFonts w:ascii="Century Gothic" w:hAnsi="Century Gothic"/>
          <w:lang w:val="es-ES"/>
        </w:rPr>
      </w:pPr>
      <w:r w:rsidRPr="00C177DB">
        <w:rPr>
          <w:rStyle w:val="Refdenotaalpie"/>
          <w:rFonts w:ascii="Century Gothic" w:hAnsi="Century Gothic"/>
          <w:sz w:val="16"/>
          <w:szCs w:val="16"/>
        </w:rPr>
        <w:footnoteRef/>
      </w:r>
      <w:r w:rsidRPr="00C177DB">
        <w:rPr>
          <w:rFonts w:ascii="Century Gothic" w:hAnsi="Century Gothic"/>
          <w:sz w:val="16"/>
          <w:szCs w:val="16"/>
        </w:rPr>
        <w:t xml:space="preserve"> </w:t>
      </w:r>
      <w:r w:rsidRPr="00C177DB">
        <w:rPr>
          <w:rFonts w:ascii="Century Gothic" w:hAnsi="Century Gothic"/>
          <w:sz w:val="16"/>
          <w:szCs w:val="16"/>
          <w:lang w:val="es-ES"/>
        </w:rPr>
        <w:t xml:space="preserve">Consejo de Estado, Sala de lo Contencioso Administrativo, Sección Tercera, Subsección A, sentencia del 27 de enero de 2012, expediente (20.614), Consejero ponente Mauricio Fajardo Gómez. Criterio reiterado por esta subsección, entre otras decisiones, en sentencia del 14 de septiembre de 2017, expediente (44260). Sentencia del 28 de septiembre de 2017, expediente (53447). Sentencia del 19 de abril de 2018, expediente (56171).  </w:t>
      </w:r>
    </w:p>
  </w:footnote>
  <w:footnote w:id="13">
    <w:p w14:paraId="337F80F4" w14:textId="71385730" w:rsidR="00E76757" w:rsidRPr="00E008C7" w:rsidRDefault="00E76757" w:rsidP="00BA6AC5">
      <w:pPr>
        <w:pStyle w:val="Textonotapie"/>
        <w:jc w:val="both"/>
        <w:rPr>
          <w:rFonts w:ascii="Century Gothic" w:hAnsi="Century Gothic" w:cs="Tahoma"/>
          <w:lang w:val="es-MX"/>
        </w:rPr>
      </w:pPr>
      <w:r w:rsidRPr="00C177DB">
        <w:rPr>
          <w:rStyle w:val="Refdenotaalpie"/>
          <w:rFonts w:ascii="Century Gothic" w:hAnsi="Century Gothic" w:cs="Tahoma"/>
          <w:sz w:val="16"/>
          <w:szCs w:val="16"/>
        </w:rPr>
        <w:footnoteRef/>
      </w:r>
      <w:r w:rsidRPr="00C177DB">
        <w:rPr>
          <w:rFonts w:ascii="Century Gothic" w:hAnsi="Century Gothic" w:cs="Tahoma"/>
          <w:sz w:val="16"/>
          <w:szCs w:val="16"/>
        </w:rPr>
        <w:t xml:space="preserve"> </w:t>
      </w:r>
      <w:hyperlink r:id="rId1" w:history="1">
        <w:r w:rsidRPr="00C177DB">
          <w:rPr>
            <w:rStyle w:val="Hipervnculo"/>
            <w:rFonts w:ascii="Century Gothic" w:hAnsi="Century Gothic" w:cs="Tahoma"/>
            <w:sz w:val="16"/>
            <w:szCs w:val="16"/>
          </w:rPr>
          <w:t>https://xperta.legis.co/visor/jurcol/jurcol_ed126b9ae1574e99a90b97cd40074598</w:t>
        </w:r>
      </w:hyperlink>
      <w:r w:rsidRPr="00C177DB">
        <w:rPr>
          <w:rFonts w:ascii="Century Gothic" w:hAnsi="Century Gothic" w:cs="Tahoma"/>
          <w:sz w:val="16"/>
          <w:szCs w:val="16"/>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D0AA08" w14:textId="77777777" w:rsidR="00E76757" w:rsidRDefault="00E76757">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2E530B7B" wp14:editId="42EC41AE">
          <wp:simplePos x="0" y="0"/>
          <wp:positionH relativeFrom="column">
            <wp:posOffset>-159517</wp:posOffset>
          </wp:positionH>
          <wp:positionV relativeFrom="page">
            <wp:posOffset>456565</wp:posOffset>
          </wp:positionV>
          <wp:extent cx="2635250" cy="796925"/>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C4747"/>
    <w:multiLevelType w:val="hybridMultilevel"/>
    <w:tmpl w:val="733EAE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82778A8"/>
    <w:multiLevelType w:val="hybridMultilevel"/>
    <w:tmpl w:val="805CBE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1D916938"/>
    <w:multiLevelType w:val="hybridMultilevel"/>
    <w:tmpl w:val="A02A1C04"/>
    <w:lvl w:ilvl="0" w:tplc="96BAE43E">
      <w:start w:val="1"/>
      <w:numFmt w:val="lowerRoman"/>
      <w:lvlText w:val="%1)"/>
      <w:lvlJc w:val="left"/>
      <w:pPr>
        <w:ind w:left="1080" w:hanging="72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1EA1481B"/>
    <w:multiLevelType w:val="hybridMultilevel"/>
    <w:tmpl w:val="6784A1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1FBA49C7"/>
    <w:multiLevelType w:val="hybridMultilevel"/>
    <w:tmpl w:val="647686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20127B98"/>
    <w:multiLevelType w:val="hybridMultilevel"/>
    <w:tmpl w:val="B204DA0E"/>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21893BB4"/>
    <w:multiLevelType w:val="hybridMultilevel"/>
    <w:tmpl w:val="2F38D9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3AAD4742"/>
    <w:multiLevelType w:val="hybridMultilevel"/>
    <w:tmpl w:val="7E46D636"/>
    <w:lvl w:ilvl="0" w:tplc="515E0142">
      <w:start w:val="1"/>
      <w:numFmt w:val="upperRoman"/>
      <w:lvlText w:val="%1."/>
      <w:lvlJc w:val="left"/>
      <w:pPr>
        <w:ind w:left="1080" w:hanging="720"/>
      </w:pPr>
      <w:rPr>
        <w:rFonts w:hint="default"/>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4DD818C6"/>
    <w:multiLevelType w:val="hybridMultilevel"/>
    <w:tmpl w:val="55B6BC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7F7205C6"/>
    <w:multiLevelType w:val="hybridMultilevel"/>
    <w:tmpl w:val="9404D5EA"/>
    <w:lvl w:ilvl="0" w:tplc="08C4B3B6">
      <w:start w:val="1"/>
      <w:numFmt w:val="upperRoman"/>
      <w:lvlText w:val="(%1)"/>
      <w:lvlJc w:val="left"/>
      <w:pPr>
        <w:ind w:left="1080" w:hanging="720"/>
      </w:pPr>
      <w:rPr>
        <w:rFonts w:hint="default"/>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7"/>
  </w:num>
  <w:num w:numId="2">
    <w:abstractNumId w:val="1"/>
  </w:num>
  <w:num w:numId="3">
    <w:abstractNumId w:val="0"/>
  </w:num>
  <w:num w:numId="4">
    <w:abstractNumId w:val="8"/>
  </w:num>
  <w:num w:numId="5">
    <w:abstractNumId w:val="5"/>
  </w:num>
  <w:num w:numId="6">
    <w:abstractNumId w:val="4"/>
  </w:num>
  <w:num w:numId="7">
    <w:abstractNumId w:val="9"/>
  </w:num>
  <w:num w:numId="8">
    <w:abstractNumId w:val="3"/>
  </w:num>
  <w:num w:numId="9">
    <w:abstractNumId w:val="6"/>
  </w:num>
  <w:num w:numId="10">
    <w:abstractNumId w:val="2"/>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Nicolas Loaiza Segura">
    <w15:presenceInfo w15:providerId="AD" w15:userId="S::nloaiza@gha.com.co::76bbbda4-f9a8-4bdb-8e8c-35fff801787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14A5"/>
    <w:rsid w:val="00002F13"/>
    <w:rsid w:val="00003493"/>
    <w:rsid w:val="000057F7"/>
    <w:rsid w:val="00005DEF"/>
    <w:rsid w:val="00007CA9"/>
    <w:rsid w:val="00013363"/>
    <w:rsid w:val="00016F4E"/>
    <w:rsid w:val="00026266"/>
    <w:rsid w:val="0002706A"/>
    <w:rsid w:val="00027BAE"/>
    <w:rsid w:val="00030096"/>
    <w:rsid w:val="0003111F"/>
    <w:rsid w:val="00047D4C"/>
    <w:rsid w:val="00060ADD"/>
    <w:rsid w:val="00061850"/>
    <w:rsid w:val="00063160"/>
    <w:rsid w:val="0006517F"/>
    <w:rsid w:val="000663F7"/>
    <w:rsid w:val="00081C66"/>
    <w:rsid w:val="0008297E"/>
    <w:rsid w:val="00084DD6"/>
    <w:rsid w:val="00086296"/>
    <w:rsid w:val="000A0668"/>
    <w:rsid w:val="000A4776"/>
    <w:rsid w:val="000A5457"/>
    <w:rsid w:val="000B656E"/>
    <w:rsid w:val="000B6718"/>
    <w:rsid w:val="000C0214"/>
    <w:rsid w:val="000C2815"/>
    <w:rsid w:val="000C62ED"/>
    <w:rsid w:val="000C7896"/>
    <w:rsid w:val="000D2327"/>
    <w:rsid w:val="000D65DB"/>
    <w:rsid w:val="000E3C63"/>
    <w:rsid w:val="000E7A1B"/>
    <w:rsid w:val="000F038B"/>
    <w:rsid w:val="00105FFD"/>
    <w:rsid w:val="00114039"/>
    <w:rsid w:val="001179CC"/>
    <w:rsid w:val="001330DE"/>
    <w:rsid w:val="001331FB"/>
    <w:rsid w:val="00135C07"/>
    <w:rsid w:val="00141A89"/>
    <w:rsid w:val="00141E8A"/>
    <w:rsid w:val="00144C13"/>
    <w:rsid w:val="0015206B"/>
    <w:rsid w:val="0015436B"/>
    <w:rsid w:val="00171FC4"/>
    <w:rsid w:val="00173EF2"/>
    <w:rsid w:val="001827BA"/>
    <w:rsid w:val="00185804"/>
    <w:rsid w:val="001871E0"/>
    <w:rsid w:val="00187DBF"/>
    <w:rsid w:val="001925A0"/>
    <w:rsid w:val="00192897"/>
    <w:rsid w:val="001935FC"/>
    <w:rsid w:val="00193AB3"/>
    <w:rsid w:val="00194DAC"/>
    <w:rsid w:val="001A4E2E"/>
    <w:rsid w:val="001A51FD"/>
    <w:rsid w:val="001A77FD"/>
    <w:rsid w:val="001B1E53"/>
    <w:rsid w:val="001B73EC"/>
    <w:rsid w:val="001C24DD"/>
    <w:rsid w:val="001C2B2F"/>
    <w:rsid w:val="001C356E"/>
    <w:rsid w:val="001C3C27"/>
    <w:rsid w:val="001C3ED5"/>
    <w:rsid w:val="001C5AF0"/>
    <w:rsid w:val="001C5BA9"/>
    <w:rsid w:val="001D01AD"/>
    <w:rsid w:val="001D1B0F"/>
    <w:rsid w:val="001E0B1C"/>
    <w:rsid w:val="001E2E18"/>
    <w:rsid w:val="001E2E29"/>
    <w:rsid w:val="00202811"/>
    <w:rsid w:val="002052C5"/>
    <w:rsid w:val="00211434"/>
    <w:rsid w:val="00212D5E"/>
    <w:rsid w:val="00214ADA"/>
    <w:rsid w:val="0022005A"/>
    <w:rsid w:val="002210DC"/>
    <w:rsid w:val="00226CC2"/>
    <w:rsid w:val="00232D1B"/>
    <w:rsid w:val="0023347D"/>
    <w:rsid w:val="00234F3F"/>
    <w:rsid w:val="002378CC"/>
    <w:rsid w:val="00244722"/>
    <w:rsid w:val="00245AA0"/>
    <w:rsid w:val="00251906"/>
    <w:rsid w:val="00254E27"/>
    <w:rsid w:val="0025591F"/>
    <w:rsid w:val="00267516"/>
    <w:rsid w:val="00267DDC"/>
    <w:rsid w:val="00281D90"/>
    <w:rsid w:val="00285DE7"/>
    <w:rsid w:val="002968FC"/>
    <w:rsid w:val="002A0CAC"/>
    <w:rsid w:val="002A5320"/>
    <w:rsid w:val="002A77DE"/>
    <w:rsid w:val="002B5E76"/>
    <w:rsid w:val="002B61D9"/>
    <w:rsid w:val="002C0328"/>
    <w:rsid w:val="002C24DA"/>
    <w:rsid w:val="002C6271"/>
    <w:rsid w:val="002C721E"/>
    <w:rsid w:val="002D1C2A"/>
    <w:rsid w:val="002D362B"/>
    <w:rsid w:val="002E795E"/>
    <w:rsid w:val="00301B5A"/>
    <w:rsid w:val="00303029"/>
    <w:rsid w:val="003032FC"/>
    <w:rsid w:val="00304D70"/>
    <w:rsid w:val="003068B8"/>
    <w:rsid w:val="00311959"/>
    <w:rsid w:val="00321202"/>
    <w:rsid w:val="00323A15"/>
    <w:rsid w:val="0032417B"/>
    <w:rsid w:val="00325FD2"/>
    <w:rsid w:val="00332A06"/>
    <w:rsid w:val="00336A9F"/>
    <w:rsid w:val="0035753D"/>
    <w:rsid w:val="00357DB7"/>
    <w:rsid w:val="0036195D"/>
    <w:rsid w:val="00363673"/>
    <w:rsid w:val="003662B5"/>
    <w:rsid w:val="003672DE"/>
    <w:rsid w:val="00372ECE"/>
    <w:rsid w:val="00375AFE"/>
    <w:rsid w:val="00376E0B"/>
    <w:rsid w:val="0038054C"/>
    <w:rsid w:val="0038335C"/>
    <w:rsid w:val="00384AC0"/>
    <w:rsid w:val="00387680"/>
    <w:rsid w:val="0039734E"/>
    <w:rsid w:val="003A1FA8"/>
    <w:rsid w:val="003A3DDB"/>
    <w:rsid w:val="003B0563"/>
    <w:rsid w:val="003B0D02"/>
    <w:rsid w:val="003C1BE1"/>
    <w:rsid w:val="003C2CC5"/>
    <w:rsid w:val="003C5773"/>
    <w:rsid w:val="003C5BCE"/>
    <w:rsid w:val="003D26F2"/>
    <w:rsid w:val="003D2CA5"/>
    <w:rsid w:val="003D6BC5"/>
    <w:rsid w:val="003D7CC5"/>
    <w:rsid w:val="003E1BF6"/>
    <w:rsid w:val="003E4283"/>
    <w:rsid w:val="003E7464"/>
    <w:rsid w:val="003F09BB"/>
    <w:rsid w:val="003F1494"/>
    <w:rsid w:val="003F161E"/>
    <w:rsid w:val="003F26B0"/>
    <w:rsid w:val="003F78D2"/>
    <w:rsid w:val="00400284"/>
    <w:rsid w:val="00411F41"/>
    <w:rsid w:val="00414FC7"/>
    <w:rsid w:val="00416F84"/>
    <w:rsid w:val="004206C4"/>
    <w:rsid w:val="00420BAA"/>
    <w:rsid w:val="0042497F"/>
    <w:rsid w:val="00426028"/>
    <w:rsid w:val="004377C2"/>
    <w:rsid w:val="00442437"/>
    <w:rsid w:val="004501C3"/>
    <w:rsid w:val="00451704"/>
    <w:rsid w:val="00454AC9"/>
    <w:rsid w:val="00464F36"/>
    <w:rsid w:val="004667FE"/>
    <w:rsid w:val="00470810"/>
    <w:rsid w:val="0047369C"/>
    <w:rsid w:val="004769C7"/>
    <w:rsid w:val="0048011A"/>
    <w:rsid w:val="00483C7B"/>
    <w:rsid w:val="0049068D"/>
    <w:rsid w:val="004A272B"/>
    <w:rsid w:val="004A356B"/>
    <w:rsid w:val="004A5CAF"/>
    <w:rsid w:val="004B0C57"/>
    <w:rsid w:val="004C01CE"/>
    <w:rsid w:val="004C4E1A"/>
    <w:rsid w:val="004D20D1"/>
    <w:rsid w:val="004D37EC"/>
    <w:rsid w:val="004D76D5"/>
    <w:rsid w:val="004D7CD7"/>
    <w:rsid w:val="004E3E96"/>
    <w:rsid w:val="004E61A1"/>
    <w:rsid w:val="004F3B3B"/>
    <w:rsid w:val="00500BA8"/>
    <w:rsid w:val="00505604"/>
    <w:rsid w:val="00505F3C"/>
    <w:rsid w:val="00507C5C"/>
    <w:rsid w:val="00511C8C"/>
    <w:rsid w:val="00515EE0"/>
    <w:rsid w:val="0052701F"/>
    <w:rsid w:val="005420B3"/>
    <w:rsid w:val="0054322C"/>
    <w:rsid w:val="00543F6F"/>
    <w:rsid w:val="00546D51"/>
    <w:rsid w:val="0055008F"/>
    <w:rsid w:val="005528ED"/>
    <w:rsid w:val="00553769"/>
    <w:rsid w:val="005636F2"/>
    <w:rsid w:val="00563A9A"/>
    <w:rsid w:val="005679D9"/>
    <w:rsid w:val="00571D4B"/>
    <w:rsid w:val="00582FD0"/>
    <w:rsid w:val="00587415"/>
    <w:rsid w:val="00591232"/>
    <w:rsid w:val="005A391B"/>
    <w:rsid w:val="005A3F2C"/>
    <w:rsid w:val="005A4B92"/>
    <w:rsid w:val="005B0EA5"/>
    <w:rsid w:val="005B1C7A"/>
    <w:rsid w:val="005B75EB"/>
    <w:rsid w:val="005C4D24"/>
    <w:rsid w:val="005C59EF"/>
    <w:rsid w:val="005C6F91"/>
    <w:rsid w:val="005D0617"/>
    <w:rsid w:val="005D4A73"/>
    <w:rsid w:val="005D7117"/>
    <w:rsid w:val="005E098D"/>
    <w:rsid w:val="005E1B12"/>
    <w:rsid w:val="005E578E"/>
    <w:rsid w:val="005E7D57"/>
    <w:rsid w:val="005F199E"/>
    <w:rsid w:val="005F32B4"/>
    <w:rsid w:val="00600779"/>
    <w:rsid w:val="006028DF"/>
    <w:rsid w:val="00602EB5"/>
    <w:rsid w:val="00607FA3"/>
    <w:rsid w:val="0061180E"/>
    <w:rsid w:val="006151E3"/>
    <w:rsid w:val="006234E6"/>
    <w:rsid w:val="00636342"/>
    <w:rsid w:val="00637020"/>
    <w:rsid w:val="00637E0C"/>
    <w:rsid w:val="006410FB"/>
    <w:rsid w:val="00650646"/>
    <w:rsid w:val="006521E3"/>
    <w:rsid w:val="00652A38"/>
    <w:rsid w:val="00654705"/>
    <w:rsid w:val="00657A3A"/>
    <w:rsid w:val="00663759"/>
    <w:rsid w:val="00663EDF"/>
    <w:rsid w:val="006723A6"/>
    <w:rsid w:val="006735F8"/>
    <w:rsid w:val="006743DA"/>
    <w:rsid w:val="0067452B"/>
    <w:rsid w:val="00674765"/>
    <w:rsid w:val="00674FE6"/>
    <w:rsid w:val="0067543A"/>
    <w:rsid w:val="006765CE"/>
    <w:rsid w:val="00677B0D"/>
    <w:rsid w:val="006806C7"/>
    <w:rsid w:val="00681277"/>
    <w:rsid w:val="0068335F"/>
    <w:rsid w:val="00683877"/>
    <w:rsid w:val="00692355"/>
    <w:rsid w:val="00692888"/>
    <w:rsid w:val="0069654C"/>
    <w:rsid w:val="006A4B4F"/>
    <w:rsid w:val="006B0778"/>
    <w:rsid w:val="006B29A9"/>
    <w:rsid w:val="006B66AC"/>
    <w:rsid w:val="006C131E"/>
    <w:rsid w:val="006C1EC8"/>
    <w:rsid w:val="006C342D"/>
    <w:rsid w:val="006C5246"/>
    <w:rsid w:val="006D153D"/>
    <w:rsid w:val="006E04FF"/>
    <w:rsid w:val="006E0F84"/>
    <w:rsid w:val="006F3F7B"/>
    <w:rsid w:val="006F4DD1"/>
    <w:rsid w:val="00724B2F"/>
    <w:rsid w:val="007313BF"/>
    <w:rsid w:val="00733D91"/>
    <w:rsid w:val="007374AB"/>
    <w:rsid w:val="00747032"/>
    <w:rsid w:val="007475B0"/>
    <w:rsid w:val="0074760F"/>
    <w:rsid w:val="00756A33"/>
    <w:rsid w:val="00766CC1"/>
    <w:rsid w:val="00771428"/>
    <w:rsid w:val="00772448"/>
    <w:rsid w:val="0077593A"/>
    <w:rsid w:val="00776C2D"/>
    <w:rsid w:val="007833C9"/>
    <w:rsid w:val="00791E47"/>
    <w:rsid w:val="00793C8E"/>
    <w:rsid w:val="007965DE"/>
    <w:rsid w:val="00796DE9"/>
    <w:rsid w:val="007A4D42"/>
    <w:rsid w:val="007A71A4"/>
    <w:rsid w:val="007B1C12"/>
    <w:rsid w:val="007B27E4"/>
    <w:rsid w:val="007B559B"/>
    <w:rsid w:val="007C0C08"/>
    <w:rsid w:val="007C1A65"/>
    <w:rsid w:val="007C3796"/>
    <w:rsid w:val="007C3A92"/>
    <w:rsid w:val="007D0830"/>
    <w:rsid w:val="007D4088"/>
    <w:rsid w:val="007D6A16"/>
    <w:rsid w:val="007E32E4"/>
    <w:rsid w:val="007E3CFE"/>
    <w:rsid w:val="007F3DC2"/>
    <w:rsid w:val="007F4F94"/>
    <w:rsid w:val="007F632D"/>
    <w:rsid w:val="007F6A39"/>
    <w:rsid w:val="00801EF1"/>
    <w:rsid w:val="00803497"/>
    <w:rsid w:val="0080593C"/>
    <w:rsid w:val="00815EBA"/>
    <w:rsid w:val="0081692B"/>
    <w:rsid w:val="00822B5B"/>
    <w:rsid w:val="00824298"/>
    <w:rsid w:val="00825517"/>
    <w:rsid w:val="00825D69"/>
    <w:rsid w:val="008269DA"/>
    <w:rsid w:val="00827F04"/>
    <w:rsid w:val="008335EB"/>
    <w:rsid w:val="00836E30"/>
    <w:rsid w:val="00840763"/>
    <w:rsid w:val="00842572"/>
    <w:rsid w:val="00842F59"/>
    <w:rsid w:val="00847423"/>
    <w:rsid w:val="008624D6"/>
    <w:rsid w:val="00866FF7"/>
    <w:rsid w:val="00870009"/>
    <w:rsid w:val="00870F73"/>
    <w:rsid w:val="008741BF"/>
    <w:rsid w:val="008830A7"/>
    <w:rsid w:val="00887C59"/>
    <w:rsid w:val="00891668"/>
    <w:rsid w:val="00895D00"/>
    <w:rsid w:val="0089705F"/>
    <w:rsid w:val="008A3EE5"/>
    <w:rsid w:val="008A601B"/>
    <w:rsid w:val="008B4D14"/>
    <w:rsid w:val="008B4F01"/>
    <w:rsid w:val="008B7105"/>
    <w:rsid w:val="008C44A2"/>
    <w:rsid w:val="008C5256"/>
    <w:rsid w:val="008D0AB5"/>
    <w:rsid w:val="008D75DD"/>
    <w:rsid w:val="008E2270"/>
    <w:rsid w:val="008E2B67"/>
    <w:rsid w:val="008E4E08"/>
    <w:rsid w:val="008E65B9"/>
    <w:rsid w:val="008E6AED"/>
    <w:rsid w:val="008F0426"/>
    <w:rsid w:val="008F09AC"/>
    <w:rsid w:val="008F1394"/>
    <w:rsid w:val="008F1E2F"/>
    <w:rsid w:val="008F799A"/>
    <w:rsid w:val="008F7F13"/>
    <w:rsid w:val="00900724"/>
    <w:rsid w:val="00900778"/>
    <w:rsid w:val="00901927"/>
    <w:rsid w:val="00903699"/>
    <w:rsid w:val="00910693"/>
    <w:rsid w:val="0091432E"/>
    <w:rsid w:val="009144E0"/>
    <w:rsid w:val="00914FB1"/>
    <w:rsid w:val="00920F6E"/>
    <w:rsid w:val="00931266"/>
    <w:rsid w:val="00931DD1"/>
    <w:rsid w:val="0093245B"/>
    <w:rsid w:val="00936C1D"/>
    <w:rsid w:val="00937CD9"/>
    <w:rsid w:val="00944B3B"/>
    <w:rsid w:val="0095213D"/>
    <w:rsid w:val="0096397B"/>
    <w:rsid w:val="00967D30"/>
    <w:rsid w:val="00970005"/>
    <w:rsid w:val="00972A60"/>
    <w:rsid w:val="009743C7"/>
    <w:rsid w:val="00976776"/>
    <w:rsid w:val="00980875"/>
    <w:rsid w:val="0098167B"/>
    <w:rsid w:val="009818B5"/>
    <w:rsid w:val="00984909"/>
    <w:rsid w:val="00984DAE"/>
    <w:rsid w:val="00991B02"/>
    <w:rsid w:val="00997462"/>
    <w:rsid w:val="00997C0E"/>
    <w:rsid w:val="009A1E1B"/>
    <w:rsid w:val="009A6FE1"/>
    <w:rsid w:val="009A727B"/>
    <w:rsid w:val="009A7B33"/>
    <w:rsid w:val="009B1AA2"/>
    <w:rsid w:val="009B4D7D"/>
    <w:rsid w:val="009B4F54"/>
    <w:rsid w:val="009B57BF"/>
    <w:rsid w:val="009B5EC0"/>
    <w:rsid w:val="009B6613"/>
    <w:rsid w:val="009B751B"/>
    <w:rsid w:val="009B7C31"/>
    <w:rsid w:val="009C0381"/>
    <w:rsid w:val="009C0555"/>
    <w:rsid w:val="009C083B"/>
    <w:rsid w:val="009C1ABB"/>
    <w:rsid w:val="009D22C1"/>
    <w:rsid w:val="009D2604"/>
    <w:rsid w:val="009D39D8"/>
    <w:rsid w:val="009D461F"/>
    <w:rsid w:val="009D4B41"/>
    <w:rsid w:val="009D55BF"/>
    <w:rsid w:val="009E1399"/>
    <w:rsid w:val="009E1C84"/>
    <w:rsid w:val="009E3418"/>
    <w:rsid w:val="009E4607"/>
    <w:rsid w:val="009F37BE"/>
    <w:rsid w:val="009F67CB"/>
    <w:rsid w:val="00A027A5"/>
    <w:rsid w:val="00A07A3B"/>
    <w:rsid w:val="00A1123F"/>
    <w:rsid w:val="00A307A6"/>
    <w:rsid w:val="00A31679"/>
    <w:rsid w:val="00A3270C"/>
    <w:rsid w:val="00A36DCC"/>
    <w:rsid w:val="00A37037"/>
    <w:rsid w:val="00A417E6"/>
    <w:rsid w:val="00A44202"/>
    <w:rsid w:val="00A47242"/>
    <w:rsid w:val="00A50B7D"/>
    <w:rsid w:val="00A537A5"/>
    <w:rsid w:val="00A54FD7"/>
    <w:rsid w:val="00A55BCA"/>
    <w:rsid w:val="00A67DE9"/>
    <w:rsid w:val="00A7482F"/>
    <w:rsid w:val="00A74AD8"/>
    <w:rsid w:val="00A8331D"/>
    <w:rsid w:val="00A871C1"/>
    <w:rsid w:val="00A877E6"/>
    <w:rsid w:val="00A90CDD"/>
    <w:rsid w:val="00A91C16"/>
    <w:rsid w:val="00A95F2D"/>
    <w:rsid w:val="00AA055A"/>
    <w:rsid w:val="00AA4F5A"/>
    <w:rsid w:val="00AB3A2C"/>
    <w:rsid w:val="00AB6016"/>
    <w:rsid w:val="00AC3324"/>
    <w:rsid w:val="00AC695A"/>
    <w:rsid w:val="00AD03AA"/>
    <w:rsid w:val="00AD2481"/>
    <w:rsid w:val="00AD2B80"/>
    <w:rsid w:val="00AD4525"/>
    <w:rsid w:val="00AE5E5C"/>
    <w:rsid w:val="00AE7863"/>
    <w:rsid w:val="00AF0742"/>
    <w:rsid w:val="00AF0A32"/>
    <w:rsid w:val="00AF1438"/>
    <w:rsid w:val="00AF523D"/>
    <w:rsid w:val="00B01D97"/>
    <w:rsid w:val="00B036A6"/>
    <w:rsid w:val="00B0496E"/>
    <w:rsid w:val="00B056E8"/>
    <w:rsid w:val="00B073CF"/>
    <w:rsid w:val="00B13041"/>
    <w:rsid w:val="00B20189"/>
    <w:rsid w:val="00B21738"/>
    <w:rsid w:val="00B22564"/>
    <w:rsid w:val="00B2270B"/>
    <w:rsid w:val="00B42964"/>
    <w:rsid w:val="00B42AB4"/>
    <w:rsid w:val="00B51122"/>
    <w:rsid w:val="00B54DCC"/>
    <w:rsid w:val="00B54EC9"/>
    <w:rsid w:val="00B57AE4"/>
    <w:rsid w:val="00B64C50"/>
    <w:rsid w:val="00B77EC4"/>
    <w:rsid w:val="00B81216"/>
    <w:rsid w:val="00B81CC2"/>
    <w:rsid w:val="00B83937"/>
    <w:rsid w:val="00B948E6"/>
    <w:rsid w:val="00B94DFA"/>
    <w:rsid w:val="00BA1F81"/>
    <w:rsid w:val="00BA33E1"/>
    <w:rsid w:val="00BA3EB7"/>
    <w:rsid w:val="00BA4BFC"/>
    <w:rsid w:val="00BA6AC5"/>
    <w:rsid w:val="00BA6BD1"/>
    <w:rsid w:val="00BB27B2"/>
    <w:rsid w:val="00BB2961"/>
    <w:rsid w:val="00BB5F6E"/>
    <w:rsid w:val="00BB618F"/>
    <w:rsid w:val="00BB7105"/>
    <w:rsid w:val="00BB7F0C"/>
    <w:rsid w:val="00BC2A33"/>
    <w:rsid w:val="00BC47F9"/>
    <w:rsid w:val="00BC5526"/>
    <w:rsid w:val="00BC5D07"/>
    <w:rsid w:val="00BD0639"/>
    <w:rsid w:val="00BD62C3"/>
    <w:rsid w:val="00BD7109"/>
    <w:rsid w:val="00BE338E"/>
    <w:rsid w:val="00BE3F1E"/>
    <w:rsid w:val="00BE6214"/>
    <w:rsid w:val="00BE78A2"/>
    <w:rsid w:val="00BF106E"/>
    <w:rsid w:val="00BF1A90"/>
    <w:rsid w:val="00BF28CA"/>
    <w:rsid w:val="00BF7538"/>
    <w:rsid w:val="00C02C08"/>
    <w:rsid w:val="00C0491F"/>
    <w:rsid w:val="00C12B76"/>
    <w:rsid w:val="00C14285"/>
    <w:rsid w:val="00C177DB"/>
    <w:rsid w:val="00C2038E"/>
    <w:rsid w:val="00C20A49"/>
    <w:rsid w:val="00C26D30"/>
    <w:rsid w:val="00C36E7B"/>
    <w:rsid w:val="00C42CD6"/>
    <w:rsid w:val="00C53500"/>
    <w:rsid w:val="00C54BEB"/>
    <w:rsid w:val="00C54E2C"/>
    <w:rsid w:val="00C55747"/>
    <w:rsid w:val="00C62D61"/>
    <w:rsid w:val="00C665B3"/>
    <w:rsid w:val="00C6698E"/>
    <w:rsid w:val="00C66ED9"/>
    <w:rsid w:val="00C70FF5"/>
    <w:rsid w:val="00C71CB3"/>
    <w:rsid w:val="00C720E6"/>
    <w:rsid w:val="00C76D44"/>
    <w:rsid w:val="00C81210"/>
    <w:rsid w:val="00C8316D"/>
    <w:rsid w:val="00C95700"/>
    <w:rsid w:val="00C96594"/>
    <w:rsid w:val="00CA0273"/>
    <w:rsid w:val="00CA03A4"/>
    <w:rsid w:val="00CA1E5D"/>
    <w:rsid w:val="00CA54E7"/>
    <w:rsid w:val="00CB03BC"/>
    <w:rsid w:val="00CB6FFB"/>
    <w:rsid w:val="00CB702C"/>
    <w:rsid w:val="00CC1154"/>
    <w:rsid w:val="00CC1A9F"/>
    <w:rsid w:val="00CD0B86"/>
    <w:rsid w:val="00CD1211"/>
    <w:rsid w:val="00CD5101"/>
    <w:rsid w:val="00CE3619"/>
    <w:rsid w:val="00CE7E71"/>
    <w:rsid w:val="00CF387D"/>
    <w:rsid w:val="00CF3929"/>
    <w:rsid w:val="00CF5EDE"/>
    <w:rsid w:val="00D01516"/>
    <w:rsid w:val="00D016C2"/>
    <w:rsid w:val="00D02C12"/>
    <w:rsid w:val="00D06468"/>
    <w:rsid w:val="00D07E6B"/>
    <w:rsid w:val="00D23439"/>
    <w:rsid w:val="00D23A48"/>
    <w:rsid w:val="00D300E9"/>
    <w:rsid w:val="00D30A92"/>
    <w:rsid w:val="00D31FA7"/>
    <w:rsid w:val="00D33A42"/>
    <w:rsid w:val="00D3402D"/>
    <w:rsid w:val="00D341B1"/>
    <w:rsid w:val="00D417FA"/>
    <w:rsid w:val="00D50443"/>
    <w:rsid w:val="00D55A61"/>
    <w:rsid w:val="00D60B58"/>
    <w:rsid w:val="00D60B89"/>
    <w:rsid w:val="00D6194A"/>
    <w:rsid w:val="00D6512C"/>
    <w:rsid w:val="00D72258"/>
    <w:rsid w:val="00D72350"/>
    <w:rsid w:val="00D76BB0"/>
    <w:rsid w:val="00D80473"/>
    <w:rsid w:val="00D818B4"/>
    <w:rsid w:val="00D83DF5"/>
    <w:rsid w:val="00D84A03"/>
    <w:rsid w:val="00D87B6B"/>
    <w:rsid w:val="00D93F55"/>
    <w:rsid w:val="00D95924"/>
    <w:rsid w:val="00D97DAB"/>
    <w:rsid w:val="00DA1E5F"/>
    <w:rsid w:val="00DB3EF5"/>
    <w:rsid w:val="00DB4040"/>
    <w:rsid w:val="00DC2B29"/>
    <w:rsid w:val="00DC6BA8"/>
    <w:rsid w:val="00DC72FD"/>
    <w:rsid w:val="00DD028A"/>
    <w:rsid w:val="00DD1A49"/>
    <w:rsid w:val="00DD29C9"/>
    <w:rsid w:val="00DD368D"/>
    <w:rsid w:val="00DD438C"/>
    <w:rsid w:val="00DD6BF2"/>
    <w:rsid w:val="00DE3644"/>
    <w:rsid w:val="00DF0E05"/>
    <w:rsid w:val="00DF11DD"/>
    <w:rsid w:val="00DF3901"/>
    <w:rsid w:val="00E00447"/>
    <w:rsid w:val="00E008C7"/>
    <w:rsid w:val="00E04A48"/>
    <w:rsid w:val="00E16496"/>
    <w:rsid w:val="00E1705F"/>
    <w:rsid w:val="00E17185"/>
    <w:rsid w:val="00E23DED"/>
    <w:rsid w:val="00E26F86"/>
    <w:rsid w:val="00E43BA7"/>
    <w:rsid w:val="00E43DF4"/>
    <w:rsid w:val="00E47100"/>
    <w:rsid w:val="00E54B4C"/>
    <w:rsid w:val="00E63CC0"/>
    <w:rsid w:val="00E65388"/>
    <w:rsid w:val="00E70A4B"/>
    <w:rsid w:val="00E750DB"/>
    <w:rsid w:val="00E76757"/>
    <w:rsid w:val="00E83E2A"/>
    <w:rsid w:val="00E83FAA"/>
    <w:rsid w:val="00E904B9"/>
    <w:rsid w:val="00E909B0"/>
    <w:rsid w:val="00EA2EB0"/>
    <w:rsid w:val="00EA371B"/>
    <w:rsid w:val="00EB06B6"/>
    <w:rsid w:val="00EB1C88"/>
    <w:rsid w:val="00EB45B2"/>
    <w:rsid w:val="00EC434B"/>
    <w:rsid w:val="00EC43CA"/>
    <w:rsid w:val="00EC5EA3"/>
    <w:rsid w:val="00ED1DED"/>
    <w:rsid w:val="00EE1782"/>
    <w:rsid w:val="00EE40E3"/>
    <w:rsid w:val="00EE43F2"/>
    <w:rsid w:val="00EE65F8"/>
    <w:rsid w:val="00EF1633"/>
    <w:rsid w:val="00EF54CA"/>
    <w:rsid w:val="00F1132D"/>
    <w:rsid w:val="00F117A8"/>
    <w:rsid w:val="00F24202"/>
    <w:rsid w:val="00F24FC1"/>
    <w:rsid w:val="00F25B82"/>
    <w:rsid w:val="00F27EF1"/>
    <w:rsid w:val="00F31B7B"/>
    <w:rsid w:val="00F32458"/>
    <w:rsid w:val="00F355AE"/>
    <w:rsid w:val="00F469D5"/>
    <w:rsid w:val="00F50462"/>
    <w:rsid w:val="00F527BF"/>
    <w:rsid w:val="00F5456B"/>
    <w:rsid w:val="00F54B4F"/>
    <w:rsid w:val="00F55A26"/>
    <w:rsid w:val="00F5693B"/>
    <w:rsid w:val="00F6102E"/>
    <w:rsid w:val="00F62905"/>
    <w:rsid w:val="00F65D71"/>
    <w:rsid w:val="00F71C23"/>
    <w:rsid w:val="00F72D83"/>
    <w:rsid w:val="00F7400A"/>
    <w:rsid w:val="00F751A9"/>
    <w:rsid w:val="00F7601C"/>
    <w:rsid w:val="00F87905"/>
    <w:rsid w:val="00F91C50"/>
    <w:rsid w:val="00F92DB2"/>
    <w:rsid w:val="00F94E5C"/>
    <w:rsid w:val="00F95354"/>
    <w:rsid w:val="00F96403"/>
    <w:rsid w:val="00FA0CC5"/>
    <w:rsid w:val="00FA2593"/>
    <w:rsid w:val="00FA4FFB"/>
    <w:rsid w:val="00FA6322"/>
    <w:rsid w:val="00FB068E"/>
    <w:rsid w:val="00FB0CBE"/>
    <w:rsid w:val="00FB7F54"/>
    <w:rsid w:val="00FC0DB1"/>
    <w:rsid w:val="00FC55EB"/>
    <w:rsid w:val="00FD5603"/>
    <w:rsid w:val="00FE10B5"/>
    <w:rsid w:val="00FE29F0"/>
    <w:rsid w:val="00FE4CD9"/>
    <w:rsid w:val="00FE5E2E"/>
    <w:rsid w:val="00FE74CF"/>
    <w:rsid w:val="00FE7B0B"/>
    <w:rsid w:val="00FF3EF5"/>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276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2">
    <w:name w:val="heading 2"/>
    <w:basedOn w:val="Normal"/>
    <w:next w:val="Normal"/>
    <w:link w:val="Ttulo2Car"/>
    <w:uiPriority w:val="9"/>
    <w:semiHidden/>
    <w:unhideWhenUsed/>
    <w:qFormat/>
    <w:rsid w:val="00AA055A"/>
    <w:pPr>
      <w:keepNext/>
      <w:keepLines/>
      <w:spacing w:before="200"/>
      <w:outlineLvl w:val="1"/>
    </w:pPr>
    <w:rPr>
      <w:rFonts w:asciiTheme="majorHAnsi" w:eastAsiaTheme="majorEastAsia" w:hAnsiTheme="majorHAnsi" w:cstheme="majorBidi"/>
      <w:b/>
      <w:bCs/>
      <w:color w:val="4472C4"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UnresolvedMention1">
    <w:name w:val="Unresolved Mention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
    <w:name w:val="Mención sin resolver1"/>
    <w:basedOn w:val="Fuentedeprrafopredeter"/>
    <w:uiPriority w:val="99"/>
    <w:semiHidden/>
    <w:unhideWhenUsed/>
    <w:rsid w:val="009A1E1B"/>
    <w:rPr>
      <w:color w:val="605E5C"/>
      <w:shd w:val="clear" w:color="auto" w:fill="E1DFDD"/>
    </w:rPr>
  </w:style>
  <w:style w:type="paragraph" w:styleId="Revisin">
    <w:name w:val="Revision"/>
    <w:hidden/>
    <w:uiPriority w:val="99"/>
    <w:semiHidden/>
    <w:rsid w:val="009A1E1B"/>
    <w:pPr>
      <w:spacing w:after="0" w:line="240" w:lineRule="auto"/>
    </w:pPr>
    <w:rPr>
      <w:rFonts w:ascii="Times New Roman" w:eastAsia="Times New Roman" w:hAnsi="Times New Roman" w:cs="Times New Roman"/>
      <w:sz w:val="24"/>
      <w:szCs w:val="24"/>
      <w:lang w:val="es-ES" w:eastAsia="es-ES"/>
    </w:rPr>
  </w:style>
  <w:style w:type="character" w:styleId="Hipervnculovisitado">
    <w:name w:val="FollowedHyperlink"/>
    <w:basedOn w:val="Fuentedeprrafopredeter"/>
    <w:uiPriority w:val="99"/>
    <w:semiHidden/>
    <w:unhideWhenUsed/>
    <w:rsid w:val="00607FA3"/>
    <w:rPr>
      <w:color w:val="954F72" w:themeColor="followedHyperlink"/>
      <w:u w:val="single"/>
    </w:rPr>
  </w:style>
  <w:style w:type="character" w:styleId="Refdecomentario">
    <w:name w:val="annotation reference"/>
    <w:basedOn w:val="Fuentedeprrafopredeter"/>
    <w:uiPriority w:val="99"/>
    <w:semiHidden/>
    <w:unhideWhenUsed/>
    <w:rsid w:val="003F161E"/>
    <w:rPr>
      <w:sz w:val="16"/>
      <w:szCs w:val="16"/>
    </w:rPr>
  </w:style>
  <w:style w:type="paragraph" w:styleId="Textocomentario">
    <w:name w:val="annotation text"/>
    <w:basedOn w:val="Normal"/>
    <w:link w:val="TextocomentarioCar"/>
    <w:uiPriority w:val="99"/>
    <w:unhideWhenUsed/>
    <w:rsid w:val="003F161E"/>
    <w:rPr>
      <w:sz w:val="20"/>
      <w:szCs w:val="20"/>
    </w:rPr>
  </w:style>
  <w:style w:type="character" w:customStyle="1" w:styleId="TextocomentarioCar">
    <w:name w:val="Texto comentario Car"/>
    <w:basedOn w:val="Fuentedeprrafopredeter"/>
    <w:link w:val="Textocomentario"/>
    <w:uiPriority w:val="99"/>
    <w:rsid w:val="003F161E"/>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3F161E"/>
    <w:rPr>
      <w:b/>
      <w:bCs/>
    </w:rPr>
  </w:style>
  <w:style w:type="character" w:customStyle="1" w:styleId="AsuntodelcomentarioCar">
    <w:name w:val="Asunto del comentario Car"/>
    <w:basedOn w:val="TextocomentarioCar"/>
    <w:link w:val="Asuntodelcomentario"/>
    <w:uiPriority w:val="99"/>
    <w:semiHidden/>
    <w:rsid w:val="003F161E"/>
    <w:rPr>
      <w:rFonts w:ascii="Arial MT" w:eastAsia="Arial MT" w:hAnsi="Arial MT" w:cs="Arial MT"/>
      <w:b/>
      <w:bCs/>
      <w:sz w:val="20"/>
      <w:szCs w:val="20"/>
      <w:lang w:val="es-ES"/>
    </w:rPr>
  </w:style>
  <w:style w:type="character" w:customStyle="1" w:styleId="Ttulo2Car">
    <w:name w:val="Título 2 Car"/>
    <w:basedOn w:val="Fuentedeprrafopredeter"/>
    <w:link w:val="Ttulo2"/>
    <w:uiPriority w:val="9"/>
    <w:semiHidden/>
    <w:rsid w:val="00AA055A"/>
    <w:rPr>
      <w:rFonts w:asciiTheme="majorHAnsi" w:eastAsiaTheme="majorEastAsia" w:hAnsiTheme="majorHAnsi" w:cstheme="majorBidi"/>
      <w:b/>
      <w:bCs/>
      <w:color w:val="4472C4" w:themeColor="accent1"/>
      <w:sz w:val="26"/>
      <w:szCs w:val="26"/>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2">
    <w:name w:val="heading 2"/>
    <w:basedOn w:val="Normal"/>
    <w:next w:val="Normal"/>
    <w:link w:val="Ttulo2Car"/>
    <w:uiPriority w:val="9"/>
    <w:semiHidden/>
    <w:unhideWhenUsed/>
    <w:qFormat/>
    <w:rsid w:val="00AA055A"/>
    <w:pPr>
      <w:keepNext/>
      <w:keepLines/>
      <w:spacing w:before="200"/>
      <w:outlineLvl w:val="1"/>
    </w:pPr>
    <w:rPr>
      <w:rFonts w:asciiTheme="majorHAnsi" w:eastAsiaTheme="majorEastAsia" w:hAnsiTheme="majorHAnsi" w:cstheme="majorBidi"/>
      <w:b/>
      <w:bCs/>
      <w:color w:val="4472C4"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UnresolvedMention1">
    <w:name w:val="Unresolved Mention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
    <w:name w:val="Mención sin resolver1"/>
    <w:basedOn w:val="Fuentedeprrafopredeter"/>
    <w:uiPriority w:val="99"/>
    <w:semiHidden/>
    <w:unhideWhenUsed/>
    <w:rsid w:val="009A1E1B"/>
    <w:rPr>
      <w:color w:val="605E5C"/>
      <w:shd w:val="clear" w:color="auto" w:fill="E1DFDD"/>
    </w:rPr>
  </w:style>
  <w:style w:type="paragraph" w:styleId="Revisin">
    <w:name w:val="Revision"/>
    <w:hidden/>
    <w:uiPriority w:val="99"/>
    <w:semiHidden/>
    <w:rsid w:val="009A1E1B"/>
    <w:pPr>
      <w:spacing w:after="0" w:line="240" w:lineRule="auto"/>
    </w:pPr>
    <w:rPr>
      <w:rFonts w:ascii="Times New Roman" w:eastAsia="Times New Roman" w:hAnsi="Times New Roman" w:cs="Times New Roman"/>
      <w:sz w:val="24"/>
      <w:szCs w:val="24"/>
      <w:lang w:val="es-ES" w:eastAsia="es-ES"/>
    </w:rPr>
  </w:style>
  <w:style w:type="character" w:styleId="Hipervnculovisitado">
    <w:name w:val="FollowedHyperlink"/>
    <w:basedOn w:val="Fuentedeprrafopredeter"/>
    <w:uiPriority w:val="99"/>
    <w:semiHidden/>
    <w:unhideWhenUsed/>
    <w:rsid w:val="00607FA3"/>
    <w:rPr>
      <w:color w:val="954F72" w:themeColor="followedHyperlink"/>
      <w:u w:val="single"/>
    </w:rPr>
  </w:style>
  <w:style w:type="character" w:styleId="Refdecomentario">
    <w:name w:val="annotation reference"/>
    <w:basedOn w:val="Fuentedeprrafopredeter"/>
    <w:uiPriority w:val="99"/>
    <w:semiHidden/>
    <w:unhideWhenUsed/>
    <w:rsid w:val="003F161E"/>
    <w:rPr>
      <w:sz w:val="16"/>
      <w:szCs w:val="16"/>
    </w:rPr>
  </w:style>
  <w:style w:type="paragraph" w:styleId="Textocomentario">
    <w:name w:val="annotation text"/>
    <w:basedOn w:val="Normal"/>
    <w:link w:val="TextocomentarioCar"/>
    <w:uiPriority w:val="99"/>
    <w:unhideWhenUsed/>
    <w:rsid w:val="003F161E"/>
    <w:rPr>
      <w:sz w:val="20"/>
      <w:szCs w:val="20"/>
    </w:rPr>
  </w:style>
  <w:style w:type="character" w:customStyle="1" w:styleId="TextocomentarioCar">
    <w:name w:val="Texto comentario Car"/>
    <w:basedOn w:val="Fuentedeprrafopredeter"/>
    <w:link w:val="Textocomentario"/>
    <w:uiPriority w:val="99"/>
    <w:rsid w:val="003F161E"/>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3F161E"/>
    <w:rPr>
      <w:b/>
      <w:bCs/>
    </w:rPr>
  </w:style>
  <w:style w:type="character" w:customStyle="1" w:styleId="AsuntodelcomentarioCar">
    <w:name w:val="Asunto del comentario Car"/>
    <w:basedOn w:val="TextocomentarioCar"/>
    <w:link w:val="Asuntodelcomentario"/>
    <w:uiPriority w:val="99"/>
    <w:semiHidden/>
    <w:rsid w:val="003F161E"/>
    <w:rPr>
      <w:rFonts w:ascii="Arial MT" w:eastAsia="Arial MT" w:hAnsi="Arial MT" w:cs="Arial MT"/>
      <w:b/>
      <w:bCs/>
      <w:sz w:val="20"/>
      <w:szCs w:val="20"/>
      <w:lang w:val="es-ES"/>
    </w:rPr>
  </w:style>
  <w:style w:type="character" w:customStyle="1" w:styleId="Ttulo2Car">
    <w:name w:val="Título 2 Car"/>
    <w:basedOn w:val="Fuentedeprrafopredeter"/>
    <w:link w:val="Ttulo2"/>
    <w:uiPriority w:val="9"/>
    <w:semiHidden/>
    <w:rsid w:val="00AA055A"/>
    <w:rPr>
      <w:rFonts w:asciiTheme="majorHAnsi" w:eastAsiaTheme="majorEastAsia" w:hAnsiTheme="majorHAnsi" w:cstheme="majorBidi"/>
      <w:b/>
      <w:bCs/>
      <w:color w:val="4472C4" w:themeColor="accent1"/>
      <w:sz w:val="26"/>
      <w:szCs w:val="2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7270636">
      <w:bodyDiv w:val="1"/>
      <w:marLeft w:val="0"/>
      <w:marRight w:val="0"/>
      <w:marTop w:val="0"/>
      <w:marBottom w:val="0"/>
      <w:divBdr>
        <w:top w:val="none" w:sz="0" w:space="0" w:color="auto"/>
        <w:left w:val="none" w:sz="0" w:space="0" w:color="auto"/>
        <w:bottom w:val="none" w:sz="0" w:space="0" w:color="auto"/>
        <w:right w:val="none" w:sz="0" w:space="0" w:color="auto"/>
      </w:divBdr>
      <w:divsChild>
        <w:div w:id="674961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299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879536">
      <w:bodyDiv w:val="1"/>
      <w:marLeft w:val="0"/>
      <w:marRight w:val="0"/>
      <w:marTop w:val="0"/>
      <w:marBottom w:val="0"/>
      <w:divBdr>
        <w:top w:val="none" w:sz="0" w:space="0" w:color="auto"/>
        <w:left w:val="none" w:sz="0" w:space="0" w:color="auto"/>
        <w:bottom w:val="none" w:sz="0" w:space="0" w:color="auto"/>
        <w:right w:val="none" w:sz="0" w:space="0" w:color="auto"/>
      </w:divBdr>
    </w:div>
    <w:div w:id="893198956">
      <w:bodyDiv w:val="1"/>
      <w:marLeft w:val="0"/>
      <w:marRight w:val="0"/>
      <w:marTop w:val="0"/>
      <w:marBottom w:val="0"/>
      <w:divBdr>
        <w:top w:val="none" w:sz="0" w:space="0" w:color="auto"/>
        <w:left w:val="none" w:sz="0" w:space="0" w:color="auto"/>
        <w:bottom w:val="none" w:sz="0" w:space="0" w:color="auto"/>
        <w:right w:val="none" w:sz="0" w:space="0" w:color="auto"/>
      </w:divBdr>
      <w:divsChild>
        <w:div w:id="14887820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9903964">
              <w:marLeft w:val="0"/>
              <w:marRight w:val="0"/>
              <w:marTop w:val="0"/>
              <w:marBottom w:val="0"/>
              <w:divBdr>
                <w:top w:val="none" w:sz="0" w:space="0" w:color="auto"/>
                <w:left w:val="none" w:sz="0" w:space="0" w:color="auto"/>
                <w:bottom w:val="none" w:sz="0" w:space="0" w:color="auto"/>
                <w:right w:val="none" w:sz="0" w:space="0" w:color="auto"/>
              </w:divBdr>
              <w:divsChild>
                <w:div w:id="1488014559">
                  <w:marLeft w:val="0"/>
                  <w:marRight w:val="0"/>
                  <w:marTop w:val="0"/>
                  <w:marBottom w:val="0"/>
                  <w:divBdr>
                    <w:top w:val="none" w:sz="0" w:space="0" w:color="auto"/>
                    <w:left w:val="none" w:sz="0" w:space="0" w:color="auto"/>
                    <w:bottom w:val="none" w:sz="0" w:space="0" w:color="auto"/>
                    <w:right w:val="none" w:sz="0" w:space="0" w:color="auto"/>
                  </w:divBdr>
                  <w:divsChild>
                    <w:div w:id="8095980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523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5994249">
      <w:bodyDiv w:val="1"/>
      <w:marLeft w:val="0"/>
      <w:marRight w:val="0"/>
      <w:marTop w:val="0"/>
      <w:marBottom w:val="0"/>
      <w:divBdr>
        <w:top w:val="none" w:sz="0" w:space="0" w:color="auto"/>
        <w:left w:val="none" w:sz="0" w:space="0" w:color="auto"/>
        <w:bottom w:val="none" w:sz="0" w:space="0" w:color="auto"/>
        <w:right w:val="none" w:sz="0" w:space="0" w:color="auto"/>
      </w:divBdr>
      <w:divsChild>
        <w:div w:id="20824867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2284325">
              <w:marLeft w:val="0"/>
              <w:marRight w:val="0"/>
              <w:marTop w:val="0"/>
              <w:marBottom w:val="0"/>
              <w:divBdr>
                <w:top w:val="none" w:sz="0" w:space="0" w:color="auto"/>
                <w:left w:val="none" w:sz="0" w:space="0" w:color="auto"/>
                <w:bottom w:val="none" w:sz="0" w:space="0" w:color="auto"/>
                <w:right w:val="none" w:sz="0" w:space="0" w:color="auto"/>
              </w:divBdr>
              <w:divsChild>
                <w:div w:id="921521743">
                  <w:marLeft w:val="0"/>
                  <w:marRight w:val="0"/>
                  <w:marTop w:val="0"/>
                  <w:marBottom w:val="0"/>
                  <w:divBdr>
                    <w:top w:val="none" w:sz="0" w:space="0" w:color="auto"/>
                    <w:left w:val="none" w:sz="0" w:space="0" w:color="auto"/>
                    <w:bottom w:val="none" w:sz="0" w:space="0" w:color="auto"/>
                    <w:right w:val="none" w:sz="0" w:space="0" w:color="auto"/>
                  </w:divBdr>
                  <w:divsChild>
                    <w:div w:id="18388385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236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5814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4.png"/><Relationship Id="rId42" Type="http://schemas.microsoft.com/office/2007/relationships/hdphoto" Target="media/hdphoto13.wdp"/><Relationship Id="rId47" Type="http://schemas.openxmlformats.org/officeDocument/2006/relationships/image" Target="media/image18.png"/><Relationship Id="rId63" Type="http://schemas.openxmlformats.org/officeDocument/2006/relationships/image" Target="media/image27.png"/><Relationship Id="rId68" Type="http://schemas.microsoft.com/office/2007/relationships/hdphoto" Target="media/hdphoto25.wdp"/><Relationship Id="rId84" Type="http://schemas.openxmlformats.org/officeDocument/2006/relationships/image" Target="media/image32.png"/><Relationship Id="rId89" Type="http://schemas.openxmlformats.org/officeDocument/2006/relationships/theme" Target="theme/theme1.xml"/><Relationship Id="rId16" Type="http://schemas.microsoft.com/office/2007/relationships/hdphoto" Target="media/hdphoto1.wdp"/><Relationship Id="rId11" Type="http://schemas.openxmlformats.org/officeDocument/2006/relationships/hyperlink" Target="mailto:notificaciones@gha.com.co" TargetMode="External"/><Relationship Id="rId32" Type="http://schemas.microsoft.com/office/2007/relationships/hdphoto" Target="media/hdphoto8.wdp"/><Relationship Id="rId37" Type="http://schemas.openxmlformats.org/officeDocument/2006/relationships/image" Target="media/image13.png"/><Relationship Id="rId53" Type="http://schemas.openxmlformats.org/officeDocument/2006/relationships/image" Target="media/image21.png"/><Relationship Id="rId58" Type="http://schemas.microsoft.com/office/2007/relationships/hdphoto" Target="media/hdphoto20.wdp"/><Relationship Id="rId74" Type="http://schemas.openxmlformats.org/officeDocument/2006/relationships/hyperlink" Target="https://gha2-my.sharepoint.com/:f:/g/personal/notificaciones_gha_com_co/Eu_38s9MmWBLjfYjGUu8BE0BZItd2MCjebcjDXPx9zBlrA?e=fcFSzP" TargetMode="External"/><Relationship Id="rId79" Type="http://schemas.openxmlformats.org/officeDocument/2006/relationships/hyperlink" Target="mailto:asaguirres@yahoo.com.mx" TargetMode="External"/><Relationship Id="rId5" Type="http://schemas.openxmlformats.org/officeDocument/2006/relationships/settings" Target="settings.xml"/><Relationship Id="rId90" Type="http://schemas.microsoft.com/office/2016/09/relationships/commentsIds" Target="commentsIds.xml"/><Relationship Id="rId22" Type="http://schemas.openxmlformats.org/officeDocument/2006/relationships/image" Target="media/image5.png"/><Relationship Id="rId27" Type="http://schemas.openxmlformats.org/officeDocument/2006/relationships/image" Target="media/image8.png"/><Relationship Id="rId43" Type="http://schemas.openxmlformats.org/officeDocument/2006/relationships/image" Target="media/image16.png"/><Relationship Id="rId48" Type="http://schemas.microsoft.com/office/2007/relationships/hdphoto" Target="media/hdphoto16.wdp"/><Relationship Id="rId64" Type="http://schemas.microsoft.com/office/2007/relationships/hdphoto" Target="media/hdphoto23.wdp"/><Relationship Id="rId69" Type="http://schemas.openxmlformats.org/officeDocument/2006/relationships/image" Target="media/image30.png"/><Relationship Id="rId8" Type="http://schemas.openxmlformats.org/officeDocument/2006/relationships/endnotes" Target="endnotes.xml"/><Relationship Id="rId51" Type="http://schemas.openxmlformats.org/officeDocument/2006/relationships/image" Target="media/image20.png"/><Relationship Id="rId72" Type="http://schemas.microsoft.com/office/2007/relationships/hdphoto" Target="media/hdphoto27.wdp"/><Relationship Id="rId80" Type="http://schemas.openxmlformats.org/officeDocument/2006/relationships/hyperlink" Target="mailto:notificaciones@gha.com.co" TargetMode="External"/><Relationship Id="rId85" Type="http://schemas.openxmlformats.org/officeDocument/2006/relationships/hyperlink" Target="mailto:notificaciones@gha.com.co" TargetMode="External"/><Relationship Id="rId93" Type="http://schemas.microsoft.com/office/2011/relationships/people" Target="people.xml"/><Relationship Id="rId3" Type="http://schemas.openxmlformats.org/officeDocument/2006/relationships/styles" Target="styles.xml"/><Relationship Id="rId12" Type="http://schemas.openxmlformats.org/officeDocument/2006/relationships/hyperlink" Target="mailto:notificacionesjudiciales@supersociedades.gov.co" TargetMode="Externa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1.pn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image" Target="media/image25.png"/><Relationship Id="rId67" Type="http://schemas.openxmlformats.org/officeDocument/2006/relationships/image" Target="media/image29.png"/><Relationship Id="rId20" Type="http://schemas.microsoft.com/office/2007/relationships/hdphoto" Target="media/hdphoto3.wdp"/><Relationship Id="rId41" Type="http://schemas.openxmlformats.org/officeDocument/2006/relationships/image" Target="media/image15.png"/><Relationship Id="rId54" Type="http://schemas.openxmlformats.org/officeDocument/2006/relationships/image" Target="media/image22.png"/><Relationship Id="rId62" Type="http://schemas.microsoft.com/office/2007/relationships/hdphoto" Target="media/hdphoto22.wdp"/><Relationship Id="rId70" Type="http://schemas.microsoft.com/office/2007/relationships/hdphoto" Target="media/hdphoto26.wdp"/><Relationship Id="rId75" Type="http://schemas.openxmlformats.org/officeDocument/2006/relationships/hyperlink" Target="https://gha2-my.sharepoint.com/personal/notificaciones_gha_com_co/_layouts/15/onedrive.aspx?id=%2Fpersonal%2Fnotificaciones%5Fgha%5Fcom%5Fco%2FDocuments%2FPRUEBAS%20SOLICITUD%20DE%20REMOCI%C3%93N%20LIQUIDADOR%20MULTIPOLIMEROS&amp;ga=1" TargetMode="External"/><Relationship Id="rId83" Type="http://schemas.openxmlformats.org/officeDocument/2006/relationships/hyperlink" Target="mailto:pmercantiles@supersociedades.gov.co" TargetMode="External"/><Relationship Id="rId88" Type="http://schemas.openxmlformats.org/officeDocument/2006/relationships/fontTable" Target="fontTable.xml"/><Relationship Id="rId9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6.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19.png"/><Relationship Id="rId57" Type="http://schemas.openxmlformats.org/officeDocument/2006/relationships/image" Target="media/image24.png"/><Relationship Id="rId10" Type="http://schemas.openxmlformats.org/officeDocument/2006/relationships/hyperlink" Target="mailto:cmhv1961@icloud.com" TargetMode="External"/><Relationship Id="rId31" Type="http://schemas.openxmlformats.org/officeDocument/2006/relationships/image" Target="media/image10.png"/><Relationship Id="rId44" Type="http://schemas.microsoft.com/office/2007/relationships/hdphoto" Target="media/hdphoto14.wdp"/><Relationship Id="rId52" Type="http://schemas.microsoft.com/office/2007/relationships/hdphoto" Target="media/hdphoto18.wdp"/><Relationship Id="rId60" Type="http://schemas.microsoft.com/office/2007/relationships/hdphoto" Target="media/hdphoto21.wdp"/><Relationship Id="rId65" Type="http://schemas.openxmlformats.org/officeDocument/2006/relationships/image" Target="media/image28.png"/><Relationship Id="rId73" Type="http://schemas.openxmlformats.org/officeDocument/2006/relationships/hyperlink" Target="https://gha2-my.sharepoint.com/:f:/g/personal/notificaciones_gha_com_co/EnPRdIc_NKNLqUvckR-RbnMBsufcNjIpNAIEzBlzHGn-GQ?e=yGKSxK" TargetMode="External"/><Relationship Id="rId78" Type="http://schemas.openxmlformats.org/officeDocument/2006/relationships/hyperlink" Target="mailto:olgaluciabl@hotmail.com" TargetMode="External"/><Relationship Id="rId81" Type="http://schemas.openxmlformats.org/officeDocument/2006/relationships/hyperlink" Target="mailto:notificacionesjudiciales@supersociedades.gov.co" TargetMode="External"/><Relationship Id="rId86"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mailto:repartoadtivoscali@cendoj.ramajudicial.gov.co" TargetMode="External"/><Relationship Id="rId13" Type="http://schemas.openxmlformats.org/officeDocument/2006/relationships/hyperlink" Target="mailto:webmaster@supersociedades.gov.co" TargetMode="External"/><Relationship Id="rId18" Type="http://schemas.microsoft.com/office/2007/relationships/hdphoto" Target="media/hdphoto2.wdp"/><Relationship Id="rId39" Type="http://schemas.openxmlformats.org/officeDocument/2006/relationships/image" Target="media/image14.png"/><Relationship Id="rId34" Type="http://schemas.microsoft.com/office/2007/relationships/hdphoto" Target="media/hdphoto9.wdp"/><Relationship Id="rId50" Type="http://schemas.microsoft.com/office/2007/relationships/hdphoto" Target="media/hdphoto17.wdp"/><Relationship Id="rId55" Type="http://schemas.openxmlformats.org/officeDocument/2006/relationships/image" Target="media/image23.png"/><Relationship Id="rId76" Type="http://schemas.openxmlformats.org/officeDocument/2006/relationships/hyperlink" Target="mailto:obdiazb51@gmail.com" TargetMode="External"/><Relationship Id="rId7" Type="http://schemas.openxmlformats.org/officeDocument/2006/relationships/footnotes" Target="footnotes.xml"/><Relationship Id="rId71" Type="http://schemas.openxmlformats.org/officeDocument/2006/relationships/image" Target="media/image31.png"/><Relationship Id="rId92" Type="http://schemas.microsoft.com/office/2011/relationships/commentsExtended" Target="commentsExtended.xml"/><Relationship Id="rId2" Type="http://schemas.openxmlformats.org/officeDocument/2006/relationships/numbering" Target="numbering.xml"/><Relationship Id="rId29" Type="http://schemas.openxmlformats.org/officeDocument/2006/relationships/image" Target="media/image9.png"/><Relationship Id="rId24" Type="http://schemas.microsoft.com/office/2007/relationships/hdphoto" Target="media/hdphoto4.wdp"/><Relationship Id="rId40" Type="http://schemas.microsoft.com/office/2007/relationships/hdphoto" Target="media/hdphoto12.wdp"/><Relationship Id="rId45" Type="http://schemas.openxmlformats.org/officeDocument/2006/relationships/image" Target="media/image17.png"/><Relationship Id="rId66" Type="http://schemas.microsoft.com/office/2007/relationships/hdphoto" Target="media/hdphoto24.wdp"/><Relationship Id="rId87" Type="http://schemas.openxmlformats.org/officeDocument/2006/relationships/footer" Target="footer1.xml"/><Relationship Id="rId61" Type="http://schemas.openxmlformats.org/officeDocument/2006/relationships/image" Target="media/image26.png"/><Relationship Id="rId82" Type="http://schemas.openxmlformats.org/officeDocument/2006/relationships/hyperlink" Target="mailto:webmaster@supersociedades.gov.co" TargetMode="External"/><Relationship Id="rId19" Type="http://schemas.openxmlformats.org/officeDocument/2006/relationships/image" Target="media/image3.png"/><Relationship Id="rId14" Type="http://schemas.openxmlformats.org/officeDocument/2006/relationships/hyperlink" Target="mailto:pmercantiles@supersociedades.gov.co" TargetMode="External"/><Relationship Id="rId30" Type="http://schemas.microsoft.com/office/2007/relationships/hdphoto" Target="media/hdphoto7.wdp"/><Relationship Id="rId35" Type="http://schemas.openxmlformats.org/officeDocument/2006/relationships/image" Target="media/image12.png"/><Relationship Id="rId56" Type="http://schemas.microsoft.com/office/2007/relationships/hdphoto" Target="media/hdphoto19.wdp"/><Relationship Id="rId77" Type="http://schemas.openxmlformats.org/officeDocument/2006/relationships/hyperlink" Target="mailto:arg@legalcorpabogados.com"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34.png"/></Relationships>
</file>

<file path=word/_rels/footnotes.xml.rels><?xml version="1.0" encoding="UTF-8" standalone="yes"?>
<Relationships xmlns="http://schemas.openxmlformats.org/package/2006/relationships"><Relationship Id="rId1" Type="http://schemas.openxmlformats.org/officeDocument/2006/relationships/hyperlink" Target="https://xperta.legis.co/visor/jurcol/jurcol_ed126b9ae1574e99a90b97cd4007459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G:\Documentos%20GHA\Diligencias%20a%20Cargo\121.-%20Rad.%20PRF%2020-22%20Pronunciamiento%20Imputaci&#243;n%209%20y%2013%20Marzo%202023\Membrete%20uso%20jur&#237;dico-GH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EB08F1-83B7-4FF3-A681-BA3765DD93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Membrete uso jurídico-GHA</Template>
  <TotalTime>1869</TotalTime>
  <Pages>38</Pages>
  <Words>16036</Words>
  <Characters>88200</Characters>
  <Application>Microsoft Office Word</Application>
  <DocSecurity>0</DocSecurity>
  <Lines>735</Lines>
  <Paragraphs>208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104028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David Leonardo Gómez Delgado</cp:lastModifiedBy>
  <cp:revision>117</cp:revision>
  <cp:lastPrinted>2024-06-25T20:39:00Z</cp:lastPrinted>
  <dcterms:created xsi:type="dcterms:W3CDTF">2024-05-08T18:32:00Z</dcterms:created>
  <dcterms:modified xsi:type="dcterms:W3CDTF">2024-06-25T20:39:00Z</dcterms:modified>
</cp:coreProperties>
</file>