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7AFAB" w14:textId="4F3F4387" w:rsidR="002868C9" w:rsidRPr="00C02731" w:rsidRDefault="002868C9" w:rsidP="00F104D8">
      <w:pPr>
        <w:spacing w:line="360" w:lineRule="auto"/>
        <w:rPr>
          <w:rFonts w:ascii="Arial" w:eastAsia="Arial" w:hAnsi="Arial" w:cs="Arial"/>
        </w:rPr>
      </w:pPr>
      <w:r w:rsidRPr="00C02731">
        <w:rPr>
          <w:rFonts w:ascii="Arial" w:eastAsia="Arial" w:hAnsi="Arial" w:cs="Arial"/>
        </w:rPr>
        <w:t>Doctora</w:t>
      </w:r>
      <w:r w:rsidRPr="00C02731">
        <w:rPr>
          <w:rFonts w:ascii="Arial" w:hAnsi="Arial" w:cs="Arial"/>
        </w:rPr>
        <w:br/>
      </w:r>
      <w:r w:rsidRPr="00C02731">
        <w:rPr>
          <w:rFonts w:ascii="Arial" w:eastAsia="Arial" w:hAnsi="Arial" w:cs="Arial"/>
          <w:b/>
          <w:bCs/>
        </w:rPr>
        <w:t xml:space="preserve">GLORIA MILENA PAREDES ROJAS </w:t>
      </w:r>
      <w:r w:rsidRPr="00C02731">
        <w:rPr>
          <w:rFonts w:ascii="Arial" w:hAnsi="Arial" w:cs="Arial"/>
        </w:rPr>
        <w:br/>
      </w:r>
      <w:r w:rsidRPr="00C02731">
        <w:rPr>
          <w:rFonts w:ascii="Arial" w:eastAsia="Arial" w:hAnsi="Arial" w:cs="Arial"/>
          <w:b/>
          <w:bCs/>
        </w:rPr>
        <w:t>JUZGADO QUINTO ADMINISTRATIVO DEL CIRCUITO DE POPAYÁN</w:t>
      </w:r>
      <w:r w:rsidRPr="00C02731">
        <w:rPr>
          <w:rFonts w:ascii="Arial" w:hAnsi="Arial" w:cs="Arial"/>
        </w:rPr>
        <w:br/>
      </w:r>
      <w:hyperlink r:id="rId8">
        <w:r w:rsidRPr="00C02731">
          <w:rPr>
            <w:rStyle w:val="Hipervnculo"/>
            <w:rFonts w:ascii="Arial" w:eastAsia="Arial" w:hAnsi="Arial" w:cs="Arial"/>
            <w:color w:val="auto"/>
          </w:rPr>
          <w:t>j05admpayan@cendoj.ramajudicial.gov.co</w:t>
        </w:r>
      </w:hyperlink>
      <w:r w:rsidRPr="00C02731">
        <w:rPr>
          <w:rFonts w:ascii="Arial" w:eastAsia="Arial" w:hAnsi="Arial" w:cs="Arial"/>
        </w:rPr>
        <w:t xml:space="preserve"> </w:t>
      </w:r>
      <w:r w:rsidRPr="00C02731">
        <w:rPr>
          <w:rFonts w:ascii="Arial" w:hAnsi="Arial" w:cs="Arial"/>
        </w:rPr>
        <w:br/>
      </w:r>
      <w:r w:rsidRPr="00C02731">
        <w:rPr>
          <w:rFonts w:ascii="Arial" w:eastAsia="Arial" w:hAnsi="Arial" w:cs="Arial"/>
        </w:rPr>
        <w:t xml:space="preserve">E.S.D. </w:t>
      </w:r>
    </w:p>
    <w:p w14:paraId="61AB06E4" w14:textId="77777777" w:rsidR="002868C9" w:rsidRPr="00C02731" w:rsidRDefault="002868C9" w:rsidP="00F104D8">
      <w:pPr>
        <w:spacing w:line="360" w:lineRule="auto"/>
        <w:rPr>
          <w:rFonts w:ascii="Arial" w:eastAsia="Arial" w:hAnsi="Arial" w:cs="Arial"/>
        </w:rPr>
      </w:pPr>
    </w:p>
    <w:p w14:paraId="79343583" w14:textId="4989B6B7" w:rsidR="002868C9" w:rsidRPr="00C02731" w:rsidRDefault="002868C9" w:rsidP="00F104D8">
      <w:pPr>
        <w:spacing w:line="360" w:lineRule="auto"/>
        <w:ind w:left="708"/>
        <w:rPr>
          <w:rFonts w:ascii="Arial" w:eastAsia="Arial" w:hAnsi="Arial" w:cs="Arial"/>
        </w:rPr>
      </w:pPr>
      <w:r w:rsidRPr="00C02731">
        <w:rPr>
          <w:rFonts w:ascii="Arial" w:eastAsia="Arial" w:hAnsi="Arial" w:cs="Arial"/>
          <w:b/>
          <w:bCs/>
        </w:rPr>
        <w:t xml:space="preserve">REFERENCIA: </w:t>
      </w:r>
      <w:r w:rsidRPr="00C02731">
        <w:rPr>
          <w:rFonts w:ascii="Arial" w:eastAsia="Arial" w:hAnsi="Arial" w:cs="Arial"/>
        </w:rPr>
        <w:t>PRONUNCIAMIENTO</w:t>
      </w:r>
      <w:r w:rsidR="0034140F">
        <w:rPr>
          <w:rFonts w:ascii="Arial" w:eastAsia="Arial" w:hAnsi="Arial" w:cs="Arial"/>
        </w:rPr>
        <w:t xml:space="preserve"> FRENTE A LAS EXCEPCIONES DE LA DEMANDA</w:t>
      </w:r>
      <w:r w:rsidRPr="00C02731">
        <w:rPr>
          <w:rFonts w:ascii="Arial" w:eastAsia="Arial" w:hAnsi="Arial" w:cs="Arial"/>
        </w:rPr>
        <w:t xml:space="preserve"> </w:t>
      </w:r>
      <w:r w:rsidRPr="00C02731">
        <w:rPr>
          <w:rFonts w:ascii="Arial" w:hAnsi="Arial" w:cs="Arial"/>
        </w:rPr>
        <w:br/>
      </w:r>
      <w:r w:rsidRPr="00C02731">
        <w:rPr>
          <w:rFonts w:ascii="Arial" w:eastAsia="Arial" w:hAnsi="Arial" w:cs="Arial"/>
          <w:b/>
          <w:bCs/>
        </w:rPr>
        <w:t>PROCESO:</w:t>
      </w:r>
      <w:r w:rsidRPr="00C02731">
        <w:rPr>
          <w:rFonts w:ascii="Arial" w:eastAsia="Arial" w:hAnsi="Arial" w:cs="Arial"/>
        </w:rPr>
        <w:t xml:space="preserve"> NULIDAD Y RESTABLECIMIENTO DEL DERECHO</w:t>
      </w:r>
      <w:r w:rsidRPr="00C02731">
        <w:rPr>
          <w:rFonts w:ascii="Arial" w:hAnsi="Arial" w:cs="Arial"/>
        </w:rPr>
        <w:br/>
      </w:r>
      <w:r w:rsidRPr="00C02731">
        <w:rPr>
          <w:rFonts w:ascii="Arial" w:eastAsia="Arial" w:hAnsi="Arial" w:cs="Arial"/>
          <w:b/>
          <w:bCs/>
        </w:rPr>
        <w:t xml:space="preserve">RADICACIÓN: </w:t>
      </w:r>
      <w:r w:rsidRPr="00C02731">
        <w:rPr>
          <w:rFonts w:ascii="Arial" w:eastAsia="Arial" w:hAnsi="Arial" w:cs="Arial"/>
        </w:rPr>
        <w:t>19001-33-33-005-00-</w:t>
      </w:r>
      <w:r w:rsidRPr="0034140F">
        <w:rPr>
          <w:rFonts w:ascii="Arial" w:eastAsia="Arial" w:hAnsi="Arial" w:cs="Arial"/>
          <w:b/>
          <w:u w:val="single"/>
        </w:rPr>
        <w:t>2024-00106</w:t>
      </w:r>
      <w:r w:rsidRPr="00C02731">
        <w:rPr>
          <w:rFonts w:ascii="Arial" w:eastAsia="Arial" w:hAnsi="Arial" w:cs="Arial"/>
        </w:rPr>
        <w:t>-00</w:t>
      </w:r>
      <w:r w:rsidRPr="00C02731">
        <w:rPr>
          <w:rFonts w:ascii="Arial" w:hAnsi="Arial" w:cs="Arial"/>
        </w:rPr>
        <w:br/>
      </w:r>
      <w:r w:rsidRPr="00C02731">
        <w:rPr>
          <w:rFonts w:ascii="Arial" w:eastAsia="Arial" w:hAnsi="Arial" w:cs="Arial"/>
          <w:b/>
          <w:bCs/>
        </w:rPr>
        <w:t xml:space="preserve">DEMANDANTE: </w:t>
      </w:r>
      <w:r w:rsidRPr="00C02731">
        <w:rPr>
          <w:rFonts w:ascii="Arial" w:eastAsia="Arial" w:hAnsi="Arial" w:cs="Arial"/>
        </w:rPr>
        <w:t xml:space="preserve">ASEGURADORA SOLIDARIA DE COLOMBIA E.C. </w:t>
      </w:r>
      <w:r w:rsidRPr="00C02731">
        <w:rPr>
          <w:rFonts w:ascii="Arial" w:hAnsi="Arial" w:cs="Arial"/>
        </w:rPr>
        <w:br/>
      </w:r>
      <w:r w:rsidRPr="00C02731">
        <w:rPr>
          <w:rFonts w:ascii="Arial" w:eastAsia="Arial" w:hAnsi="Arial" w:cs="Arial"/>
          <w:b/>
          <w:bCs/>
        </w:rPr>
        <w:t xml:space="preserve">DEMANDADO: </w:t>
      </w:r>
      <w:r w:rsidRPr="00C02731">
        <w:rPr>
          <w:rFonts w:ascii="Arial" w:eastAsia="Arial" w:hAnsi="Arial" w:cs="Arial"/>
        </w:rPr>
        <w:t xml:space="preserve">NACIÓN-CONTRALORÍA GENERAL DE LA REPÚBLICA-GERENCIA DEPARTAMENTAL COLEGIADA DEL CAUCA- UNIDAD DE RESPONSABILIDAD FISCAL - CONTRALORÍA DELEGADA PARA LA RESPONSABILIDAD FISCAL, INTERVENCIÓN JUDICIAL Y COBRO COACTIVO </w:t>
      </w:r>
    </w:p>
    <w:p w14:paraId="62F5D6E0" w14:textId="77777777" w:rsidR="002868C9" w:rsidRPr="00C02731" w:rsidRDefault="002868C9" w:rsidP="00F104D8">
      <w:pPr>
        <w:spacing w:line="360" w:lineRule="auto"/>
        <w:rPr>
          <w:rFonts w:ascii="Arial" w:eastAsia="Arial" w:hAnsi="Arial" w:cs="Arial"/>
        </w:rPr>
      </w:pPr>
    </w:p>
    <w:p w14:paraId="26F28EBB" w14:textId="0725A5E9" w:rsidR="0034140F" w:rsidRDefault="002868C9" w:rsidP="00F104D8">
      <w:pPr>
        <w:spacing w:line="360" w:lineRule="auto"/>
        <w:jc w:val="both"/>
        <w:rPr>
          <w:rFonts w:ascii="Arial" w:eastAsia="Arial" w:hAnsi="Arial" w:cs="Arial"/>
        </w:rPr>
      </w:pPr>
      <w:bookmarkStart w:id="0" w:name="_Int_8lZmcKrb"/>
      <w:r w:rsidRPr="00C02731">
        <w:rPr>
          <w:rFonts w:ascii="Arial" w:eastAsia="Arial" w:hAnsi="Arial" w:cs="Arial"/>
          <w:b/>
          <w:bCs/>
        </w:rPr>
        <w:t>GUSTAVO ALBERTO HERRERA ÁVILA</w:t>
      </w:r>
      <w:r w:rsidRPr="00C02731">
        <w:rPr>
          <w:rFonts w:ascii="Arial" w:eastAsia="Arial" w:hAnsi="Arial" w:cs="Arial"/>
        </w:rPr>
        <w:t>, identificado con cédula de ciudadanía No. 19.395.114 de Bogotá, abogado titulado y en ejercicio, portador de la tarjeta profesional No. 39.116 del Consejo Superior de la Judicatura,</w:t>
      </w:r>
      <w:r w:rsidR="0034140F">
        <w:rPr>
          <w:rFonts w:ascii="Arial" w:eastAsia="Arial" w:hAnsi="Arial" w:cs="Arial"/>
        </w:rPr>
        <w:t xml:space="preserve"> reconocido en el proceso de la referencia como apoderado especial de la parte demandante </w:t>
      </w:r>
      <w:r w:rsidRPr="00C02731">
        <w:rPr>
          <w:rFonts w:ascii="Arial" w:eastAsia="Arial" w:hAnsi="Arial" w:cs="Arial"/>
          <w:b/>
          <w:bCs/>
        </w:rPr>
        <w:t>ASEGURADORA SOLIDARIA DE COLOMBIA E.C.</w:t>
      </w:r>
      <w:r w:rsidR="0034140F">
        <w:rPr>
          <w:rFonts w:ascii="Arial" w:eastAsia="Arial" w:hAnsi="Arial" w:cs="Arial"/>
        </w:rPr>
        <w:t xml:space="preserve">, por medio del presente escrito y dentro del término de Ley, </w:t>
      </w:r>
      <w:r w:rsidR="0034140F" w:rsidRPr="0034140F">
        <w:rPr>
          <w:rFonts w:ascii="Arial" w:eastAsia="Arial" w:hAnsi="Arial" w:cs="Arial"/>
          <w:b/>
        </w:rPr>
        <w:t>DESCORRO</w:t>
      </w:r>
      <w:r w:rsidR="0034140F">
        <w:rPr>
          <w:rFonts w:ascii="Arial" w:eastAsia="Arial" w:hAnsi="Arial" w:cs="Arial"/>
        </w:rPr>
        <w:t xml:space="preserve"> el traslado de las excepción propuestas por el apoderado judicial de la Nación-Contraloría General de la República, en los siguientes términos:</w:t>
      </w:r>
      <w:r w:rsidRPr="00C02731">
        <w:rPr>
          <w:rFonts w:ascii="Arial" w:eastAsia="Arial" w:hAnsi="Arial" w:cs="Arial"/>
        </w:rPr>
        <w:t xml:space="preserve"> </w:t>
      </w:r>
    </w:p>
    <w:bookmarkEnd w:id="0"/>
    <w:p w14:paraId="5A3C4312" w14:textId="77777777" w:rsidR="002868C9" w:rsidRPr="00C02731" w:rsidRDefault="002868C9" w:rsidP="00F104D8">
      <w:pPr>
        <w:spacing w:line="360" w:lineRule="auto"/>
        <w:jc w:val="both"/>
        <w:rPr>
          <w:rFonts w:ascii="Arial" w:eastAsia="Arial" w:hAnsi="Arial" w:cs="Arial"/>
        </w:rPr>
      </w:pPr>
    </w:p>
    <w:p w14:paraId="400CB8A5" w14:textId="77777777" w:rsidR="002868C9" w:rsidRPr="00C02731" w:rsidRDefault="002868C9" w:rsidP="00F104D8">
      <w:pPr>
        <w:spacing w:line="360" w:lineRule="auto"/>
        <w:jc w:val="center"/>
        <w:rPr>
          <w:rFonts w:ascii="Arial" w:eastAsia="Arial" w:hAnsi="Arial" w:cs="Arial"/>
        </w:rPr>
      </w:pPr>
      <w:r w:rsidRPr="00C02731">
        <w:rPr>
          <w:rFonts w:ascii="Arial" w:eastAsia="Arial" w:hAnsi="Arial" w:cs="Arial"/>
          <w:b/>
          <w:bCs/>
          <w:u w:val="single"/>
        </w:rPr>
        <w:t>CAPÍTULO I. OPORTUNIDAD</w:t>
      </w:r>
      <w:r w:rsidRPr="00C02731">
        <w:rPr>
          <w:rFonts w:ascii="Arial" w:eastAsia="Arial" w:hAnsi="Arial" w:cs="Arial"/>
        </w:rPr>
        <w:t xml:space="preserve"> </w:t>
      </w:r>
    </w:p>
    <w:p w14:paraId="65A8AA39" w14:textId="77777777" w:rsidR="0034140F" w:rsidRDefault="0034140F" w:rsidP="00F104D8">
      <w:pPr>
        <w:spacing w:line="360" w:lineRule="auto"/>
        <w:jc w:val="both"/>
        <w:rPr>
          <w:rFonts w:ascii="Arial" w:eastAsia="Arial" w:hAnsi="Arial" w:cs="Arial"/>
        </w:rPr>
      </w:pPr>
    </w:p>
    <w:p w14:paraId="11640B3A" w14:textId="67DF20D5" w:rsidR="002868C9" w:rsidRPr="0034140F" w:rsidRDefault="0034140F" w:rsidP="00F104D8">
      <w:pPr>
        <w:spacing w:line="360" w:lineRule="auto"/>
        <w:jc w:val="both"/>
        <w:rPr>
          <w:rFonts w:ascii="Arial" w:eastAsia="Arial" w:hAnsi="Arial" w:cs="Arial"/>
          <w:i/>
        </w:rPr>
      </w:pPr>
      <w:r>
        <w:rPr>
          <w:rFonts w:ascii="Arial" w:eastAsia="Arial" w:hAnsi="Arial" w:cs="Arial"/>
        </w:rPr>
        <w:t xml:space="preserve">El parágrafo 2 del artículo 175 de la Ley 1437 de 2011, modificado por el artículo 38 de la Ley 2080 de 2021, establece que: </w:t>
      </w:r>
      <w:r w:rsidRPr="0034140F">
        <w:rPr>
          <w:rFonts w:ascii="Arial" w:eastAsia="Arial" w:hAnsi="Arial" w:cs="Arial"/>
          <w:i/>
        </w:rPr>
        <w:t xml:space="preserve">“De las excepciones presentadas se correrá traslado en la forma prevista en el artículo 201A </w:t>
      </w:r>
      <w:r w:rsidRPr="0034140F">
        <w:rPr>
          <w:rFonts w:ascii="Arial" w:eastAsia="Arial" w:hAnsi="Arial" w:cs="Arial"/>
          <w:b/>
          <w:i/>
        </w:rPr>
        <w:t>por el término de tres (3) días…”</w:t>
      </w:r>
      <w:r>
        <w:rPr>
          <w:rFonts w:ascii="Arial" w:eastAsia="Arial" w:hAnsi="Arial" w:cs="Arial"/>
          <w:b/>
          <w:i/>
        </w:rPr>
        <w:t xml:space="preserve"> </w:t>
      </w:r>
      <w:r>
        <w:rPr>
          <w:rFonts w:ascii="Arial" w:eastAsia="Arial" w:hAnsi="Arial" w:cs="Arial"/>
        </w:rPr>
        <w:t>(Negrita adrede).</w:t>
      </w:r>
      <w:r w:rsidRPr="0034140F">
        <w:rPr>
          <w:rFonts w:ascii="Arial" w:eastAsia="Arial" w:hAnsi="Arial" w:cs="Arial"/>
          <w:i/>
        </w:rPr>
        <w:t xml:space="preserve"> </w:t>
      </w:r>
    </w:p>
    <w:p w14:paraId="1E3CD8B1" w14:textId="77777777" w:rsidR="00052EC7" w:rsidRDefault="00052EC7" w:rsidP="00F104D8">
      <w:pPr>
        <w:spacing w:line="360" w:lineRule="auto"/>
        <w:jc w:val="both"/>
        <w:rPr>
          <w:rFonts w:ascii="Arial" w:eastAsia="Arial" w:hAnsi="Arial" w:cs="Arial"/>
        </w:rPr>
      </w:pPr>
    </w:p>
    <w:p w14:paraId="56EDFFB6" w14:textId="1F51CF73" w:rsidR="00EF09B1" w:rsidRDefault="0034140F" w:rsidP="00F104D8">
      <w:pPr>
        <w:spacing w:line="360" w:lineRule="auto"/>
        <w:jc w:val="both"/>
        <w:rPr>
          <w:rFonts w:ascii="Arial" w:eastAsia="Arial" w:hAnsi="Arial" w:cs="Arial"/>
          <w:i/>
        </w:rPr>
      </w:pPr>
      <w:r>
        <w:rPr>
          <w:rFonts w:ascii="Arial" w:eastAsia="Arial" w:hAnsi="Arial" w:cs="Arial"/>
        </w:rPr>
        <w:t xml:space="preserve">Por su parte, el artículo 201 del CPACA, adicionado por el artículo 51 de la aludida Ley 2080 de 2021, refiere lo siguiente: </w:t>
      </w:r>
      <w:r w:rsidRPr="00EF09B1">
        <w:rPr>
          <w:rFonts w:ascii="Arial" w:eastAsia="Arial" w:hAnsi="Arial" w:cs="Arial"/>
          <w:i/>
        </w:rPr>
        <w:t>“</w:t>
      </w:r>
      <w:r w:rsidR="00EF09B1" w:rsidRPr="00EF09B1">
        <w:rPr>
          <w:rFonts w:ascii="Arial" w:eastAsia="Arial" w:hAnsi="Arial" w:cs="Arial"/>
          <w:i/>
        </w:rPr>
        <w:t>Los traslados deberán hacerse de la misma forma en que se fijan los estados. Sin embargo, cuando una parte acredite haber enviado un escrito del cual deba correrse traslado a los demás sujetos procesales, mediante la remisión de la copia por un canal digital, se prescindirá del traslado por secretaría, el cual se entenderá realizado a los dos (2) días hábiles siguientes al del envío del mensaje y el término respectivo comenzará a correr a partir del día siguiente.”</w:t>
      </w:r>
    </w:p>
    <w:p w14:paraId="589DD9D2" w14:textId="77777777" w:rsidR="00052EC7" w:rsidRDefault="00052EC7" w:rsidP="00F104D8">
      <w:pPr>
        <w:spacing w:line="360" w:lineRule="auto"/>
        <w:jc w:val="both"/>
        <w:rPr>
          <w:rFonts w:ascii="Arial" w:eastAsia="Arial" w:hAnsi="Arial" w:cs="Arial"/>
          <w:i/>
        </w:rPr>
      </w:pPr>
    </w:p>
    <w:p w14:paraId="0377CBA7" w14:textId="75043FBF" w:rsidR="00EF09B1" w:rsidRDefault="00EF09B1" w:rsidP="00F104D8">
      <w:pPr>
        <w:spacing w:line="360" w:lineRule="auto"/>
        <w:jc w:val="both"/>
        <w:rPr>
          <w:rFonts w:ascii="Arial" w:eastAsia="Arial" w:hAnsi="Arial" w:cs="Arial"/>
        </w:rPr>
      </w:pPr>
      <w:r>
        <w:rPr>
          <w:rFonts w:ascii="Arial" w:eastAsia="Arial" w:hAnsi="Arial" w:cs="Arial"/>
        </w:rPr>
        <w:t>En este caso, la parte demandada radicó ante el despacho el escrito de contestación a la demanda</w:t>
      </w:r>
      <w:r w:rsidR="00A5236E">
        <w:rPr>
          <w:rFonts w:ascii="Arial" w:eastAsia="Arial" w:hAnsi="Arial" w:cs="Arial"/>
        </w:rPr>
        <w:t xml:space="preserve"> el pasado jueves 18 de julio de 2024, y del mismo se remitió una copia al correo de notificaciones del suscrito, como se obser</w:t>
      </w:r>
      <w:r w:rsidR="00F104D8">
        <w:rPr>
          <w:rFonts w:ascii="Arial" w:eastAsia="Arial" w:hAnsi="Arial" w:cs="Arial"/>
        </w:rPr>
        <w:t xml:space="preserve">va: </w:t>
      </w:r>
    </w:p>
    <w:p w14:paraId="0A278294" w14:textId="3ABA3CC8" w:rsidR="00A5236E" w:rsidRDefault="001538F2" w:rsidP="00F104D8">
      <w:pPr>
        <w:spacing w:line="360" w:lineRule="auto"/>
        <w:jc w:val="both"/>
        <w:rPr>
          <w:rFonts w:ascii="Arial" w:eastAsia="Arial" w:hAnsi="Arial" w:cs="Arial"/>
        </w:rPr>
      </w:pPr>
      <w:r w:rsidRPr="001538F2">
        <w:rPr>
          <w:rFonts w:ascii="Arial" w:eastAsia="Arial" w:hAnsi="Arial" w:cs="Arial"/>
        </w:rPr>
        <w:lastRenderedPageBreak/>
        <w:drawing>
          <wp:inline distT="0" distB="0" distL="0" distR="0" wp14:anchorId="55B03DDE" wp14:editId="6F7BB96C">
            <wp:extent cx="6116320" cy="3887470"/>
            <wp:effectExtent l="38100" t="38100" r="113030" b="113030"/>
            <wp:docPr id="10253469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346918" name=""/>
                    <pic:cNvPicPr/>
                  </pic:nvPicPr>
                  <pic:blipFill>
                    <a:blip r:embed="rId9"/>
                    <a:stretch>
                      <a:fillRect/>
                    </a:stretch>
                  </pic:blipFill>
                  <pic:spPr>
                    <a:xfrm>
                      <a:off x="0" y="0"/>
                      <a:ext cx="6116320" cy="3887470"/>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28C91E04" w14:textId="5D6C3F34" w:rsidR="00A5236E" w:rsidRPr="00EF09B1" w:rsidRDefault="00982132" w:rsidP="00F104D8">
      <w:pPr>
        <w:spacing w:line="360" w:lineRule="auto"/>
        <w:jc w:val="both"/>
        <w:rPr>
          <w:rFonts w:ascii="Arial" w:eastAsia="Arial" w:hAnsi="Arial" w:cs="Arial"/>
        </w:rPr>
      </w:pPr>
      <w:r>
        <w:rPr>
          <w:rFonts w:ascii="Arial" w:eastAsia="Arial" w:hAnsi="Arial" w:cs="Arial"/>
        </w:rPr>
        <w:t xml:space="preserve">Por lo tanto, los dos (2) días hábiles a que </w:t>
      </w:r>
      <w:r w:rsidR="00F11171">
        <w:rPr>
          <w:rFonts w:ascii="Arial" w:eastAsia="Arial" w:hAnsi="Arial" w:cs="Arial"/>
        </w:rPr>
        <w:t>hacen</w:t>
      </w:r>
      <w:r>
        <w:rPr>
          <w:rFonts w:ascii="Arial" w:eastAsia="Arial" w:hAnsi="Arial" w:cs="Arial"/>
        </w:rPr>
        <w:t xml:space="preserve"> alusión el artículo 201A</w:t>
      </w:r>
      <w:r w:rsidR="00F11171">
        <w:rPr>
          <w:rFonts w:ascii="Arial" w:eastAsia="Arial" w:hAnsi="Arial" w:cs="Arial"/>
        </w:rPr>
        <w:t xml:space="preserve"> del CPACA, transcurrieron el 19 y 22 de julio de 2024. Por su parte, los tres (3) días de traslado, corren a partir del 23 de julio de 2024 y finalizan el 25 de julio de 2024, para así finalmente concluir que el presente escrito es presentado de manera oportuna.  </w:t>
      </w:r>
    </w:p>
    <w:p w14:paraId="024C5FC3" w14:textId="77777777" w:rsidR="002868C9" w:rsidRPr="00C02731" w:rsidRDefault="002868C9" w:rsidP="00F104D8">
      <w:pPr>
        <w:spacing w:line="360" w:lineRule="auto"/>
        <w:rPr>
          <w:rFonts w:ascii="Arial" w:eastAsia="Arial" w:hAnsi="Arial" w:cs="Arial"/>
        </w:rPr>
      </w:pPr>
    </w:p>
    <w:p w14:paraId="470270D0" w14:textId="77777777" w:rsidR="002868C9" w:rsidRPr="00C02731" w:rsidRDefault="002868C9" w:rsidP="00F104D8">
      <w:pPr>
        <w:spacing w:line="360" w:lineRule="auto"/>
        <w:jc w:val="center"/>
        <w:rPr>
          <w:rFonts w:ascii="Arial" w:eastAsia="Arial" w:hAnsi="Arial" w:cs="Arial"/>
          <w:b/>
          <w:bCs/>
          <w:u w:val="single"/>
        </w:rPr>
      </w:pPr>
      <w:r w:rsidRPr="00C02731">
        <w:rPr>
          <w:rFonts w:ascii="Arial" w:eastAsia="Arial" w:hAnsi="Arial" w:cs="Arial"/>
          <w:b/>
          <w:bCs/>
          <w:u w:val="single"/>
        </w:rPr>
        <w:t xml:space="preserve">CAPÍTULO II. DE LA CONTESTACIÓN DE LA DEMANDA </w:t>
      </w:r>
    </w:p>
    <w:p w14:paraId="1CC1972B" w14:textId="77777777" w:rsidR="00F11171" w:rsidRDefault="00F11171" w:rsidP="00F104D8">
      <w:pPr>
        <w:spacing w:line="360" w:lineRule="auto"/>
        <w:jc w:val="both"/>
        <w:rPr>
          <w:rFonts w:ascii="Arial" w:eastAsia="Arial" w:hAnsi="Arial" w:cs="Arial"/>
        </w:rPr>
      </w:pPr>
      <w:bookmarkStart w:id="1" w:name="_Int_WCYhIRPU"/>
    </w:p>
    <w:p w14:paraId="43AEC583" w14:textId="77777777" w:rsidR="002868C9" w:rsidRPr="00C02731" w:rsidRDefault="002868C9" w:rsidP="00F104D8">
      <w:pPr>
        <w:spacing w:line="360" w:lineRule="auto"/>
        <w:jc w:val="both"/>
        <w:rPr>
          <w:rFonts w:ascii="Arial" w:eastAsia="Arial" w:hAnsi="Arial" w:cs="Arial"/>
        </w:rPr>
      </w:pPr>
      <w:r w:rsidRPr="00C02731">
        <w:rPr>
          <w:rFonts w:ascii="Arial" w:eastAsia="Arial" w:hAnsi="Arial" w:cs="Arial"/>
        </w:rPr>
        <w:t>Teniendo en cuenta que la Contraloría General de la República en su escrito de contestación de la demanda no propuso excepciones previas o de fondo propiamente dichas, sino que invocó una excepción de carácter innominada, procedo en este sentido a pronunciarme sobre los argumentos esbozados en su contestación.</w:t>
      </w:r>
      <w:bookmarkEnd w:id="1"/>
      <w:r w:rsidRPr="00C02731">
        <w:rPr>
          <w:rFonts w:ascii="Arial" w:eastAsia="Arial" w:hAnsi="Arial" w:cs="Arial"/>
        </w:rPr>
        <w:t xml:space="preserve"> </w:t>
      </w:r>
    </w:p>
    <w:p w14:paraId="22DC1D4A" w14:textId="77777777" w:rsidR="002868C9" w:rsidRPr="00C02731" w:rsidRDefault="002868C9" w:rsidP="00F104D8">
      <w:pPr>
        <w:spacing w:line="360" w:lineRule="auto"/>
        <w:rPr>
          <w:rFonts w:ascii="Arial" w:eastAsia="Arial" w:hAnsi="Arial" w:cs="Arial"/>
        </w:rPr>
      </w:pPr>
    </w:p>
    <w:p w14:paraId="715C6C88" w14:textId="456A32A4" w:rsidR="002868C9" w:rsidRPr="00C02731" w:rsidRDefault="002868C9" w:rsidP="00F104D8">
      <w:pPr>
        <w:pStyle w:val="Prrafodelista"/>
        <w:numPr>
          <w:ilvl w:val="0"/>
          <w:numId w:val="19"/>
        </w:numPr>
        <w:spacing w:after="160" w:line="360" w:lineRule="auto"/>
        <w:jc w:val="center"/>
        <w:rPr>
          <w:rFonts w:ascii="Arial" w:eastAsia="Arial" w:hAnsi="Arial" w:cs="Arial"/>
          <w:b/>
          <w:bCs/>
          <w:u w:val="single"/>
        </w:rPr>
      </w:pPr>
      <w:r w:rsidRPr="00C02731">
        <w:rPr>
          <w:rFonts w:ascii="Arial" w:eastAsia="Arial" w:hAnsi="Arial" w:cs="Arial"/>
          <w:b/>
          <w:bCs/>
          <w:u w:val="single"/>
        </w:rPr>
        <w:t>FRENTE AL HECHO GENERADOR DEL DAÑO PATRIMONIAL</w:t>
      </w:r>
    </w:p>
    <w:p w14:paraId="49D107F7" w14:textId="77777777" w:rsidR="00F11171" w:rsidRDefault="00F11171" w:rsidP="00F104D8">
      <w:pPr>
        <w:spacing w:line="360" w:lineRule="auto"/>
        <w:jc w:val="both"/>
        <w:rPr>
          <w:rFonts w:ascii="Arial" w:eastAsia="Arial" w:hAnsi="Arial" w:cs="Arial"/>
        </w:rPr>
      </w:pPr>
      <w:bookmarkStart w:id="2" w:name="_Int_yGfavhYp"/>
    </w:p>
    <w:p w14:paraId="01BC96A5" w14:textId="2867AD1C" w:rsidR="002868C9" w:rsidRPr="00C02731" w:rsidRDefault="002868C9" w:rsidP="00F104D8">
      <w:pPr>
        <w:spacing w:line="360" w:lineRule="auto"/>
        <w:jc w:val="both"/>
        <w:rPr>
          <w:rFonts w:ascii="Arial" w:eastAsia="Arial" w:hAnsi="Arial" w:cs="Arial"/>
        </w:rPr>
      </w:pPr>
      <w:r w:rsidRPr="00C02731">
        <w:rPr>
          <w:rFonts w:ascii="Arial" w:eastAsia="Arial" w:hAnsi="Arial" w:cs="Arial"/>
        </w:rPr>
        <w:t>La Contraloría General de la República afirma que en el proceso de responsabilidad fiscal No. PRF-2019-00191, el hecho generador del daño no se desarrolló en un solo momento, sino que se trató de una serie de conductas de carácter sucesivo que contribuyeron a la materialización del daño, por lo que, en su consideración, la fecha en que se generó el daño patrimonial no era la d</w:t>
      </w:r>
      <w:r w:rsidR="00F11171">
        <w:rPr>
          <w:rFonts w:ascii="Arial" w:eastAsia="Arial" w:hAnsi="Arial" w:cs="Arial"/>
        </w:rPr>
        <w:t>el último pago que corresponde a</w:t>
      </w:r>
      <w:r w:rsidRPr="00C02731">
        <w:rPr>
          <w:rFonts w:ascii="Arial" w:eastAsia="Arial" w:hAnsi="Arial" w:cs="Arial"/>
        </w:rPr>
        <w:t>l día 2 de diciembre de 2014, sino que era la fecha de la liquid</w:t>
      </w:r>
      <w:r w:rsidR="00F11171">
        <w:rPr>
          <w:rFonts w:ascii="Arial" w:eastAsia="Arial" w:hAnsi="Arial" w:cs="Arial"/>
        </w:rPr>
        <w:t>ación del contrato, la cual ocurrió el</w:t>
      </w:r>
      <w:r w:rsidRPr="00C02731">
        <w:rPr>
          <w:rFonts w:ascii="Arial" w:eastAsia="Arial" w:hAnsi="Arial" w:cs="Arial"/>
        </w:rPr>
        <w:t xml:space="preserve"> 13 de junio de 2018.</w:t>
      </w:r>
      <w:bookmarkEnd w:id="2"/>
      <w:r w:rsidRPr="00C02731">
        <w:rPr>
          <w:rFonts w:ascii="Arial" w:eastAsia="Arial" w:hAnsi="Arial" w:cs="Arial"/>
        </w:rPr>
        <w:t xml:space="preserve">  </w:t>
      </w:r>
    </w:p>
    <w:p w14:paraId="3B87D189" w14:textId="77777777" w:rsidR="002868C9" w:rsidRPr="00C02731" w:rsidRDefault="002868C9" w:rsidP="00F104D8">
      <w:pPr>
        <w:spacing w:line="360" w:lineRule="auto"/>
        <w:jc w:val="both"/>
        <w:rPr>
          <w:rFonts w:ascii="Arial" w:eastAsia="Arial" w:hAnsi="Arial" w:cs="Arial"/>
        </w:rPr>
      </w:pPr>
    </w:p>
    <w:p w14:paraId="3AEBE786" w14:textId="4F40AC1F" w:rsidR="002868C9" w:rsidRPr="00C02731" w:rsidRDefault="002868C9" w:rsidP="00F104D8">
      <w:pPr>
        <w:spacing w:line="360" w:lineRule="auto"/>
        <w:jc w:val="both"/>
        <w:rPr>
          <w:rFonts w:ascii="Arial" w:eastAsia="Arial" w:hAnsi="Arial" w:cs="Arial"/>
        </w:rPr>
      </w:pPr>
      <w:r w:rsidRPr="00C02731">
        <w:rPr>
          <w:rFonts w:ascii="Arial" w:eastAsia="Arial" w:hAnsi="Arial" w:cs="Arial"/>
        </w:rPr>
        <w:t xml:space="preserve">Así mismo, asevera en su contestación que </w:t>
      </w:r>
      <w:r w:rsidRPr="00C02731">
        <w:rPr>
          <w:rFonts w:ascii="Arial" w:eastAsia="Arial" w:hAnsi="Arial" w:cs="Arial"/>
          <w:i/>
          <w:iCs/>
        </w:rPr>
        <w:t xml:space="preserve">“en el auto de apertura efectivamente se hizo alusión al último pago para efectos de contabilizar la caducidad, pero como se explicó (...) en los años 2021 </w:t>
      </w:r>
      <w:r w:rsidRPr="00C02731">
        <w:rPr>
          <w:rFonts w:ascii="Arial" w:eastAsia="Arial" w:hAnsi="Arial" w:cs="Arial"/>
          <w:i/>
          <w:iCs/>
        </w:rPr>
        <w:lastRenderedPageBreak/>
        <w:t xml:space="preserve">y 2022 el municipio allegó el expediente completo del contrato en donde se pudo verificar que </w:t>
      </w:r>
      <w:bookmarkStart w:id="3" w:name="_Int_mAgNvCFj"/>
      <w:proofErr w:type="spellStart"/>
      <w:r w:rsidRPr="00C02731">
        <w:rPr>
          <w:rFonts w:ascii="Arial" w:eastAsia="Arial" w:hAnsi="Arial" w:cs="Arial"/>
          <w:i/>
          <w:iCs/>
        </w:rPr>
        <w:t>el</w:t>
      </w:r>
      <w:bookmarkEnd w:id="3"/>
      <w:proofErr w:type="spellEnd"/>
      <w:r w:rsidRPr="00C02731">
        <w:rPr>
          <w:rFonts w:ascii="Arial" w:eastAsia="Arial" w:hAnsi="Arial" w:cs="Arial"/>
          <w:i/>
          <w:iCs/>
        </w:rPr>
        <w:t xml:space="preserve"> se liquidó en el 2018”. </w:t>
      </w:r>
      <w:bookmarkStart w:id="4" w:name="_Int_32wyFTCo"/>
      <w:r w:rsidRPr="00C02731">
        <w:rPr>
          <w:rFonts w:ascii="Arial" w:eastAsia="Arial" w:hAnsi="Arial" w:cs="Arial"/>
        </w:rPr>
        <w:t xml:space="preserve">En este sentido, la defensa de la Contraloría General de la República parte de que el hecho generador del daño se causó el 13 de junio de 2018 con la liquidación del contrato, la cual, no se había podido establecer con anterioridad al auto de apertura que es de fecha del 28 de febrero de 2019, </w:t>
      </w:r>
      <w:r w:rsidR="005E7A8A">
        <w:rPr>
          <w:rFonts w:ascii="Arial" w:eastAsia="Arial" w:hAnsi="Arial" w:cs="Arial"/>
        </w:rPr>
        <w:t xml:space="preserve">con ocasión a que </w:t>
      </w:r>
      <w:r w:rsidRPr="00C02731">
        <w:rPr>
          <w:rFonts w:ascii="Arial" w:eastAsia="Arial" w:hAnsi="Arial" w:cs="Arial"/>
        </w:rPr>
        <w:t>el municipio solo hasta los años 2021 y 2022 allegó la documentación del contrato.</w:t>
      </w:r>
      <w:bookmarkEnd w:id="4"/>
      <w:r w:rsidRPr="00C02731">
        <w:rPr>
          <w:rFonts w:ascii="Arial" w:eastAsia="Arial" w:hAnsi="Arial" w:cs="Arial"/>
        </w:rPr>
        <w:t xml:space="preserve"> </w:t>
      </w:r>
    </w:p>
    <w:p w14:paraId="5377D129" w14:textId="77777777" w:rsidR="002868C9" w:rsidRPr="00C02731" w:rsidRDefault="002868C9" w:rsidP="00F104D8">
      <w:pPr>
        <w:spacing w:line="360" w:lineRule="auto"/>
        <w:jc w:val="both"/>
        <w:rPr>
          <w:rFonts w:ascii="Arial" w:eastAsia="Arial" w:hAnsi="Arial" w:cs="Arial"/>
        </w:rPr>
      </w:pPr>
    </w:p>
    <w:p w14:paraId="071DC046" w14:textId="58E8C502" w:rsidR="002868C9" w:rsidRPr="00C02731" w:rsidRDefault="002868C9" w:rsidP="00F104D8">
      <w:pPr>
        <w:spacing w:line="360" w:lineRule="auto"/>
        <w:jc w:val="both"/>
        <w:rPr>
          <w:rFonts w:ascii="Arial" w:eastAsia="Arial" w:hAnsi="Arial" w:cs="Arial"/>
        </w:rPr>
      </w:pPr>
      <w:r w:rsidRPr="00C02731">
        <w:rPr>
          <w:rFonts w:ascii="Arial" w:eastAsia="Arial" w:hAnsi="Arial" w:cs="Arial"/>
        </w:rPr>
        <w:t>El anterior planteamiento de la Contraloría supone que, una vez conoce el expediente completo del contrato, tendría que haber modificado la fecha del hecho generador del daño y, por ende, de la contabilización del término de caducidad de la acción de responsabilidad fiscal, pues si justamente se acababan de dar cuenta que se trataba de una conducta sucesiva y no instantánea como lo identificaron en el auto de apertura del proceso, resultaba procedente que la Contraloría modificara dichas circunstancias en la última oportunidad procesal que tenía, esto es, en el auto de</w:t>
      </w:r>
      <w:r w:rsidR="005E7A8A">
        <w:rPr>
          <w:rFonts w:ascii="Arial" w:eastAsia="Arial" w:hAnsi="Arial" w:cs="Arial"/>
        </w:rPr>
        <w:t xml:space="preserve"> imputación de responsabilidad fiscal.</w:t>
      </w:r>
    </w:p>
    <w:p w14:paraId="34258ECD" w14:textId="77777777" w:rsidR="002868C9" w:rsidRPr="00C02731" w:rsidRDefault="002868C9" w:rsidP="00F104D8">
      <w:pPr>
        <w:spacing w:line="360" w:lineRule="auto"/>
        <w:jc w:val="both"/>
        <w:rPr>
          <w:rFonts w:ascii="Arial" w:eastAsia="Arial" w:hAnsi="Arial" w:cs="Arial"/>
        </w:rPr>
      </w:pPr>
    </w:p>
    <w:p w14:paraId="1B65F794" w14:textId="089566C3" w:rsidR="002868C9" w:rsidRDefault="002868C9" w:rsidP="00F104D8">
      <w:pPr>
        <w:spacing w:line="360" w:lineRule="auto"/>
        <w:jc w:val="both"/>
        <w:rPr>
          <w:rFonts w:ascii="Arial" w:eastAsia="Arial" w:hAnsi="Arial" w:cs="Arial"/>
        </w:rPr>
      </w:pPr>
      <w:r w:rsidRPr="00C02731">
        <w:rPr>
          <w:rFonts w:ascii="Arial" w:eastAsia="Arial" w:hAnsi="Arial" w:cs="Arial"/>
        </w:rPr>
        <w:t>No obstante, de la lectura del auto No. 177 del 14 de abril de 2023 se vislumbra que no se presentó ni</w:t>
      </w:r>
      <w:r w:rsidR="005E7A8A">
        <w:rPr>
          <w:rFonts w:ascii="Arial" w:eastAsia="Arial" w:hAnsi="Arial" w:cs="Arial"/>
        </w:rPr>
        <w:t>nguna modificación, sino que, por el</w:t>
      </w:r>
      <w:r w:rsidRPr="00C02731">
        <w:rPr>
          <w:rFonts w:ascii="Arial" w:eastAsia="Arial" w:hAnsi="Arial" w:cs="Arial"/>
        </w:rPr>
        <w:t xml:space="preserve"> contrario, se sigue aceptando que la fecha del hecho generador del daño fue el </w:t>
      </w:r>
      <w:r w:rsidRPr="00C02731">
        <w:rPr>
          <w:rFonts w:ascii="Arial" w:eastAsia="Arial" w:hAnsi="Arial" w:cs="Arial"/>
          <w:u w:val="single"/>
        </w:rPr>
        <w:t>2 de diciembre de 2014</w:t>
      </w:r>
      <w:r w:rsidRPr="00C02731">
        <w:rPr>
          <w:rFonts w:ascii="Arial" w:eastAsia="Arial" w:hAnsi="Arial" w:cs="Arial"/>
        </w:rPr>
        <w:t xml:space="preserve">, veamos:  </w:t>
      </w:r>
    </w:p>
    <w:p w14:paraId="34FD2D30" w14:textId="77777777" w:rsidR="00052EC7" w:rsidRPr="00C02731" w:rsidRDefault="00052EC7" w:rsidP="00F104D8">
      <w:pPr>
        <w:spacing w:line="360" w:lineRule="auto"/>
        <w:jc w:val="both"/>
        <w:rPr>
          <w:rFonts w:ascii="Arial" w:eastAsia="Arial" w:hAnsi="Arial" w:cs="Arial"/>
        </w:rPr>
      </w:pPr>
    </w:p>
    <w:p w14:paraId="31D79A72" w14:textId="77777777" w:rsidR="002868C9" w:rsidRPr="00C02731" w:rsidRDefault="002868C9" w:rsidP="00F104D8">
      <w:pPr>
        <w:spacing w:line="360" w:lineRule="auto"/>
        <w:jc w:val="center"/>
        <w:rPr>
          <w:rFonts w:ascii="Arial" w:hAnsi="Arial" w:cs="Arial"/>
        </w:rPr>
      </w:pPr>
      <w:r w:rsidRPr="00C02731">
        <w:rPr>
          <w:rFonts w:ascii="Arial" w:hAnsi="Arial" w:cs="Arial"/>
          <w:noProof/>
          <w:lang w:val="es-CO" w:eastAsia="es-CO"/>
        </w:rPr>
        <w:drawing>
          <wp:inline distT="0" distB="0" distL="0" distR="0" wp14:anchorId="5F125DD1" wp14:editId="2CBFB03F">
            <wp:extent cx="4950253" cy="3377046"/>
            <wp:effectExtent l="38100" t="38100" r="117475" b="109220"/>
            <wp:docPr id="1084827263" name="Imagen 108482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950253" cy="3377046"/>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374CCB4D" w14:textId="5583CC45" w:rsidR="002868C9" w:rsidRPr="00C02731" w:rsidRDefault="002868C9" w:rsidP="00F104D8">
      <w:pPr>
        <w:spacing w:line="360" w:lineRule="auto"/>
        <w:jc w:val="both"/>
        <w:rPr>
          <w:rFonts w:ascii="Arial" w:eastAsia="Arial" w:hAnsi="Arial" w:cs="Arial"/>
        </w:rPr>
      </w:pPr>
      <w:r w:rsidRPr="00C02731">
        <w:rPr>
          <w:rFonts w:ascii="Arial" w:eastAsia="Arial" w:hAnsi="Arial" w:cs="Arial"/>
        </w:rPr>
        <w:t>De lo anterior, se evidencia que el argumento de la Contraloría General de la República se aparta de lo realmente plasmado en los autos de apertura del proceso y de imputación de la responsabilidad fiscal proferidos por la Gerencia Departamental Colegiada del Cauca, pues de su lectura en ningún momento se observa la intención de que los hechos investigados fuera</w:t>
      </w:r>
      <w:r w:rsidR="005E7A8A">
        <w:rPr>
          <w:rFonts w:ascii="Arial" w:eastAsia="Arial" w:hAnsi="Arial" w:cs="Arial"/>
        </w:rPr>
        <w:t>n</w:t>
      </w:r>
      <w:r w:rsidRPr="00C02731">
        <w:rPr>
          <w:rFonts w:ascii="Arial" w:eastAsia="Arial" w:hAnsi="Arial" w:cs="Arial"/>
        </w:rPr>
        <w:t xml:space="preserve"> de tracto sucesivo y mucho menos que la fecha del hecho generador fuera la de la liquidación del contrato, esto es, el 13 de junio de 2018.  </w:t>
      </w:r>
    </w:p>
    <w:p w14:paraId="1820122E" w14:textId="77777777" w:rsidR="002868C9" w:rsidRPr="00C02731" w:rsidRDefault="002868C9" w:rsidP="00F104D8">
      <w:pPr>
        <w:spacing w:line="360" w:lineRule="auto"/>
        <w:jc w:val="both"/>
        <w:rPr>
          <w:rFonts w:ascii="Arial" w:eastAsia="Arial" w:hAnsi="Arial" w:cs="Arial"/>
          <w:b/>
          <w:bCs/>
        </w:rPr>
      </w:pPr>
      <w:r w:rsidRPr="00C02731">
        <w:rPr>
          <w:rFonts w:ascii="Arial" w:eastAsia="Arial" w:hAnsi="Arial" w:cs="Arial"/>
        </w:rPr>
        <w:lastRenderedPageBreak/>
        <w:t xml:space="preserve">En este sentido, no es de recibo que la entidad demandada trate de incluir nuevos argumentos que </w:t>
      </w:r>
      <w:r w:rsidRPr="00C02731">
        <w:rPr>
          <w:rFonts w:ascii="Arial" w:eastAsia="Arial" w:hAnsi="Arial" w:cs="Arial"/>
          <w:u w:val="single"/>
        </w:rPr>
        <w:t>no fueron contemplados</w:t>
      </w:r>
      <w:r w:rsidRPr="00C02731">
        <w:rPr>
          <w:rFonts w:ascii="Arial" w:eastAsia="Arial" w:hAnsi="Arial" w:cs="Arial"/>
        </w:rPr>
        <w:t xml:space="preserve"> por el órgano de investigación y de decisión del proceso PRF-2019-00191, por lo que, </w:t>
      </w:r>
      <w:r w:rsidRPr="00C02731">
        <w:rPr>
          <w:rFonts w:ascii="Arial" w:eastAsia="Arial" w:hAnsi="Arial" w:cs="Arial"/>
          <w:b/>
          <w:bCs/>
        </w:rPr>
        <w:t xml:space="preserve">está demostrado que el hecho generador del daño fue de ejecución </w:t>
      </w:r>
      <w:r w:rsidRPr="00C02731">
        <w:rPr>
          <w:rFonts w:ascii="Arial" w:eastAsia="Arial" w:hAnsi="Arial" w:cs="Arial"/>
          <w:b/>
          <w:bCs/>
          <w:u w:val="single"/>
        </w:rPr>
        <w:t>instantánea</w:t>
      </w:r>
      <w:r w:rsidRPr="00C02731">
        <w:rPr>
          <w:rFonts w:ascii="Arial" w:eastAsia="Arial" w:hAnsi="Arial" w:cs="Arial"/>
          <w:b/>
          <w:bCs/>
        </w:rPr>
        <w:t xml:space="preserve"> y se causó el </w:t>
      </w:r>
      <w:r w:rsidRPr="00C02731">
        <w:rPr>
          <w:rFonts w:ascii="Arial" w:eastAsia="Arial" w:hAnsi="Arial" w:cs="Arial"/>
          <w:b/>
          <w:bCs/>
          <w:u w:val="single"/>
        </w:rPr>
        <w:t>2 de diciembre de 2014</w:t>
      </w:r>
      <w:r w:rsidRPr="00C02731">
        <w:rPr>
          <w:rFonts w:ascii="Arial" w:eastAsia="Arial" w:hAnsi="Arial" w:cs="Arial"/>
          <w:b/>
          <w:bCs/>
        </w:rPr>
        <w:t xml:space="preserve">. </w:t>
      </w:r>
    </w:p>
    <w:p w14:paraId="216633F2" w14:textId="77777777" w:rsidR="002868C9" w:rsidRPr="00C02731" w:rsidRDefault="002868C9" w:rsidP="00F104D8">
      <w:pPr>
        <w:spacing w:line="360" w:lineRule="auto"/>
        <w:jc w:val="both"/>
        <w:rPr>
          <w:rFonts w:ascii="Arial" w:eastAsia="Arial" w:hAnsi="Arial" w:cs="Arial"/>
          <w:b/>
          <w:bCs/>
          <w:u w:val="single"/>
        </w:rPr>
      </w:pPr>
    </w:p>
    <w:p w14:paraId="68E39E75" w14:textId="77777777" w:rsidR="002868C9" w:rsidRPr="00C02731" w:rsidRDefault="002868C9" w:rsidP="00F104D8">
      <w:pPr>
        <w:pStyle w:val="Prrafodelista"/>
        <w:numPr>
          <w:ilvl w:val="0"/>
          <w:numId w:val="19"/>
        </w:numPr>
        <w:spacing w:after="160" w:line="360" w:lineRule="auto"/>
        <w:jc w:val="center"/>
        <w:rPr>
          <w:rFonts w:ascii="Arial" w:eastAsia="Arial" w:hAnsi="Arial" w:cs="Arial"/>
          <w:b/>
          <w:bCs/>
          <w:u w:val="single"/>
        </w:rPr>
      </w:pPr>
      <w:r w:rsidRPr="00C02731">
        <w:rPr>
          <w:rFonts w:ascii="Arial" w:eastAsia="Arial" w:hAnsi="Arial" w:cs="Arial"/>
          <w:b/>
          <w:bCs/>
          <w:u w:val="single"/>
        </w:rPr>
        <w:t>FRENTE A LA CADUCIDAD DE LA VINCULACIÓN DE LA ASEGURADORA CON LA PÓLIZA NO.</w:t>
      </w:r>
      <w:r w:rsidRPr="00C02731">
        <w:rPr>
          <w:rFonts w:ascii="Arial" w:eastAsia="Arial" w:hAnsi="Arial" w:cs="Arial"/>
          <w:u w:val="single"/>
        </w:rPr>
        <w:t xml:space="preserve"> </w:t>
      </w:r>
      <w:r w:rsidRPr="00C02731">
        <w:rPr>
          <w:rFonts w:ascii="Arial" w:eastAsia="Arial" w:hAnsi="Arial" w:cs="Arial"/>
          <w:b/>
          <w:bCs/>
          <w:u w:val="single"/>
        </w:rPr>
        <w:t xml:space="preserve">435-64-994000000499 EN EL PROCESO DE RESPONSABILIDAD FISCAL </w:t>
      </w:r>
    </w:p>
    <w:p w14:paraId="3C4057D8" w14:textId="77777777" w:rsidR="005E7A8A" w:rsidRDefault="005E7A8A" w:rsidP="00F104D8">
      <w:pPr>
        <w:spacing w:line="360" w:lineRule="auto"/>
        <w:jc w:val="both"/>
        <w:rPr>
          <w:rFonts w:ascii="Arial" w:eastAsia="Arial" w:hAnsi="Arial" w:cs="Arial"/>
        </w:rPr>
      </w:pPr>
      <w:bookmarkStart w:id="5" w:name="_Int_iT8WB1Z7"/>
    </w:p>
    <w:p w14:paraId="7F42DCA5" w14:textId="52F4A174" w:rsidR="002868C9" w:rsidRPr="00C02731" w:rsidRDefault="002868C9" w:rsidP="00F104D8">
      <w:pPr>
        <w:spacing w:line="360" w:lineRule="auto"/>
        <w:jc w:val="both"/>
        <w:rPr>
          <w:rFonts w:ascii="Arial" w:eastAsia="Arial" w:hAnsi="Arial" w:cs="Arial"/>
        </w:rPr>
      </w:pPr>
      <w:r w:rsidRPr="00C02731">
        <w:rPr>
          <w:rFonts w:ascii="Arial" w:eastAsia="Arial" w:hAnsi="Arial" w:cs="Arial"/>
        </w:rPr>
        <w:t>De conformidad con la demanda presentada, es menester precisar que las acciones derivadas del contrato de seguro celebrado entre el Municipio de Cajibío – Cauca y la Aseguradora Solidaria</w:t>
      </w:r>
      <w:r w:rsidR="005E7A8A">
        <w:rPr>
          <w:rFonts w:ascii="Arial" w:eastAsia="Arial" w:hAnsi="Arial" w:cs="Arial"/>
        </w:rPr>
        <w:t xml:space="preserve"> de Colombia E.C.</w:t>
      </w:r>
      <w:r w:rsidRPr="00C02731">
        <w:rPr>
          <w:rFonts w:ascii="Arial" w:eastAsia="Arial" w:hAnsi="Arial" w:cs="Arial"/>
        </w:rPr>
        <w:t xml:space="preserve"> </w:t>
      </w:r>
      <w:r w:rsidRPr="00C02731">
        <w:rPr>
          <w:rFonts w:ascii="Arial" w:eastAsia="Arial" w:hAnsi="Arial" w:cs="Arial"/>
          <w:u w:val="single"/>
        </w:rPr>
        <w:t>caducaron</w:t>
      </w:r>
      <w:r w:rsidR="005E7A8A">
        <w:rPr>
          <w:rFonts w:ascii="Arial" w:eastAsia="Arial" w:hAnsi="Arial" w:cs="Arial"/>
        </w:rPr>
        <w:t xml:space="preserve"> de conformidad con lo dispuesto en el</w:t>
      </w:r>
      <w:r w:rsidRPr="00C02731">
        <w:rPr>
          <w:rFonts w:ascii="Arial" w:eastAsia="Arial" w:hAnsi="Arial" w:cs="Arial"/>
        </w:rPr>
        <w:t xml:space="preserve"> artículo 120 de la ley 1474 del 2011, puesto que se cumplió el término máximo para que la Contraloría General de la República profiriera auto de apertura del proceso de responsabilidad </w:t>
      </w:r>
      <w:r w:rsidRPr="00C02731">
        <w:rPr>
          <w:rFonts w:ascii="Arial" w:eastAsia="Arial" w:hAnsi="Arial" w:cs="Arial"/>
          <w:b/>
          <w:bCs/>
        </w:rPr>
        <w:t>vinculando a la aseguradora como tercero civilmente responsable</w:t>
      </w:r>
      <w:r w:rsidRPr="00C02731">
        <w:rPr>
          <w:rFonts w:ascii="Arial" w:eastAsia="Arial" w:hAnsi="Arial" w:cs="Arial"/>
        </w:rPr>
        <w:t>, esto es, cinco (5) años desde la ocurrencia del hecho generador del daño patrimonial.</w:t>
      </w:r>
      <w:bookmarkEnd w:id="5"/>
      <w:r w:rsidRPr="00C02731">
        <w:rPr>
          <w:rFonts w:ascii="Arial" w:eastAsia="Arial" w:hAnsi="Arial" w:cs="Arial"/>
        </w:rPr>
        <w:t xml:space="preserve"> </w:t>
      </w:r>
    </w:p>
    <w:p w14:paraId="64D8CCB2" w14:textId="77777777" w:rsidR="002868C9" w:rsidRPr="00C02731" w:rsidRDefault="002868C9" w:rsidP="00F104D8">
      <w:pPr>
        <w:spacing w:line="360" w:lineRule="auto"/>
        <w:jc w:val="both"/>
        <w:rPr>
          <w:rFonts w:ascii="Arial" w:eastAsia="Arial" w:hAnsi="Arial" w:cs="Arial"/>
        </w:rPr>
      </w:pPr>
    </w:p>
    <w:p w14:paraId="4317A698" w14:textId="12F102F1" w:rsidR="002868C9" w:rsidRPr="00C02731" w:rsidRDefault="002868C9" w:rsidP="00F104D8">
      <w:pPr>
        <w:spacing w:line="360" w:lineRule="auto"/>
        <w:jc w:val="both"/>
        <w:rPr>
          <w:rFonts w:ascii="Arial" w:eastAsia="Arial" w:hAnsi="Arial" w:cs="Arial"/>
          <w:i/>
          <w:iCs/>
        </w:rPr>
      </w:pPr>
      <w:r w:rsidRPr="00C02731">
        <w:rPr>
          <w:rFonts w:ascii="Arial" w:eastAsia="Arial" w:hAnsi="Arial" w:cs="Arial"/>
        </w:rPr>
        <w:t>Al respecto, la ley 1474 del 2011 establece en su artículo 120 que</w:t>
      </w:r>
      <w:r w:rsidR="00A17F57">
        <w:rPr>
          <w:rFonts w:ascii="Arial" w:eastAsia="Arial" w:hAnsi="Arial" w:cs="Arial"/>
        </w:rPr>
        <w:t>:</w:t>
      </w:r>
      <w:r w:rsidRPr="00C02731">
        <w:rPr>
          <w:rFonts w:ascii="Arial" w:eastAsia="Arial" w:hAnsi="Arial" w:cs="Arial"/>
        </w:rPr>
        <w:t xml:space="preserve"> </w:t>
      </w:r>
      <w:r w:rsidRPr="00C02731">
        <w:rPr>
          <w:rFonts w:ascii="Arial" w:eastAsia="Arial" w:hAnsi="Arial" w:cs="Arial"/>
          <w:i/>
          <w:iCs/>
        </w:rPr>
        <w:t xml:space="preserve">“las pólizas de seguros por las cuales se vincule al proceso de responsabilidad fiscal al garante en calidad de tercero civilmente responsable prescribirán en los plazos previstos en el </w:t>
      </w:r>
      <w:r w:rsidRPr="00C02731">
        <w:rPr>
          <w:rFonts w:ascii="Arial" w:eastAsia="Arial" w:hAnsi="Arial" w:cs="Arial"/>
          <w:i/>
          <w:iCs/>
          <w:u w:val="single"/>
        </w:rPr>
        <w:t xml:space="preserve">artículo </w:t>
      </w:r>
      <w:hyperlink r:id="rId11" w:anchor="9">
        <w:r w:rsidRPr="00C02731">
          <w:rPr>
            <w:rStyle w:val="Hipervnculo"/>
            <w:rFonts w:ascii="Arial" w:eastAsia="Arial" w:hAnsi="Arial" w:cs="Arial"/>
            <w:i/>
            <w:iCs/>
            <w:color w:val="auto"/>
          </w:rPr>
          <w:t>9</w:t>
        </w:r>
      </w:hyperlink>
      <w:r w:rsidRPr="00C02731">
        <w:rPr>
          <w:rFonts w:ascii="Arial" w:eastAsia="Arial" w:hAnsi="Arial" w:cs="Arial"/>
          <w:i/>
          <w:iCs/>
          <w:u w:val="single"/>
        </w:rPr>
        <w:t>o de la Ley 610 de 2000</w:t>
      </w:r>
      <w:r w:rsidRPr="00C02731">
        <w:rPr>
          <w:rFonts w:ascii="Arial" w:eastAsia="Arial" w:hAnsi="Arial" w:cs="Arial"/>
          <w:i/>
          <w:iCs/>
        </w:rPr>
        <w:t xml:space="preserve">”. </w:t>
      </w:r>
    </w:p>
    <w:p w14:paraId="4AFF94D3" w14:textId="77777777" w:rsidR="002868C9" w:rsidRPr="00C02731" w:rsidRDefault="002868C9" w:rsidP="00F104D8">
      <w:pPr>
        <w:spacing w:line="360" w:lineRule="auto"/>
        <w:jc w:val="both"/>
        <w:rPr>
          <w:rFonts w:ascii="Arial" w:eastAsia="Arial" w:hAnsi="Arial" w:cs="Arial"/>
          <w:i/>
          <w:iCs/>
        </w:rPr>
      </w:pPr>
    </w:p>
    <w:p w14:paraId="7D5EEA69" w14:textId="77777777" w:rsidR="002868C9" w:rsidRPr="00C02731" w:rsidRDefault="002868C9" w:rsidP="00F104D8">
      <w:pPr>
        <w:spacing w:line="360" w:lineRule="auto"/>
        <w:ind w:left="708"/>
        <w:jc w:val="both"/>
        <w:rPr>
          <w:rFonts w:ascii="Arial" w:eastAsia="Arial" w:hAnsi="Arial" w:cs="Arial"/>
          <w:i/>
          <w:iCs/>
        </w:rPr>
      </w:pPr>
      <w:r w:rsidRPr="00C02731">
        <w:rPr>
          <w:rFonts w:ascii="Arial" w:eastAsia="Arial" w:hAnsi="Arial" w:cs="Arial"/>
          <w:i/>
          <w:iCs/>
        </w:rPr>
        <w:t>“</w:t>
      </w:r>
      <w:r w:rsidRPr="00C02731">
        <w:rPr>
          <w:rFonts w:ascii="Arial" w:eastAsia="Arial" w:hAnsi="Arial" w:cs="Arial"/>
          <w:b/>
          <w:bCs/>
          <w:i/>
          <w:iCs/>
        </w:rPr>
        <w:t>ARTÍCULO 9o. CADUCIDAD Y PRESCRIPCIÓN.</w:t>
      </w:r>
      <w:r w:rsidRPr="00C02731">
        <w:rPr>
          <w:rFonts w:ascii="Arial" w:eastAsia="Arial" w:hAnsi="Arial" w:cs="Arial"/>
          <w:i/>
          <w:iCs/>
        </w:rPr>
        <w:t xml:space="preserve"> La acción fiscal caducará si transcurridos </w:t>
      </w:r>
      <w:r w:rsidRPr="00C02731">
        <w:rPr>
          <w:rFonts w:ascii="Arial" w:eastAsia="Arial" w:hAnsi="Arial" w:cs="Arial"/>
          <w:i/>
          <w:iCs/>
          <w:u w:val="single"/>
        </w:rPr>
        <w:t>cinco (5) años desde la ocurrencia del hecho generador del daño al patrimonio público, no se ha proferido auto de apertura del proceso de responsabilidad fiscal.</w:t>
      </w:r>
      <w:r w:rsidRPr="00C02731">
        <w:rPr>
          <w:rFonts w:ascii="Arial" w:eastAsia="Arial" w:hAnsi="Arial" w:cs="Arial"/>
          <w:i/>
          <w:iCs/>
        </w:rPr>
        <w:t xml:space="preserve"> Este término empezará a contarse para los </w:t>
      </w:r>
      <w:r w:rsidRPr="00C02731">
        <w:rPr>
          <w:rFonts w:ascii="Arial" w:eastAsia="Arial" w:hAnsi="Arial" w:cs="Arial"/>
          <w:i/>
          <w:iCs/>
          <w:u w:val="single"/>
        </w:rPr>
        <w:t>hechos o actos</w:t>
      </w:r>
      <w:r w:rsidRPr="00C02731">
        <w:rPr>
          <w:rFonts w:ascii="Arial" w:eastAsia="Arial" w:hAnsi="Arial" w:cs="Arial"/>
          <w:i/>
          <w:iCs/>
        </w:rPr>
        <w:t xml:space="preserve"> </w:t>
      </w:r>
      <w:r w:rsidRPr="00C02731">
        <w:rPr>
          <w:rFonts w:ascii="Arial" w:eastAsia="Arial" w:hAnsi="Arial" w:cs="Arial"/>
          <w:i/>
          <w:iCs/>
          <w:u w:val="single"/>
        </w:rPr>
        <w:t>instantáneos desde el día de su realización,</w:t>
      </w:r>
      <w:r w:rsidRPr="00C02731">
        <w:rPr>
          <w:rFonts w:ascii="Arial" w:eastAsia="Arial" w:hAnsi="Arial" w:cs="Arial"/>
          <w:i/>
          <w:iCs/>
        </w:rPr>
        <w:t xml:space="preserve"> y para los complejos, de tracto sucesivo, de carácter permanente o continuado desde la del último hecho o acto”.</w:t>
      </w:r>
    </w:p>
    <w:p w14:paraId="112F14A8" w14:textId="77777777" w:rsidR="002868C9" w:rsidRPr="00C02731" w:rsidRDefault="002868C9" w:rsidP="00F104D8">
      <w:pPr>
        <w:spacing w:line="360" w:lineRule="auto"/>
        <w:ind w:left="708"/>
        <w:jc w:val="both"/>
        <w:rPr>
          <w:rFonts w:ascii="Arial" w:eastAsia="Arial" w:hAnsi="Arial" w:cs="Arial"/>
          <w:i/>
          <w:iCs/>
        </w:rPr>
      </w:pPr>
    </w:p>
    <w:p w14:paraId="3D53AC24" w14:textId="091F3F37" w:rsidR="002868C9" w:rsidRPr="00C02731" w:rsidRDefault="002868C9" w:rsidP="00F104D8">
      <w:pPr>
        <w:spacing w:line="360" w:lineRule="auto"/>
        <w:jc w:val="both"/>
        <w:rPr>
          <w:rFonts w:ascii="Arial" w:eastAsia="Arial" w:hAnsi="Arial" w:cs="Arial"/>
        </w:rPr>
      </w:pPr>
      <w:r w:rsidRPr="00C02731">
        <w:rPr>
          <w:rFonts w:ascii="Arial" w:eastAsia="Arial" w:hAnsi="Arial" w:cs="Arial"/>
        </w:rPr>
        <w:t xml:space="preserve">En este sentido, no hay duda de que el hecho generador del daño patrimonial se </w:t>
      </w:r>
      <w:r w:rsidR="00A17F57">
        <w:rPr>
          <w:rFonts w:ascii="Arial" w:eastAsia="Arial" w:hAnsi="Arial" w:cs="Arial"/>
        </w:rPr>
        <w:t>causó el 2 de diciembre de 2014 y</w:t>
      </w:r>
      <w:r w:rsidRPr="00C02731">
        <w:rPr>
          <w:rFonts w:ascii="Arial" w:eastAsia="Arial" w:hAnsi="Arial" w:cs="Arial"/>
        </w:rPr>
        <w:t xml:space="preserve"> que el auto de apertura del proceso se profirió el 28 de febrero de 2019, pero un aspecto fundamental que la Contraloría General de la República omitió de referirse en su contestación, es que a la Aseguradora Solidaria </w:t>
      </w:r>
      <w:r w:rsidRPr="00C02731">
        <w:rPr>
          <w:rFonts w:ascii="Arial" w:eastAsia="Arial" w:hAnsi="Arial" w:cs="Arial"/>
          <w:b/>
          <w:bCs/>
        </w:rPr>
        <w:t>NO</w:t>
      </w:r>
      <w:r w:rsidRPr="00C02731">
        <w:rPr>
          <w:rFonts w:ascii="Arial" w:eastAsia="Arial" w:hAnsi="Arial" w:cs="Arial"/>
        </w:rPr>
        <w:t xml:space="preserve"> fue vinculada en el auto de apertura No. 083 del 28 de febrero de 2019, sino que fue vinculada mediante el </w:t>
      </w:r>
      <w:r w:rsidRPr="00C02731">
        <w:rPr>
          <w:rFonts w:ascii="Arial" w:eastAsia="Arial" w:hAnsi="Arial" w:cs="Arial"/>
          <w:b/>
          <w:bCs/>
        </w:rPr>
        <w:t>auto No. 759 del 10 de noviembre de 2022</w:t>
      </w:r>
      <w:r w:rsidRPr="00C02731">
        <w:rPr>
          <w:rFonts w:ascii="Arial" w:eastAsia="Arial" w:hAnsi="Arial" w:cs="Arial"/>
        </w:rPr>
        <w:t xml:space="preserve">, por medio del cual, se ordenaron las vinculaciones de otros presuntos responsables, a saber: </w:t>
      </w:r>
    </w:p>
    <w:p w14:paraId="4DFFAD6E" w14:textId="77777777" w:rsidR="002868C9" w:rsidRPr="00C02731" w:rsidRDefault="002868C9" w:rsidP="00F104D8">
      <w:pPr>
        <w:spacing w:line="360" w:lineRule="auto"/>
        <w:ind w:left="708"/>
        <w:jc w:val="both"/>
        <w:rPr>
          <w:rFonts w:ascii="Arial" w:eastAsia="Arial" w:hAnsi="Arial" w:cs="Arial"/>
          <w:i/>
          <w:iCs/>
        </w:rPr>
      </w:pPr>
      <w:r w:rsidRPr="00C02731">
        <w:rPr>
          <w:rFonts w:ascii="Arial" w:eastAsia="Arial" w:hAnsi="Arial" w:cs="Arial"/>
          <w:i/>
          <w:iCs/>
        </w:rPr>
        <w:t xml:space="preserve">“ARTÍCULO TERCERO: </w:t>
      </w:r>
      <w:r w:rsidRPr="00C02731">
        <w:rPr>
          <w:rFonts w:ascii="Arial" w:eastAsia="Arial" w:hAnsi="Arial" w:cs="Arial"/>
          <w:i/>
          <w:iCs/>
          <w:u w:val="single"/>
        </w:rPr>
        <w:t>ORDENAR la vinculación al proceso de responsabilidad fiscal 2019-00191 en calidad de TERCERO CIVILMENTE RESPONSABLE - GARANTE a la ASEGURADORA SOLIDARIA</w:t>
      </w:r>
      <w:r w:rsidRPr="00C02731">
        <w:rPr>
          <w:rFonts w:ascii="Arial" w:eastAsia="Arial" w:hAnsi="Arial" w:cs="Arial"/>
          <w:i/>
          <w:iCs/>
        </w:rPr>
        <w:t xml:space="preserve"> con NIT: 860.524.654-6, en virtud del SEGURO PREVIALCALDIAS – POLIZA MULTIRREISGO: 435-64- 994000000499, de fecha: 08-06-2016 y vigencia: 21-05-16 a 21-05-2017; con la que se amparan Fallos Con Responsabilidad Fiscal; valor asegurado: $100.000.000 y deducible: 10% del valor de la pérdida; en la que se </w:t>
      </w:r>
      <w:r w:rsidRPr="00C02731">
        <w:rPr>
          <w:rFonts w:ascii="Arial" w:eastAsia="Arial" w:hAnsi="Arial" w:cs="Arial"/>
          <w:i/>
          <w:iCs/>
        </w:rPr>
        <w:lastRenderedPageBreak/>
        <w:t>tiene como asegurado al municipio de Cajibío Cauca y cargo asegurado ALCALDE, como lo fueron dos presuntos responsables vinculados al presente proceso, uno de ellos en la época de vigencia de la póliza, de conformidad con lo dispuesto en los artículos 44 de la Ley</w:t>
      </w:r>
      <w:r w:rsidRPr="00C02731">
        <w:rPr>
          <w:rFonts w:ascii="Arial" w:eastAsia="Aptos" w:hAnsi="Arial" w:cs="Arial"/>
        </w:rPr>
        <w:t xml:space="preserve"> </w:t>
      </w:r>
      <w:r w:rsidRPr="00C02731">
        <w:rPr>
          <w:rFonts w:ascii="Arial" w:eastAsia="Arial" w:hAnsi="Arial" w:cs="Arial"/>
          <w:i/>
          <w:iCs/>
        </w:rPr>
        <w:t xml:space="preserve">610 de 2000 y 120 de la Ley 1474 del 2011 y las motivaciones de esta providencia”. </w:t>
      </w:r>
    </w:p>
    <w:p w14:paraId="465878CF" w14:textId="77777777" w:rsidR="002868C9" w:rsidRPr="00C02731" w:rsidRDefault="002868C9" w:rsidP="00F104D8">
      <w:pPr>
        <w:spacing w:line="360" w:lineRule="auto"/>
        <w:ind w:left="708"/>
        <w:jc w:val="both"/>
        <w:rPr>
          <w:rFonts w:ascii="Arial" w:eastAsia="Arial" w:hAnsi="Arial" w:cs="Arial"/>
          <w:i/>
          <w:iCs/>
        </w:rPr>
      </w:pPr>
    </w:p>
    <w:p w14:paraId="64AD3252" w14:textId="2F205D3C" w:rsidR="002868C9" w:rsidRDefault="002868C9" w:rsidP="00F104D8">
      <w:pPr>
        <w:spacing w:line="360" w:lineRule="auto"/>
        <w:jc w:val="both"/>
        <w:rPr>
          <w:rFonts w:ascii="Arial" w:eastAsia="Arial" w:hAnsi="Arial" w:cs="Arial"/>
        </w:rPr>
      </w:pPr>
      <w:r w:rsidRPr="00C02731">
        <w:rPr>
          <w:rFonts w:ascii="Arial" w:eastAsia="Arial" w:hAnsi="Arial" w:cs="Arial"/>
        </w:rPr>
        <w:t>Siendo así, es claro que</w:t>
      </w:r>
      <w:r w:rsidR="00327915">
        <w:rPr>
          <w:rFonts w:ascii="Arial" w:eastAsia="Arial" w:hAnsi="Arial" w:cs="Arial"/>
        </w:rPr>
        <w:t xml:space="preserve"> se configuró la caducidad de la acción fiscal en lo que concierne a mí procurada, </w:t>
      </w:r>
      <w:r w:rsidRPr="00C02731">
        <w:rPr>
          <w:rFonts w:ascii="Arial" w:eastAsia="Arial" w:hAnsi="Arial" w:cs="Arial"/>
        </w:rPr>
        <w:t xml:space="preserve">en razón a que la vinculación de la aseguradora fue el 10 de noviembre de 2022, esto es, aproximadamente </w:t>
      </w:r>
      <w:r w:rsidRPr="00C02731">
        <w:rPr>
          <w:rFonts w:ascii="Arial" w:eastAsia="Arial" w:hAnsi="Arial" w:cs="Arial"/>
          <w:u w:val="single"/>
        </w:rPr>
        <w:t>7 años y 11 meses después de la ocurrencia de los hechos</w:t>
      </w:r>
      <w:r w:rsidRPr="00C02731">
        <w:rPr>
          <w:rFonts w:ascii="Arial" w:eastAsia="Arial" w:hAnsi="Arial" w:cs="Arial"/>
        </w:rPr>
        <w:t>, por lo que, el límite máximo que consagra el artículo 9 de la ley 610 del 2000 fue superado</w:t>
      </w:r>
      <w:r w:rsidR="00327915">
        <w:rPr>
          <w:rFonts w:ascii="Arial" w:eastAsia="Arial" w:hAnsi="Arial" w:cs="Arial"/>
        </w:rPr>
        <w:t xml:space="preserve"> a creces y, por ende, el órgano de control fiscal así lo tuvo que haber determinado dentro del proceso de responsabilidad fiscal.</w:t>
      </w:r>
    </w:p>
    <w:p w14:paraId="744A8A56" w14:textId="77777777" w:rsidR="001538F2" w:rsidRPr="00C02731" w:rsidRDefault="001538F2" w:rsidP="00F104D8">
      <w:pPr>
        <w:spacing w:line="360" w:lineRule="auto"/>
        <w:jc w:val="both"/>
        <w:rPr>
          <w:rFonts w:ascii="Arial" w:eastAsia="Arial" w:hAnsi="Arial" w:cs="Arial"/>
        </w:rPr>
      </w:pPr>
    </w:p>
    <w:p w14:paraId="63705A10" w14:textId="742823CB" w:rsidR="002868C9" w:rsidRDefault="002868C9" w:rsidP="00F104D8">
      <w:pPr>
        <w:spacing w:line="360" w:lineRule="auto"/>
        <w:jc w:val="both"/>
        <w:rPr>
          <w:rFonts w:ascii="Arial" w:eastAsia="Arial" w:hAnsi="Arial" w:cs="Arial"/>
        </w:rPr>
      </w:pPr>
      <w:r w:rsidRPr="00C02731">
        <w:rPr>
          <w:rFonts w:ascii="Arial" w:eastAsia="Arial" w:hAnsi="Arial" w:cs="Arial"/>
        </w:rPr>
        <w:t>Al respecto de la vinculación de la compañía, es necesario entender que, si bien su responsabilidad no es de carácter fiscal, sí lo es de contenido indemnizatorio, por lo que, su comparecencia debe tener todas las garantías del deb</w:t>
      </w:r>
      <w:r w:rsidR="00481263">
        <w:rPr>
          <w:rFonts w:ascii="Arial" w:eastAsia="Arial" w:hAnsi="Arial" w:cs="Arial"/>
        </w:rPr>
        <w:t>ido proceso, esto es, vincularla</w:t>
      </w:r>
      <w:r w:rsidRPr="00C02731">
        <w:rPr>
          <w:rFonts w:ascii="Arial" w:eastAsia="Arial" w:hAnsi="Arial" w:cs="Arial"/>
        </w:rPr>
        <w:t xml:space="preserve"> al proceso sin que haya operado el fenómeno de la caducidad. </w:t>
      </w:r>
    </w:p>
    <w:p w14:paraId="181872BB" w14:textId="77777777" w:rsidR="001538F2" w:rsidRPr="00C02731" w:rsidRDefault="001538F2" w:rsidP="00F104D8">
      <w:pPr>
        <w:spacing w:line="360" w:lineRule="auto"/>
        <w:jc w:val="both"/>
        <w:rPr>
          <w:rFonts w:ascii="Arial" w:eastAsia="Arial" w:hAnsi="Arial" w:cs="Arial"/>
        </w:rPr>
      </w:pPr>
    </w:p>
    <w:p w14:paraId="683C15B1" w14:textId="62CD09D7" w:rsidR="002868C9" w:rsidRPr="00C02731" w:rsidRDefault="002868C9" w:rsidP="00F104D8">
      <w:pPr>
        <w:spacing w:line="360" w:lineRule="auto"/>
        <w:jc w:val="both"/>
        <w:rPr>
          <w:rFonts w:ascii="Arial" w:eastAsia="Arial" w:hAnsi="Arial" w:cs="Arial"/>
        </w:rPr>
      </w:pPr>
      <w:bookmarkStart w:id="6" w:name="_Int_bVmaqkuo"/>
      <w:r w:rsidRPr="00C02731">
        <w:rPr>
          <w:rFonts w:ascii="Arial" w:eastAsia="Arial" w:hAnsi="Arial" w:cs="Arial"/>
        </w:rPr>
        <w:t>En este sentido, el auto No. 759 del 10 de noviembre de 2022 por el cual se vinculó a la Aseguradora Solidaria de Colombia</w:t>
      </w:r>
      <w:r w:rsidR="00481263">
        <w:rPr>
          <w:rFonts w:ascii="Arial" w:eastAsia="Arial" w:hAnsi="Arial" w:cs="Arial"/>
        </w:rPr>
        <w:t xml:space="preserve"> E.C.</w:t>
      </w:r>
      <w:r w:rsidRPr="00C02731">
        <w:rPr>
          <w:rFonts w:ascii="Arial" w:eastAsia="Arial" w:hAnsi="Arial" w:cs="Arial"/>
        </w:rPr>
        <w:t xml:space="preserve">, hace las veces, para efecto de la </w:t>
      </w:r>
      <w:r w:rsidR="00481263">
        <w:rPr>
          <w:rFonts w:ascii="Arial" w:eastAsia="Arial" w:hAnsi="Arial" w:cs="Arial"/>
        </w:rPr>
        <w:t xml:space="preserve">contabilización de la caducidad, </w:t>
      </w:r>
      <w:r w:rsidRPr="00C02731">
        <w:rPr>
          <w:rFonts w:ascii="Arial" w:eastAsia="Arial" w:hAnsi="Arial" w:cs="Arial"/>
        </w:rPr>
        <w:t xml:space="preserve">del auto de apertura del proceso de responsabilidad fiscal, por lo que, teniendo en cuenta que el daño patrimonial es de fecha 2 de diciembre de 2014, es evidente que la acción </w:t>
      </w:r>
      <w:r w:rsidR="002431D8">
        <w:rPr>
          <w:rFonts w:ascii="Arial" w:eastAsia="Arial" w:hAnsi="Arial" w:cs="Arial"/>
        </w:rPr>
        <w:t xml:space="preserve">fiscal en lo que respecta a mi procurada </w:t>
      </w:r>
      <w:r w:rsidRPr="00C02731">
        <w:rPr>
          <w:rFonts w:ascii="Arial" w:eastAsia="Arial" w:hAnsi="Arial" w:cs="Arial"/>
        </w:rPr>
        <w:t xml:space="preserve">había caducado </w:t>
      </w:r>
      <w:r w:rsidRPr="00C02731">
        <w:rPr>
          <w:rFonts w:ascii="Arial" w:eastAsia="Arial" w:hAnsi="Arial" w:cs="Arial"/>
          <w:u w:val="single"/>
        </w:rPr>
        <w:t>desde el 2 de diciembre de 2019</w:t>
      </w:r>
      <w:r w:rsidRPr="00C02731">
        <w:rPr>
          <w:rFonts w:ascii="Arial" w:eastAsia="Arial" w:hAnsi="Arial" w:cs="Arial"/>
        </w:rPr>
        <w:t>.</w:t>
      </w:r>
      <w:bookmarkEnd w:id="6"/>
      <w:r w:rsidRPr="00C02731">
        <w:rPr>
          <w:rFonts w:ascii="Arial" w:eastAsia="Arial" w:hAnsi="Arial" w:cs="Arial"/>
        </w:rPr>
        <w:t xml:space="preserve"> </w:t>
      </w:r>
    </w:p>
    <w:p w14:paraId="5E2BBCEC" w14:textId="77777777" w:rsidR="002868C9" w:rsidRPr="00C02731" w:rsidRDefault="002868C9" w:rsidP="00F104D8">
      <w:pPr>
        <w:spacing w:line="360" w:lineRule="auto"/>
        <w:jc w:val="both"/>
        <w:rPr>
          <w:rFonts w:ascii="Arial" w:eastAsia="Arial" w:hAnsi="Arial" w:cs="Arial"/>
        </w:rPr>
      </w:pPr>
    </w:p>
    <w:p w14:paraId="64190722" w14:textId="77777777" w:rsidR="002868C9" w:rsidRPr="00C02731" w:rsidRDefault="002868C9" w:rsidP="00F104D8">
      <w:pPr>
        <w:spacing w:line="360" w:lineRule="auto"/>
        <w:ind w:left="708"/>
        <w:jc w:val="both"/>
        <w:rPr>
          <w:rFonts w:ascii="Arial" w:eastAsia="Arial" w:hAnsi="Arial" w:cs="Arial"/>
          <w:i/>
          <w:iCs/>
        </w:rPr>
      </w:pPr>
      <w:r w:rsidRPr="00C02731">
        <w:rPr>
          <w:rFonts w:ascii="Arial" w:eastAsia="Arial" w:hAnsi="Arial" w:cs="Arial"/>
          <w:i/>
          <w:iCs/>
        </w:rPr>
        <w:t xml:space="preserve">“Con lo expuesto es claro que el término de caducidad de la acción fiscal, establecida por el Legislador es de 5 años, y que empiezan a ser contados a partir de la ocurrencia del hecho generador del daño cuando es un hecho de ejecución instantánea y cuando se trata de hechos complejos, de tracto sucesivo, de carácter permanente o continuo, el término se empezará a contar desde el último acto sin que se haya proferido auto de apertura; si con posterioridad se vinculan presuntos responsables y han transcurrido más de 5 años, la acción fiscal habrá caducado respecto de ellos, que por tanto no podrán ser vinculados al proceso. </w:t>
      </w:r>
    </w:p>
    <w:p w14:paraId="50E22656" w14:textId="77777777" w:rsidR="002868C9" w:rsidRPr="00C02731" w:rsidRDefault="002868C9" w:rsidP="00F104D8">
      <w:pPr>
        <w:spacing w:line="360" w:lineRule="auto"/>
        <w:ind w:left="708"/>
        <w:jc w:val="both"/>
        <w:rPr>
          <w:rFonts w:ascii="Arial" w:eastAsia="Arial" w:hAnsi="Arial" w:cs="Arial"/>
          <w:i/>
          <w:iCs/>
        </w:rPr>
      </w:pPr>
    </w:p>
    <w:p w14:paraId="2F338968" w14:textId="77777777" w:rsidR="002868C9" w:rsidRPr="00C02731" w:rsidRDefault="002868C9" w:rsidP="00F104D8">
      <w:pPr>
        <w:spacing w:line="360" w:lineRule="auto"/>
        <w:ind w:left="708"/>
        <w:jc w:val="both"/>
        <w:rPr>
          <w:rFonts w:ascii="Arial" w:eastAsia="Arial" w:hAnsi="Arial" w:cs="Arial"/>
          <w:i/>
          <w:iCs/>
        </w:rPr>
      </w:pPr>
      <w:r w:rsidRPr="00C02731">
        <w:rPr>
          <w:rFonts w:ascii="Arial" w:eastAsia="Arial" w:hAnsi="Arial" w:cs="Arial"/>
          <w:i/>
          <w:iCs/>
        </w:rPr>
        <w:t xml:space="preserve">Teniendo en cuenta la seguridad jurídica de quienes pueden ser investigados en un proceso de responsabilidad fiscal, y si por alguna razón al momento de iniciar el proceso se vincula a uno o varios presuntos responsables y faltare alguno para vincular, </w:t>
      </w:r>
      <w:r w:rsidRPr="00C02731">
        <w:rPr>
          <w:rFonts w:ascii="Arial" w:eastAsia="Arial" w:hAnsi="Arial" w:cs="Arial"/>
          <w:i/>
          <w:iCs/>
          <w:u w:val="single"/>
        </w:rPr>
        <w:t>solo se podrá hacer siempre y cuando no hayan pasado los 5 años de la ocurrencia del hecho generador del daño patrimonial al Estado, teniendo en cuenta que el legislador ha establecido 5 años contados a partir de la ocurrencia del hecho generador para la caducidad</w:t>
      </w:r>
      <w:r w:rsidRPr="00C02731">
        <w:rPr>
          <w:rFonts w:ascii="Arial" w:eastAsia="Arial" w:hAnsi="Arial" w:cs="Arial"/>
          <w:i/>
          <w:iCs/>
        </w:rPr>
        <w:t>”.</w:t>
      </w:r>
      <w:r w:rsidRPr="00C02731">
        <w:rPr>
          <w:rStyle w:val="Refdenotaalpie"/>
          <w:rFonts w:ascii="Arial" w:eastAsia="Arial" w:hAnsi="Arial" w:cs="Arial"/>
          <w:i/>
          <w:iCs/>
        </w:rPr>
        <w:footnoteReference w:id="1"/>
      </w:r>
    </w:p>
    <w:p w14:paraId="24A830E9" w14:textId="77777777" w:rsidR="002868C9" w:rsidRPr="00C02731" w:rsidRDefault="002868C9" w:rsidP="00F104D8">
      <w:pPr>
        <w:spacing w:line="360" w:lineRule="auto"/>
        <w:ind w:left="708"/>
        <w:jc w:val="both"/>
        <w:rPr>
          <w:rFonts w:ascii="Arial" w:eastAsia="Arial" w:hAnsi="Arial" w:cs="Arial"/>
          <w:i/>
          <w:iCs/>
        </w:rPr>
      </w:pPr>
    </w:p>
    <w:p w14:paraId="672B1D64" w14:textId="09EF6A31" w:rsidR="002868C9" w:rsidRPr="00C02731" w:rsidRDefault="002868C9" w:rsidP="00F104D8">
      <w:pPr>
        <w:spacing w:line="360" w:lineRule="auto"/>
        <w:jc w:val="both"/>
        <w:rPr>
          <w:rFonts w:ascii="Arial" w:eastAsia="Arial" w:hAnsi="Arial" w:cs="Arial"/>
        </w:rPr>
      </w:pPr>
      <w:r w:rsidRPr="00C02731">
        <w:rPr>
          <w:rFonts w:ascii="Arial" w:eastAsia="Arial" w:hAnsi="Arial" w:cs="Arial"/>
        </w:rPr>
        <w:lastRenderedPageBreak/>
        <w:t>Por lo anterior, la Contraloría General de la República nunca debió vincular a la Aseguradora Solidaria</w:t>
      </w:r>
      <w:r w:rsidR="002431D8">
        <w:rPr>
          <w:rFonts w:ascii="Arial" w:eastAsia="Arial" w:hAnsi="Arial" w:cs="Arial"/>
        </w:rPr>
        <w:t xml:space="preserve"> de Colombia E.C.</w:t>
      </w:r>
      <w:r w:rsidRPr="00C02731">
        <w:rPr>
          <w:rFonts w:ascii="Arial" w:eastAsia="Arial" w:hAnsi="Arial" w:cs="Arial"/>
        </w:rPr>
        <w:t xml:space="preserve">, en razón a que es su obligación realizar un mínimo estudio de las condiciones generales de la </w:t>
      </w:r>
      <w:r w:rsidR="002431D8">
        <w:rPr>
          <w:rFonts w:ascii="Arial" w:eastAsia="Arial" w:hAnsi="Arial" w:cs="Arial"/>
        </w:rPr>
        <w:t>póliza, y en particular, de la L</w:t>
      </w:r>
      <w:r w:rsidRPr="00C02731">
        <w:rPr>
          <w:rFonts w:ascii="Arial" w:eastAsia="Arial" w:hAnsi="Arial" w:cs="Arial"/>
        </w:rPr>
        <w:t xml:space="preserve">ey 1474 del 2011 para determinar si el fenómeno de la caducidad había entrado a operar, tal como ocurrió en el presente caso. </w:t>
      </w:r>
    </w:p>
    <w:p w14:paraId="7C137185" w14:textId="77777777" w:rsidR="002868C9" w:rsidRPr="00C02731" w:rsidRDefault="002868C9" w:rsidP="00F104D8">
      <w:pPr>
        <w:pStyle w:val="Prrafodelista"/>
        <w:spacing w:line="360" w:lineRule="auto"/>
        <w:jc w:val="center"/>
        <w:rPr>
          <w:rFonts w:ascii="Arial" w:eastAsia="Arial" w:hAnsi="Arial" w:cs="Arial"/>
          <w:b/>
          <w:bCs/>
        </w:rPr>
      </w:pPr>
    </w:p>
    <w:p w14:paraId="10F7069C" w14:textId="77777777" w:rsidR="002868C9" w:rsidRPr="00C02731" w:rsidRDefault="002868C9" w:rsidP="00F104D8">
      <w:pPr>
        <w:pStyle w:val="Prrafodelista"/>
        <w:numPr>
          <w:ilvl w:val="0"/>
          <w:numId w:val="19"/>
        </w:numPr>
        <w:spacing w:after="160" w:line="360" w:lineRule="auto"/>
        <w:jc w:val="center"/>
        <w:rPr>
          <w:rFonts w:ascii="Arial" w:eastAsia="Arial" w:hAnsi="Arial" w:cs="Arial"/>
          <w:b/>
          <w:bCs/>
          <w:u w:val="single"/>
        </w:rPr>
      </w:pPr>
      <w:r w:rsidRPr="00C02731">
        <w:rPr>
          <w:rFonts w:ascii="Arial" w:eastAsia="Arial" w:hAnsi="Arial" w:cs="Arial"/>
          <w:b/>
          <w:bCs/>
          <w:u w:val="single"/>
        </w:rPr>
        <w:t xml:space="preserve">FRENTE A LA FALTA DE COBERTURA TEMPORAL DE LA PÓLIZA </w:t>
      </w:r>
    </w:p>
    <w:p w14:paraId="6FC55BEC" w14:textId="07D5AC9A" w:rsidR="002868C9" w:rsidRDefault="002868C9" w:rsidP="00F104D8">
      <w:pPr>
        <w:spacing w:line="360" w:lineRule="auto"/>
        <w:jc w:val="both"/>
        <w:rPr>
          <w:rFonts w:ascii="Arial" w:eastAsia="Arial" w:hAnsi="Arial" w:cs="Arial"/>
        </w:rPr>
      </w:pPr>
      <w:r w:rsidRPr="00C02731">
        <w:rPr>
          <w:rFonts w:ascii="Arial" w:eastAsia="Arial" w:hAnsi="Arial" w:cs="Arial"/>
        </w:rPr>
        <w:t>La Contraloría General de la República afirma que existieron los presupuestos para que se aplicara el inciso primero del artículo 1073 d</w:t>
      </w:r>
      <w:r w:rsidR="00C11BD9">
        <w:rPr>
          <w:rFonts w:ascii="Arial" w:eastAsia="Arial" w:hAnsi="Arial" w:cs="Arial"/>
        </w:rPr>
        <w:t>el Código de Comercio y que la A</w:t>
      </w:r>
      <w:r w:rsidRPr="00C02731">
        <w:rPr>
          <w:rFonts w:ascii="Arial" w:eastAsia="Arial" w:hAnsi="Arial" w:cs="Arial"/>
        </w:rPr>
        <w:t>seguradora Solidaria</w:t>
      </w:r>
      <w:r w:rsidR="00C11BD9">
        <w:rPr>
          <w:rFonts w:ascii="Arial" w:eastAsia="Arial" w:hAnsi="Arial" w:cs="Arial"/>
        </w:rPr>
        <w:t xml:space="preserve"> de Colombia</w:t>
      </w:r>
      <w:r w:rsidRPr="00C02731">
        <w:rPr>
          <w:rFonts w:ascii="Arial" w:eastAsia="Arial" w:hAnsi="Arial" w:cs="Arial"/>
        </w:rPr>
        <w:t xml:space="preserve"> respondiera</w:t>
      </w:r>
      <w:r w:rsidR="00C11BD9">
        <w:rPr>
          <w:rFonts w:ascii="Arial" w:eastAsia="Arial" w:hAnsi="Arial" w:cs="Arial"/>
        </w:rPr>
        <w:t xml:space="preserve"> por la obligación indemnizatoria</w:t>
      </w:r>
      <w:r w:rsidRPr="00C02731">
        <w:rPr>
          <w:rFonts w:ascii="Arial" w:eastAsia="Arial" w:hAnsi="Arial" w:cs="Arial"/>
        </w:rPr>
        <w:t xml:space="preserve">: </w:t>
      </w:r>
    </w:p>
    <w:p w14:paraId="761D713E" w14:textId="77777777" w:rsidR="00F104D8" w:rsidRPr="00C02731" w:rsidRDefault="00F104D8" w:rsidP="00F104D8">
      <w:pPr>
        <w:spacing w:line="360" w:lineRule="auto"/>
        <w:jc w:val="both"/>
        <w:rPr>
          <w:rFonts w:ascii="Arial" w:eastAsia="Arial" w:hAnsi="Arial" w:cs="Arial"/>
        </w:rPr>
      </w:pPr>
    </w:p>
    <w:p w14:paraId="016450FE" w14:textId="77777777" w:rsidR="002868C9" w:rsidRPr="00C02731" w:rsidRDefault="002868C9" w:rsidP="00F104D8">
      <w:pPr>
        <w:spacing w:before="180" w:after="180" w:line="360" w:lineRule="auto"/>
        <w:ind w:left="708"/>
        <w:jc w:val="both"/>
        <w:rPr>
          <w:rFonts w:ascii="Arial" w:eastAsia="Arial" w:hAnsi="Arial" w:cs="Arial"/>
          <w:i/>
          <w:iCs/>
        </w:rPr>
      </w:pPr>
      <w:r w:rsidRPr="00C02731">
        <w:rPr>
          <w:rFonts w:ascii="Arial" w:eastAsia="Arial" w:hAnsi="Arial" w:cs="Arial"/>
          <w:b/>
          <w:bCs/>
          <w:i/>
          <w:iCs/>
        </w:rPr>
        <w:t>“ARTÍCULO 1073. &lt;RESPONSABILIDAD DEL ASEGURADOR SEGÚN EL INICIO DEL SINIESTRO&gt;.</w:t>
      </w:r>
      <w:r w:rsidRPr="00C02731">
        <w:rPr>
          <w:rFonts w:ascii="Arial" w:eastAsia="Arial" w:hAnsi="Arial" w:cs="Arial"/>
          <w:i/>
          <w:iCs/>
        </w:rPr>
        <w:t xml:space="preserve"> Si el siniestro, iniciado antes y continuado después de vencido el término del seguro, consuma la pérdida o deterioro de la cosa asegurada, el asegurador responde del valor de la indemnización en los términos del contrato.</w:t>
      </w:r>
    </w:p>
    <w:p w14:paraId="05C33A9F" w14:textId="2DAC8AED" w:rsidR="00F104D8" w:rsidRPr="00C02731" w:rsidRDefault="002868C9" w:rsidP="00F104D8">
      <w:pPr>
        <w:spacing w:before="180" w:after="180" w:line="360" w:lineRule="auto"/>
        <w:ind w:left="708"/>
        <w:jc w:val="both"/>
        <w:rPr>
          <w:rFonts w:ascii="Arial" w:eastAsia="Arial" w:hAnsi="Arial" w:cs="Arial"/>
          <w:i/>
          <w:iCs/>
        </w:rPr>
      </w:pPr>
      <w:r w:rsidRPr="00C02731">
        <w:rPr>
          <w:rFonts w:ascii="Arial" w:eastAsia="Arial" w:hAnsi="Arial" w:cs="Arial"/>
          <w:i/>
          <w:iCs/>
        </w:rPr>
        <w:t xml:space="preserve">Pero si se inicia antes y continúa después que los riesgos hayan principiado a correr por cuenta del asegurador, éste no será responsable por el siniestro”. </w:t>
      </w:r>
    </w:p>
    <w:p w14:paraId="5C98BBD6" w14:textId="7131BF40" w:rsidR="002868C9" w:rsidRPr="00C02731" w:rsidRDefault="00FE616C" w:rsidP="00F104D8">
      <w:pPr>
        <w:spacing w:before="180" w:after="180" w:line="360" w:lineRule="auto"/>
        <w:jc w:val="both"/>
        <w:rPr>
          <w:rFonts w:ascii="Arial" w:eastAsia="Arial" w:hAnsi="Arial" w:cs="Arial"/>
        </w:rPr>
      </w:pPr>
      <w:bookmarkStart w:id="7" w:name="_Int_RJfWBEfF"/>
      <w:r>
        <w:rPr>
          <w:rFonts w:ascii="Arial" w:eastAsia="Arial" w:hAnsi="Arial" w:cs="Arial"/>
        </w:rPr>
        <w:t>Al respecto, e</w:t>
      </w:r>
      <w:r w:rsidR="002868C9" w:rsidRPr="00C02731">
        <w:rPr>
          <w:rFonts w:ascii="Arial" w:eastAsia="Arial" w:hAnsi="Arial" w:cs="Arial"/>
        </w:rPr>
        <w:t>s menester precisar que la parte demandada realiza una errónea interpretación de la disposición normativa, puesto que lo relevante a la hora de determinar cuál póliza debe ser afectada es la fecha en qué ocurre el siniestro para así verificar qué póliza estaba vigente</w:t>
      </w:r>
      <w:r>
        <w:rPr>
          <w:rFonts w:ascii="Arial" w:eastAsia="Arial" w:hAnsi="Arial" w:cs="Arial"/>
        </w:rPr>
        <w:t xml:space="preserve"> </w:t>
      </w:r>
      <w:r w:rsidRPr="00FE616C">
        <w:rPr>
          <w:rFonts w:ascii="Arial" w:eastAsia="Arial" w:hAnsi="Arial" w:cs="Arial"/>
          <w:b/>
        </w:rPr>
        <w:t>(teoría aplicable para las pólizas expedidas bajo la modalidad de ocurrencia, como aquí ocurrió)</w:t>
      </w:r>
      <w:r w:rsidR="002868C9" w:rsidRPr="00FE616C">
        <w:rPr>
          <w:rFonts w:ascii="Arial" w:eastAsia="Arial" w:hAnsi="Arial" w:cs="Arial"/>
          <w:b/>
        </w:rPr>
        <w:t>.</w:t>
      </w:r>
      <w:bookmarkEnd w:id="7"/>
      <w:r w:rsidR="002868C9" w:rsidRPr="00C02731">
        <w:rPr>
          <w:rFonts w:ascii="Arial" w:eastAsia="Arial" w:hAnsi="Arial" w:cs="Arial"/>
        </w:rPr>
        <w:t xml:space="preserve"> </w:t>
      </w:r>
      <w:bookmarkStart w:id="8" w:name="_Int_0Q6jHYHz"/>
      <w:r w:rsidR="002868C9" w:rsidRPr="00C02731">
        <w:rPr>
          <w:rFonts w:ascii="Arial" w:eastAsia="Arial" w:hAnsi="Arial" w:cs="Arial"/>
        </w:rPr>
        <w:t>En el caso concreto, el siniestro o el hecho generador del daño ocurrió el 2 de diciembre de 2014, en dicha fecha no estaba vigente la póliza de seguro No. 435-64-994000000499, pues esta entró a regir en la vigencia del 21 de mayo de 2016 al 21 de mayo de 2017.</w:t>
      </w:r>
      <w:bookmarkEnd w:id="8"/>
      <w:r w:rsidR="002868C9" w:rsidRPr="00C02731">
        <w:rPr>
          <w:rFonts w:ascii="Arial" w:eastAsia="Arial" w:hAnsi="Arial" w:cs="Arial"/>
        </w:rPr>
        <w:t xml:space="preserve"> </w:t>
      </w:r>
      <w:bookmarkStart w:id="9" w:name="_Int_Aw2sO3VC"/>
      <w:r w:rsidR="002F5EEB">
        <w:rPr>
          <w:rFonts w:ascii="Arial" w:eastAsia="Arial" w:hAnsi="Arial" w:cs="Arial"/>
        </w:rPr>
        <w:t>Siendo así, la póliza que debía operar era</w:t>
      </w:r>
      <w:r w:rsidR="002868C9" w:rsidRPr="00C02731">
        <w:rPr>
          <w:rFonts w:ascii="Arial" w:eastAsia="Arial" w:hAnsi="Arial" w:cs="Arial"/>
        </w:rPr>
        <w:t xml:space="preserve"> la que est</w:t>
      </w:r>
      <w:r w:rsidR="002F5EEB">
        <w:rPr>
          <w:rFonts w:ascii="Arial" w:eastAsia="Arial" w:hAnsi="Arial" w:cs="Arial"/>
        </w:rPr>
        <w:t>uviera</w:t>
      </w:r>
      <w:r w:rsidR="002868C9" w:rsidRPr="00C02731">
        <w:rPr>
          <w:rFonts w:ascii="Arial" w:eastAsia="Arial" w:hAnsi="Arial" w:cs="Arial"/>
        </w:rPr>
        <w:t xml:space="preserve"> vigente al momento de los hechos, esto es</w:t>
      </w:r>
      <w:r w:rsidR="002F5EEB">
        <w:rPr>
          <w:rFonts w:ascii="Arial" w:eastAsia="Arial" w:hAnsi="Arial" w:cs="Arial"/>
        </w:rPr>
        <w:t>,</w:t>
      </w:r>
      <w:r w:rsidR="002868C9" w:rsidRPr="00C02731">
        <w:rPr>
          <w:rFonts w:ascii="Arial" w:eastAsia="Arial" w:hAnsi="Arial" w:cs="Arial"/>
        </w:rPr>
        <w:t xml:space="preserve"> en el mes de diciembre de 2014</w:t>
      </w:r>
      <w:bookmarkEnd w:id="9"/>
      <w:r w:rsidR="002F5EEB">
        <w:rPr>
          <w:rFonts w:ascii="Arial" w:eastAsia="Arial" w:hAnsi="Arial" w:cs="Arial"/>
        </w:rPr>
        <w:t>, como se dijo líneas atrás.</w:t>
      </w:r>
      <w:r w:rsidR="002868C9" w:rsidRPr="00C02731">
        <w:rPr>
          <w:rFonts w:ascii="Arial" w:eastAsia="Arial" w:hAnsi="Arial" w:cs="Arial"/>
        </w:rPr>
        <w:t xml:space="preserve"> </w:t>
      </w:r>
    </w:p>
    <w:p w14:paraId="6A6ADFEF" w14:textId="0E0131A9" w:rsidR="002868C9" w:rsidRPr="00F104D8" w:rsidRDefault="002868C9" w:rsidP="00F104D8">
      <w:pPr>
        <w:spacing w:before="180" w:after="180" w:line="360" w:lineRule="auto"/>
        <w:jc w:val="both"/>
        <w:rPr>
          <w:rFonts w:ascii="Arial" w:eastAsia="Arial" w:hAnsi="Arial" w:cs="Arial"/>
        </w:rPr>
      </w:pPr>
      <w:bookmarkStart w:id="10" w:name="_Int_OUf7TaUh"/>
      <w:r w:rsidRPr="00C02731">
        <w:rPr>
          <w:rFonts w:ascii="Arial" w:eastAsia="Arial" w:hAnsi="Arial" w:cs="Arial"/>
        </w:rPr>
        <w:t>Lo anterior, bajo el entendido de que la modalidad de la póli</w:t>
      </w:r>
      <w:r w:rsidR="002F5EEB">
        <w:rPr>
          <w:rFonts w:ascii="Arial" w:eastAsia="Arial" w:hAnsi="Arial" w:cs="Arial"/>
        </w:rPr>
        <w:t>za No. 435-64-994000000499 es por</w:t>
      </w:r>
      <w:r w:rsidRPr="00C02731">
        <w:rPr>
          <w:rFonts w:ascii="Arial" w:eastAsia="Arial" w:hAnsi="Arial" w:cs="Arial"/>
        </w:rPr>
        <w:t xml:space="preserve"> </w:t>
      </w:r>
      <w:r w:rsidRPr="00C02731">
        <w:rPr>
          <w:rFonts w:ascii="Arial" w:eastAsia="Arial" w:hAnsi="Arial" w:cs="Arial"/>
          <w:u w:val="single"/>
        </w:rPr>
        <w:t>ocurrencia</w:t>
      </w:r>
      <w:r w:rsidRPr="00C02731">
        <w:rPr>
          <w:rFonts w:ascii="Arial" w:eastAsia="Arial" w:hAnsi="Arial" w:cs="Arial"/>
        </w:rPr>
        <w:t>, lo que significa que, si el siniestro se presenta durante la vigencia de la póliza, esta es la que entrará a responder, pero si el siniestro ocurre con anterioridad a la vigencia, se convierte en un hecho cierto y por ende es imposible de</w:t>
      </w:r>
      <w:r w:rsidR="002F5EEB">
        <w:rPr>
          <w:rFonts w:ascii="Arial" w:eastAsia="Arial" w:hAnsi="Arial" w:cs="Arial"/>
        </w:rPr>
        <w:t xml:space="preserve"> aseguramiento de acuerdo con lo dispuesto en el</w:t>
      </w:r>
      <w:r w:rsidRPr="00C02731">
        <w:rPr>
          <w:rFonts w:ascii="Arial" w:eastAsia="Arial" w:hAnsi="Arial" w:cs="Arial"/>
        </w:rPr>
        <w:t xml:space="preserve"> artículo 1054 del Código de Comercio</w:t>
      </w:r>
      <w:bookmarkEnd w:id="10"/>
      <w:r w:rsidR="002F5EEB">
        <w:rPr>
          <w:rFonts w:ascii="Arial" w:eastAsia="Arial" w:hAnsi="Arial" w:cs="Arial"/>
        </w:rPr>
        <w:t xml:space="preserve">, a excepción de lo que ocurre en las pólizas expedidas bajo la modalidad </w:t>
      </w:r>
      <w:proofErr w:type="spellStart"/>
      <w:r w:rsidR="002F5EEB" w:rsidRPr="002F5EEB">
        <w:rPr>
          <w:rFonts w:ascii="Arial" w:eastAsia="Arial" w:hAnsi="Arial" w:cs="Arial"/>
          <w:i/>
        </w:rPr>
        <w:t>Claims-Made</w:t>
      </w:r>
      <w:proofErr w:type="spellEnd"/>
      <w:r w:rsidR="002F5EEB">
        <w:rPr>
          <w:rFonts w:ascii="Arial" w:eastAsia="Arial" w:hAnsi="Arial" w:cs="Arial"/>
        </w:rPr>
        <w:t>,</w:t>
      </w:r>
      <w:r w:rsidRPr="00C02731">
        <w:rPr>
          <w:rFonts w:ascii="Arial" w:eastAsia="Arial" w:hAnsi="Arial" w:cs="Arial"/>
        </w:rPr>
        <w:t xml:space="preserve"> </w:t>
      </w:r>
      <w:r w:rsidR="002F5EEB">
        <w:rPr>
          <w:rFonts w:ascii="Arial" w:eastAsia="Arial" w:hAnsi="Arial" w:cs="Arial"/>
        </w:rPr>
        <w:t xml:space="preserve">donde los hechos pueden ser pretéritos, pero la reclamación debe </w:t>
      </w:r>
      <w:r w:rsidR="002F5EEB" w:rsidRPr="00F104D8">
        <w:rPr>
          <w:rFonts w:ascii="Arial" w:eastAsia="Arial" w:hAnsi="Arial" w:cs="Arial"/>
        </w:rPr>
        <w:t>efectuarse en vigencia de la póliza.</w:t>
      </w:r>
    </w:p>
    <w:p w14:paraId="0135DB90" w14:textId="36DB6D5C" w:rsidR="002868C9" w:rsidRPr="00C02731" w:rsidRDefault="002868C9" w:rsidP="00F104D8">
      <w:pPr>
        <w:spacing w:before="180" w:after="180" w:line="360" w:lineRule="auto"/>
        <w:jc w:val="both"/>
        <w:rPr>
          <w:rFonts w:ascii="Arial" w:eastAsia="Arial" w:hAnsi="Arial" w:cs="Arial"/>
        </w:rPr>
      </w:pPr>
      <w:r w:rsidRPr="00C02731">
        <w:rPr>
          <w:rFonts w:ascii="Arial" w:eastAsia="Arial" w:hAnsi="Arial" w:cs="Arial"/>
        </w:rPr>
        <w:t>En consecuencia, reitero, si la Contraloría General de la República hubiera examinado las condiciones generales de la póliza, no hubiera orden</w:t>
      </w:r>
      <w:r w:rsidR="00D348ED">
        <w:rPr>
          <w:rFonts w:ascii="Arial" w:eastAsia="Arial" w:hAnsi="Arial" w:cs="Arial"/>
        </w:rPr>
        <w:t>ado que mi procurada</w:t>
      </w:r>
      <w:r w:rsidRPr="00C02731">
        <w:rPr>
          <w:rFonts w:ascii="Arial" w:eastAsia="Arial" w:hAnsi="Arial" w:cs="Arial"/>
        </w:rPr>
        <w:t xml:space="preserve"> respondiera por los hechos</w:t>
      </w:r>
      <w:r w:rsidR="00AE0815">
        <w:rPr>
          <w:rFonts w:ascii="Arial" w:eastAsia="Arial" w:hAnsi="Arial" w:cs="Arial"/>
        </w:rPr>
        <w:t xml:space="preserve"> atribuidos como tercero civilmente responsable, ya que es claro que en el sub-examine, no existe cobertura temporal del contrato de seguro con el que se ordenó la vinculación de mi procurada.</w:t>
      </w:r>
      <w:r w:rsidRPr="00C02731">
        <w:rPr>
          <w:rFonts w:ascii="Arial" w:eastAsia="Arial" w:hAnsi="Arial" w:cs="Arial"/>
        </w:rPr>
        <w:t xml:space="preserve"> </w:t>
      </w:r>
    </w:p>
    <w:p w14:paraId="1B9ACE4F" w14:textId="1C729041" w:rsidR="002868C9" w:rsidRPr="00C02731" w:rsidRDefault="002868C9" w:rsidP="00F104D8">
      <w:pPr>
        <w:pStyle w:val="Prrafodelista"/>
        <w:numPr>
          <w:ilvl w:val="0"/>
          <w:numId w:val="19"/>
        </w:numPr>
        <w:spacing w:after="160" w:line="360" w:lineRule="auto"/>
        <w:jc w:val="center"/>
        <w:rPr>
          <w:rFonts w:ascii="Arial" w:eastAsia="Arial" w:hAnsi="Arial" w:cs="Arial"/>
          <w:b/>
          <w:bCs/>
          <w:u w:val="single"/>
        </w:rPr>
      </w:pPr>
      <w:r w:rsidRPr="00C02731">
        <w:rPr>
          <w:rFonts w:ascii="Arial" w:eastAsia="Arial" w:hAnsi="Arial" w:cs="Arial"/>
          <w:b/>
          <w:bCs/>
          <w:u w:val="single"/>
        </w:rPr>
        <w:lastRenderedPageBreak/>
        <w:t xml:space="preserve">FRENTE AL LÍMITE DEL VALOR ASEGURADO Y DEL ENRIQUECIMIENTO SIN JUSTA CAUSA. </w:t>
      </w:r>
    </w:p>
    <w:p w14:paraId="2E598785" w14:textId="77777777" w:rsidR="002868C9" w:rsidRPr="00C02731" w:rsidRDefault="002868C9" w:rsidP="00F104D8">
      <w:pPr>
        <w:spacing w:line="360" w:lineRule="auto"/>
        <w:jc w:val="both"/>
        <w:rPr>
          <w:rFonts w:ascii="Arial" w:eastAsia="Arial" w:hAnsi="Arial" w:cs="Arial"/>
        </w:rPr>
      </w:pPr>
      <w:r w:rsidRPr="00C02731">
        <w:rPr>
          <w:rFonts w:ascii="Arial" w:eastAsia="Arial" w:hAnsi="Arial" w:cs="Arial"/>
        </w:rPr>
        <w:t xml:space="preserve">La Contraloría General de la República asevera que </w:t>
      </w:r>
      <w:r w:rsidRPr="00C02731">
        <w:rPr>
          <w:rFonts w:ascii="Arial" w:eastAsia="Arial" w:hAnsi="Arial" w:cs="Arial"/>
          <w:i/>
          <w:iCs/>
        </w:rPr>
        <w:t xml:space="preserve">“no es cierto que el valor por el que se llamó a responder a las aseguradoras supere el valor del detrimento patrimonial, pues se entiende que la cuantía descrita para cada una debe ser pagada de manera solidaria y por el límite que para cada uno se fijó, lo cual ha sido atendido fielmente por el ente de control fiscal”. </w:t>
      </w:r>
      <w:bookmarkStart w:id="11" w:name="_Int_xY825emJ"/>
      <w:r w:rsidRPr="00C02731">
        <w:rPr>
          <w:rFonts w:ascii="Arial" w:eastAsia="Arial" w:hAnsi="Arial" w:cs="Arial"/>
        </w:rPr>
        <w:t>Al respecto, es necesario precisar que no existe solidaridad entre las compañías aseguradoras, puesto que los riesgos asegurables, vigencias y condiciones generales son totalmente distintas, además que la póliza No. 435-64-994000000499 se circunscribe únicamente a la responsabilidad fiscal del servidor público Luis Hermes Vivas.</w:t>
      </w:r>
      <w:bookmarkEnd w:id="11"/>
      <w:r w:rsidRPr="00C02731">
        <w:rPr>
          <w:rFonts w:ascii="Arial" w:eastAsia="Arial" w:hAnsi="Arial" w:cs="Arial"/>
        </w:rPr>
        <w:t xml:space="preserve"> </w:t>
      </w:r>
    </w:p>
    <w:p w14:paraId="433D6BF0" w14:textId="77777777" w:rsidR="002868C9" w:rsidRPr="00C02731" w:rsidRDefault="002868C9" w:rsidP="00F104D8">
      <w:pPr>
        <w:spacing w:line="360" w:lineRule="auto"/>
        <w:jc w:val="both"/>
        <w:rPr>
          <w:rFonts w:ascii="Arial" w:eastAsia="Arial" w:hAnsi="Arial" w:cs="Arial"/>
        </w:rPr>
      </w:pPr>
    </w:p>
    <w:p w14:paraId="003FA948" w14:textId="77777777" w:rsidR="00052EC7" w:rsidRDefault="002868C9" w:rsidP="00F104D8">
      <w:pPr>
        <w:spacing w:line="360" w:lineRule="auto"/>
        <w:jc w:val="both"/>
        <w:rPr>
          <w:rFonts w:ascii="Arial" w:eastAsia="Arial" w:hAnsi="Arial" w:cs="Arial"/>
          <w:i/>
          <w:iCs/>
        </w:rPr>
      </w:pPr>
      <w:r w:rsidRPr="00C02731">
        <w:rPr>
          <w:rFonts w:ascii="Arial" w:eastAsia="Arial" w:hAnsi="Arial" w:cs="Arial"/>
        </w:rPr>
        <w:t xml:space="preserve">Por otro lado, afirma la parte demandada que </w:t>
      </w:r>
      <w:r w:rsidRPr="00C02731">
        <w:rPr>
          <w:rFonts w:ascii="Arial" w:eastAsia="Arial" w:hAnsi="Arial" w:cs="Arial"/>
          <w:i/>
          <w:iCs/>
        </w:rPr>
        <w:t xml:space="preserve">“en el precitado auto se determinó que la cuantía del daño DOSCIENTOS VEINTISEIS MILLONES QUINIENTOS VEINTISEIS MIL DOSCIENTOS SETENTA Y TRES PESOS CON SIETE CENTAVOS M/CTE ($226.526.273,07) en consecuencia nótese que no existe “enriquecimiento sin justa causa” toda vez que – se reitera – el valor del proceso de cobro coactivo es el mismo valor del daño causado”. </w:t>
      </w:r>
      <w:bookmarkStart w:id="12" w:name="_Int_MobgX1SJ"/>
    </w:p>
    <w:p w14:paraId="3A5D971C" w14:textId="77777777" w:rsidR="00052EC7" w:rsidRDefault="00052EC7" w:rsidP="00F104D8">
      <w:pPr>
        <w:spacing w:line="360" w:lineRule="auto"/>
        <w:jc w:val="both"/>
        <w:rPr>
          <w:rFonts w:ascii="Arial" w:eastAsia="Arial" w:hAnsi="Arial" w:cs="Arial"/>
          <w:i/>
          <w:iCs/>
        </w:rPr>
      </w:pPr>
    </w:p>
    <w:p w14:paraId="3BB0D614" w14:textId="254DF285" w:rsidR="002868C9" w:rsidRPr="00C02731" w:rsidRDefault="002868C9" w:rsidP="00F104D8">
      <w:pPr>
        <w:spacing w:line="360" w:lineRule="auto"/>
        <w:jc w:val="both"/>
        <w:rPr>
          <w:rFonts w:ascii="Arial" w:eastAsia="Arial" w:hAnsi="Arial" w:cs="Arial"/>
        </w:rPr>
      </w:pPr>
      <w:r w:rsidRPr="00C02731">
        <w:rPr>
          <w:rFonts w:ascii="Arial" w:eastAsia="Arial" w:hAnsi="Arial" w:cs="Arial"/>
        </w:rPr>
        <w:t>En este punto, la discusión no se limita únicamente al valor pagado por parte de la compañía, sino</w:t>
      </w:r>
      <w:r w:rsidR="00C047D5">
        <w:rPr>
          <w:rFonts w:ascii="Arial" w:eastAsia="Arial" w:hAnsi="Arial" w:cs="Arial"/>
        </w:rPr>
        <w:t xml:space="preserve"> a la cantidad respecto de la cual</w:t>
      </w:r>
      <w:r w:rsidRPr="00C02731">
        <w:rPr>
          <w:rFonts w:ascii="Arial" w:eastAsia="Arial" w:hAnsi="Arial" w:cs="Arial"/>
        </w:rPr>
        <w:t xml:space="preserve"> fue condenada sin observancia de las condiciones generales de la póliza, esto es, que existía un sublimite para cada evento de $ 50.000.000</w:t>
      </w:r>
      <w:r w:rsidR="00C047D5">
        <w:rPr>
          <w:rFonts w:ascii="Arial" w:eastAsia="Arial" w:hAnsi="Arial" w:cs="Arial"/>
        </w:rPr>
        <w:t xml:space="preserve"> Pesos M/</w:t>
      </w:r>
      <w:proofErr w:type="spellStart"/>
      <w:r w:rsidR="00C047D5">
        <w:rPr>
          <w:rFonts w:ascii="Arial" w:eastAsia="Arial" w:hAnsi="Arial" w:cs="Arial"/>
        </w:rPr>
        <w:t>cte</w:t>
      </w:r>
      <w:proofErr w:type="spellEnd"/>
      <w:r w:rsidRPr="00C02731">
        <w:rPr>
          <w:rFonts w:ascii="Arial" w:eastAsia="Arial" w:hAnsi="Arial" w:cs="Arial"/>
        </w:rPr>
        <w:t>, el cual, fue desconocido rotundamente por la Contraloría General de la República pues condenó a la compañía al pago de $ 79.612.422</w:t>
      </w:r>
      <w:r w:rsidR="00C047D5">
        <w:rPr>
          <w:rFonts w:ascii="Arial" w:eastAsia="Arial" w:hAnsi="Arial" w:cs="Arial"/>
        </w:rPr>
        <w:t xml:space="preserve"> Pesos M/</w:t>
      </w:r>
      <w:proofErr w:type="spellStart"/>
      <w:r w:rsidR="00C047D5">
        <w:rPr>
          <w:rFonts w:ascii="Arial" w:eastAsia="Arial" w:hAnsi="Arial" w:cs="Arial"/>
        </w:rPr>
        <w:t>cte</w:t>
      </w:r>
      <w:proofErr w:type="spellEnd"/>
      <w:r w:rsidRPr="00C02731">
        <w:rPr>
          <w:rFonts w:ascii="Arial" w:eastAsia="Arial" w:hAnsi="Arial" w:cs="Arial"/>
        </w:rPr>
        <w:t>, valor que termina siendo evidentemente superior a lo que estaba obligada a pagar, y es de ahí que deviene</w:t>
      </w:r>
      <w:r w:rsidR="00C047D5">
        <w:rPr>
          <w:rFonts w:ascii="Arial" w:eastAsia="Arial" w:hAnsi="Arial" w:cs="Arial"/>
        </w:rPr>
        <w:t xml:space="preserve"> justamente</w:t>
      </w:r>
      <w:r w:rsidRPr="00C02731">
        <w:rPr>
          <w:rFonts w:ascii="Arial" w:eastAsia="Arial" w:hAnsi="Arial" w:cs="Arial"/>
        </w:rPr>
        <w:t xml:space="preserve"> el enriquecimiento sin justa causa, pues no exis</w:t>
      </w:r>
      <w:r w:rsidR="00C047D5">
        <w:rPr>
          <w:rFonts w:ascii="Arial" w:eastAsia="Arial" w:hAnsi="Arial" w:cs="Arial"/>
        </w:rPr>
        <w:t>tía razón jurídica para que la A</w:t>
      </w:r>
      <w:r w:rsidRPr="00C02731">
        <w:rPr>
          <w:rFonts w:ascii="Arial" w:eastAsia="Arial" w:hAnsi="Arial" w:cs="Arial"/>
        </w:rPr>
        <w:t>seguradora Solidaria</w:t>
      </w:r>
      <w:r w:rsidR="00C047D5">
        <w:rPr>
          <w:rFonts w:ascii="Arial" w:eastAsia="Arial" w:hAnsi="Arial" w:cs="Arial"/>
        </w:rPr>
        <w:t xml:space="preserve"> de Colombia</w:t>
      </w:r>
      <w:r w:rsidRPr="00C02731">
        <w:rPr>
          <w:rFonts w:ascii="Arial" w:eastAsia="Arial" w:hAnsi="Arial" w:cs="Arial"/>
        </w:rPr>
        <w:t xml:space="preserve"> asumiera dicha carga y menoscabara su patrimonio</w:t>
      </w:r>
      <w:bookmarkEnd w:id="12"/>
      <w:r w:rsidR="00C047D5">
        <w:rPr>
          <w:rFonts w:ascii="Arial" w:eastAsia="Arial" w:hAnsi="Arial" w:cs="Arial"/>
        </w:rPr>
        <w:t>, ya que bien alude el artículo 1079 del Código de Comercio, que el asegurador (compañía de seguros) estará obligado a responder única y exclusivamente hasta la concurrencia de la suma asegurada. Disposición que, en el caso de marras, fue totalmente obviada por la entidad</w:t>
      </w:r>
      <w:r w:rsidR="001F443A">
        <w:rPr>
          <w:rFonts w:ascii="Arial" w:eastAsia="Arial" w:hAnsi="Arial" w:cs="Arial"/>
        </w:rPr>
        <w:t xml:space="preserve"> demandada, motivo por el cual, es procedente la declaratoria de nulidad de los actos administrativos sujetos de control judicial.</w:t>
      </w:r>
      <w:r w:rsidR="00C047D5">
        <w:rPr>
          <w:rFonts w:ascii="Arial" w:eastAsia="Arial" w:hAnsi="Arial" w:cs="Arial"/>
        </w:rPr>
        <w:t xml:space="preserve"> </w:t>
      </w:r>
      <w:r w:rsidRPr="00C02731">
        <w:rPr>
          <w:rFonts w:ascii="Arial" w:eastAsia="Arial" w:hAnsi="Arial" w:cs="Arial"/>
        </w:rPr>
        <w:t xml:space="preserve">  </w:t>
      </w:r>
    </w:p>
    <w:p w14:paraId="0A11922A" w14:textId="77777777" w:rsidR="002868C9" w:rsidRPr="00C02731" w:rsidRDefault="002868C9" w:rsidP="00F104D8">
      <w:pPr>
        <w:spacing w:line="360" w:lineRule="auto"/>
        <w:jc w:val="center"/>
        <w:rPr>
          <w:rFonts w:ascii="Arial" w:eastAsia="Arial" w:hAnsi="Arial" w:cs="Arial"/>
          <w:b/>
          <w:bCs/>
        </w:rPr>
      </w:pPr>
    </w:p>
    <w:p w14:paraId="5F210104" w14:textId="77777777" w:rsidR="002868C9" w:rsidRPr="00C02731" w:rsidRDefault="002868C9" w:rsidP="00F104D8">
      <w:pPr>
        <w:pStyle w:val="Prrafodelista"/>
        <w:numPr>
          <w:ilvl w:val="0"/>
          <w:numId w:val="19"/>
        </w:numPr>
        <w:spacing w:after="160" w:line="360" w:lineRule="auto"/>
        <w:jc w:val="center"/>
        <w:rPr>
          <w:rFonts w:ascii="Arial" w:eastAsia="Arial" w:hAnsi="Arial" w:cs="Arial"/>
          <w:b/>
          <w:bCs/>
          <w:u w:val="single"/>
        </w:rPr>
      </w:pPr>
      <w:r w:rsidRPr="00C02731">
        <w:rPr>
          <w:rFonts w:ascii="Arial" w:eastAsia="Arial" w:hAnsi="Arial" w:cs="Arial"/>
          <w:b/>
          <w:bCs/>
          <w:u w:val="single"/>
        </w:rPr>
        <w:t>FRENTE A LA PRESUNCIÓN DE LEGALIDAD DE LOS ACTOS ADMINISTRATIVOS</w:t>
      </w:r>
    </w:p>
    <w:p w14:paraId="1030D34B" w14:textId="7550AFB4" w:rsidR="002868C9" w:rsidRPr="00C02731" w:rsidRDefault="002868C9" w:rsidP="00F104D8">
      <w:pPr>
        <w:spacing w:line="360" w:lineRule="auto"/>
        <w:jc w:val="both"/>
        <w:rPr>
          <w:rFonts w:ascii="Arial" w:eastAsia="Arial" w:hAnsi="Arial" w:cs="Arial"/>
        </w:rPr>
      </w:pPr>
      <w:r w:rsidRPr="00C02731">
        <w:rPr>
          <w:rFonts w:ascii="Arial" w:eastAsia="Arial" w:hAnsi="Arial" w:cs="Arial"/>
        </w:rPr>
        <w:t>Por último, asevera la Contraloría General de la República que los actos administrativos expedidos por la entidad se realizaron con el lleno de los requisitos legales y por tanto se presumen legales. Dicho planteamiento, es errado, pues se ha demostrado que la entidad fiscal ignoró por completo las normas aplicables</w:t>
      </w:r>
      <w:r w:rsidR="00B01C87">
        <w:rPr>
          <w:rFonts w:ascii="Arial" w:eastAsia="Arial" w:hAnsi="Arial" w:cs="Arial"/>
        </w:rPr>
        <w:t xml:space="preserve"> al proceso de responsabilidad fiscal y a las pólizas de seguro, dado que </w:t>
      </w:r>
      <w:r w:rsidRPr="00C02731">
        <w:rPr>
          <w:rFonts w:ascii="Arial" w:eastAsia="Arial" w:hAnsi="Arial" w:cs="Arial"/>
        </w:rPr>
        <w:t xml:space="preserve"> motivó falsamente</w:t>
      </w:r>
      <w:r w:rsidR="00B01C87">
        <w:rPr>
          <w:rFonts w:ascii="Arial" w:eastAsia="Arial" w:hAnsi="Arial" w:cs="Arial"/>
        </w:rPr>
        <w:t xml:space="preserve"> los actos administrativos que nos ocupan la atención, con el único propósito de que mi procurada fuera condenada a pagar una suma de dinero, respecto de la cual no tenía obligación legal para hacerlo, en razón a que: </w:t>
      </w:r>
      <w:r w:rsidRPr="00C02731">
        <w:rPr>
          <w:rFonts w:ascii="Arial" w:eastAsia="Arial" w:hAnsi="Arial" w:cs="Arial"/>
          <w:b/>
          <w:bCs/>
        </w:rPr>
        <w:t>i)</w:t>
      </w:r>
      <w:r w:rsidRPr="00C02731">
        <w:rPr>
          <w:rFonts w:ascii="Arial" w:eastAsia="Arial" w:hAnsi="Arial" w:cs="Arial"/>
        </w:rPr>
        <w:t xml:space="preserve"> el hecho generador del daño patrimonial fue de ejecución instantánea y se causó el 2 de diciembre de 2014, </w:t>
      </w:r>
      <w:r w:rsidRPr="00C02731">
        <w:rPr>
          <w:rFonts w:ascii="Arial" w:eastAsia="Arial" w:hAnsi="Arial" w:cs="Arial"/>
          <w:b/>
          <w:bCs/>
        </w:rPr>
        <w:t>ii)</w:t>
      </w:r>
      <w:r w:rsidRPr="00C02731">
        <w:rPr>
          <w:rFonts w:ascii="Arial" w:eastAsia="Arial" w:hAnsi="Arial" w:cs="Arial"/>
        </w:rPr>
        <w:t xml:space="preserve"> en este sentido, había operado el </w:t>
      </w:r>
      <w:r w:rsidRPr="00C02731">
        <w:rPr>
          <w:rFonts w:ascii="Arial" w:eastAsia="Arial" w:hAnsi="Arial" w:cs="Arial"/>
        </w:rPr>
        <w:lastRenderedPageBreak/>
        <w:t xml:space="preserve">fenómeno de la caducidad de la acción </w:t>
      </w:r>
      <w:r w:rsidR="00B01C87">
        <w:rPr>
          <w:rFonts w:ascii="Arial" w:eastAsia="Arial" w:hAnsi="Arial" w:cs="Arial"/>
        </w:rPr>
        <w:t>fiscal en lo que compete a mi procurada</w:t>
      </w:r>
      <w:r w:rsidRPr="00C02731">
        <w:rPr>
          <w:rFonts w:ascii="Arial" w:eastAsia="Arial" w:hAnsi="Arial" w:cs="Arial"/>
        </w:rPr>
        <w:t xml:space="preserve">, </w:t>
      </w:r>
      <w:r w:rsidRPr="00C02731">
        <w:rPr>
          <w:rFonts w:ascii="Arial" w:eastAsia="Arial" w:hAnsi="Arial" w:cs="Arial"/>
          <w:b/>
          <w:bCs/>
        </w:rPr>
        <w:t>iii)</w:t>
      </w:r>
      <w:r w:rsidRPr="00C02731">
        <w:rPr>
          <w:rFonts w:ascii="Arial" w:eastAsia="Arial" w:hAnsi="Arial" w:cs="Arial"/>
        </w:rPr>
        <w:t xml:space="preserve"> no había cobertura</w:t>
      </w:r>
      <w:r w:rsidR="00B01C87">
        <w:rPr>
          <w:rFonts w:ascii="Arial" w:eastAsia="Arial" w:hAnsi="Arial" w:cs="Arial"/>
        </w:rPr>
        <w:t xml:space="preserve"> temporal de la póliza, dado que,</w:t>
      </w:r>
      <w:r w:rsidRPr="00C02731">
        <w:rPr>
          <w:rFonts w:ascii="Arial" w:eastAsia="Arial" w:hAnsi="Arial" w:cs="Arial"/>
        </w:rPr>
        <w:t xml:space="preserve"> el siniestro ocurrió</w:t>
      </w:r>
      <w:r w:rsidR="00B01C87">
        <w:rPr>
          <w:rFonts w:ascii="Arial" w:eastAsia="Arial" w:hAnsi="Arial" w:cs="Arial"/>
        </w:rPr>
        <w:t xml:space="preserve"> y se materializó antes de su</w:t>
      </w:r>
      <w:r w:rsidRPr="00C02731">
        <w:rPr>
          <w:rFonts w:ascii="Arial" w:eastAsia="Arial" w:hAnsi="Arial" w:cs="Arial"/>
        </w:rPr>
        <w:t xml:space="preserve"> vigencia; </w:t>
      </w:r>
      <w:r w:rsidRPr="00C02731">
        <w:rPr>
          <w:rFonts w:ascii="Arial" w:eastAsia="Arial" w:hAnsi="Arial" w:cs="Arial"/>
          <w:b/>
          <w:bCs/>
        </w:rPr>
        <w:t>iv)</w:t>
      </w:r>
      <w:r w:rsidRPr="00C02731">
        <w:rPr>
          <w:rFonts w:ascii="Arial" w:eastAsia="Arial" w:hAnsi="Arial" w:cs="Arial"/>
        </w:rPr>
        <w:t xml:space="preserve"> por ende, los hechos anteriores a la vigencia de la póliza son ciertos y no son susceptibles de aseguramiento</w:t>
      </w:r>
      <w:r w:rsidR="00B01C87">
        <w:rPr>
          <w:rFonts w:ascii="Arial" w:eastAsia="Arial" w:hAnsi="Arial" w:cs="Arial"/>
        </w:rPr>
        <w:t xml:space="preserve"> en las pólizas expedidas bajo la modalidad de ocurrencia</w:t>
      </w:r>
      <w:r w:rsidRPr="00C02731">
        <w:rPr>
          <w:rFonts w:ascii="Arial" w:eastAsia="Arial" w:hAnsi="Arial" w:cs="Arial"/>
        </w:rPr>
        <w:t xml:space="preserve">; </w:t>
      </w:r>
      <w:r w:rsidRPr="00C02731">
        <w:rPr>
          <w:rFonts w:ascii="Arial" w:eastAsia="Arial" w:hAnsi="Arial" w:cs="Arial"/>
          <w:b/>
          <w:bCs/>
        </w:rPr>
        <w:t>v)</w:t>
      </w:r>
      <w:r w:rsidRPr="00C02731">
        <w:rPr>
          <w:rFonts w:ascii="Arial" w:eastAsia="Arial" w:hAnsi="Arial" w:cs="Arial"/>
        </w:rPr>
        <w:t xml:space="preserve"> se desconoció el límite de responsabilidad del asegurador,</w:t>
      </w:r>
      <w:r w:rsidR="00B01C87">
        <w:rPr>
          <w:rFonts w:ascii="Arial" w:eastAsia="Arial" w:hAnsi="Arial" w:cs="Arial"/>
        </w:rPr>
        <w:t xml:space="preserve"> en contravía de lo dispuesto en el artículo 1079 del Código de Comercio,</w:t>
      </w:r>
      <w:r w:rsidRPr="00C02731">
        <w:rPr>
          <w:rFonts w:ascii="Arial" w:eastAsia="Arial" w:hAnsi="Arial" w:cs="Arial"/>
        </w:rPr>
        <w:t xml:space="preserve"> lo cual, constituyó claramente un enriquecimiento sin justa causa. </w:t>
      </w:r>
    </w:p>
    <w:p w14:paraId="3321AD0D" w14:textId="77777777" w:rsidR="002868C9" w:rsidRPr="00C02731" w:rsidRDefault="002868C9" w:rsidP="00F104D8">
      <w:pPr>
        <w:spacing w:line="360" w:lineRule="auto"/>
        <w:jc w:val="both"/>
        <w:rPr>
          <w:rFonts w:ascii="Arial" w:eastAsia="Arial" w:hAnsi="Arial" w:cs="Arial"/>
        </w:rPr>
      </w:pPr>
    </w:p>
    <w:p w14:paraId="3C2699BF" w14:textId="77777777" w:rsidR="002868C9" w:rsidRPr="00C02731" w:rsidRDefault="002868C9" w:rsidP="00F104D8">
      <w:pPr>
        <w:spacing w:line="360" w:lineRule="auto"/>
        <w:jc w:val="both"/>
        <w:rPr>
          <w:rFonts w:ascii="Arial" w:eastAsia="Arial" w:hAnsi="Arial" w:cs="Arial"/>
        </w:rPr>
      </w:pPr>
      <w:r w:rsidRPr="00C02731">
        <w:rPr>
          <w:rFonts w:ascii="Arial" w:eastAsia="Arial" w:hAnsi="Arial" w:cs="Arial"/>
        </w:rPr>
        <w:t xml:space="preserve">Los anteriores argumentos integran el sustento jurídico por el que afirmo que los actos administrativos proferidos por la Contraloría General de la República - Gerencia Departamental Colegiada del Cauca – Unidad de Responsabilidad Fiscal - Contraloría delegada para la responsabilidad fiscal, intervención judicial y cobro coactivo están viciados de nulidad y representaron un grave perjuicio a mi procurada, en razón a que se le condenó a pagar una suma de dinero que no se derivaba de una obligación legal. </w:t>
      </w:r>
    </w:p>
    <w:p w14:paraId="3713F590" w14:textId="77777777" w:rsidR="002868C9" w:rsidRPr="00C02731" w:rsidRDefault="002868C9" w:rsidP="00F104D8">
      <w:pPr>
        <w:spacing w:line="360" w:lineRule="auto"/>
        <w:jc w:val="both"/>
        <w:rPr>
          <w:rFonts w:ascii="Arial" w:eastAsia="Arial" w:hAnsi="Arial" w:cs="Arial"/>
        </w:rPr>
      </w:pPr>
    </w:p>
    <w:p w14:paraId="575869A4" w14:textId="1BD2110C" w:rsidR="002868C9" w:rsidRDefault="002868C9" w:rsidP="00F104D8">
      <w:pPr>
        <w:pStyle w:val="Prrafodelista"/>
        <w:numPr>
          <w:ilvl w:val="0"/>
          <w:numId w:val="19"/>
        </w:numPr>
        <w:spacing w:after="160" w:line="360" w:lineRule="auto"/>
        <w:jc w:val="center"/>
        <w:rPr>
          <w:rFonts w:ascii="Arial" w:eastAsia="Arial" w:hAnsi="Arial" w:cs="Arial"/>
          <w:b/>
          <w:bCs/>
          <w:u w:val="single"/>
        </w:rPr>
      </w:pPr>
      <w:r w:rsidRPr="00C02731">
        <w:rPr>
          <w:rFonts w:ascii="Arial" w:eastAsia="Arial" w:hAnsi="Arial" w:cs="Arial"/>
          <w:b/>
          <w:bCs/>
          <w:u w:val="single"/>
        </w:rPr>
        <w:t xml:space="preserve">FRENTE A LA EXCEPCIÓN INNOMINADA </w:t>
      </w:r>
    </w:p>
    <w:p w14:paraId="68044505" w14:textId="77777777" w:rsidR="00F104D8" w:rsidRPr="00C02731" w:rsidRDefault="00F104D8" w:rsidP="00F104D8">
      <w:pPr>
        <w:pStyle w:val="Prrafodelista"/>
        <w:spacing w:after="160" w:line="360" w:lineRule="auto"/>
        <w:rPr>
          <w:rFonts w:ascii="Arial" w:eastAsia="Arial" w:hAnsi="Arial" w:cs="Arial"/>
          <w:b/>
          <w:bCs/>
          <w:u w:val="single"/>
        </w:rPr>
      </w:pPr>
    </w:p>
    <w:p w14:paraId="3A67DB4A" w14:textId="1A7065B2" w:rsidR="002868C9" w:rsidRDefault="002868C9" w:rsidP="00F104D8">
      <w:pPr>
        <w:spacing w:line="360" w:lineRule="auto"/>
        <w:jc w:val="both"/>
        <w:rPr>
          <w:rFonts w:ascii="Arial" w:eastAsia="Arial" w:hAnsi="Arial" w:cs="Arial"/>
        </w:rPr>
      </w:pPr>
      <w:r w:rsidRPr="00C02731">
        <w:rPr>
          <w:rFonts w:ascii="Arial" w:eastAsia="Arial" w:hAnsi="Arial" w:cs="Arial"/>
        </w:rPr>
        <w:t>Por lo anteriormente expuesto, solicito amablemente</w:t>
      </w:r>
      <w:r w:rsidR="00B01C87">
        <w:rPr>
          <w:rFonts w:ascii="Arial" w:eastAsia="Arial" w:hAnsi="Arial" w:cs="Arial"/>
        </w:rPr>
        <w:t xml:space="preserve"> al</w:t>
      </w:r>
      <w:r w:rsidRPr="00C02731">
        <w:rPr>
          <w:rFonts w:ascii="Arial" w:eastAsia="Arial" w:hAnsi="Arial" w:cs="Arial"/>
        </w:rPr>
        <w:t xml:space="preserve"> señor Juez, se niegue cualquier tipo de excepción y en su lugar se acceda a cada una de las pretensiones de la demanda teniendo en cuenta los argumentos </w:t>
      </w:r>
      <w:r w:rsidR="00B01C87">
        <w:rPr>
          <w:rFonts w:ascii="Arial" w:eastAsia="Arial" w:hAnsi="Arial" w:cs="Arial"/>
        </w:rPr>
        <w:t>que sustentan las mismas, desde el líbelo genitor</w:t>
      </w:r>
      <w:r w:rsidRPr="00C02731">
        <w:rPr>
          <w:rFonts w:ascii="Arial" w:eastAsia="Arial" w:hAnsi="Arial" w:cs="Arial"/>
        </w:rPr>
        <w:t xml:space="preserve"> y en este pronunciamiento. </w:t>
      </w:r>
    </w:p>
    <w:p w14:paraId="5E74E5A6" w14:textId="77777777" w:rsidR="00F104D8" w:rsidRPr="00C02731" w:rsidRDefault="00F104D8" w:rsidP="00F104D8">
      <w:pPr>
        <w:spacing w:line="360" w:lineRule="auto"/>
        <w:jc w:val="both"/>
        <w:rPr>
          <w:rFonts w:ascii="Arial" w:eastAsia="Arial" w:hAnsi="Arial" w:cs="Arial"/>
        </w:rPr>
      </w:pPr>
    </w:p>
    <w:p w14:paraId="6C1C803E" w14:textId="6750E1FF" w:rsidR="002868C9" w:rsidRDefault="002868C9" w:rsidP="00F104D8">
      <w:pPr>
        <w:pStyle w:val="Prrafodelista"/>
        <w:numPr>
          <w:ilvl w:val="0"/>
          <w:numId w:val="19"/>
        </w:numPr>
        <w:spacing w:after="160" w:line="360" w:lineRule="auto"/>
        <w:jc w:val="center"/>
        <w:rPr>
          <w:rFonts w:ascii="Arial" w:eastAsia="Arial" w:hAnsi="Arial" w:cs="Arial"/>
          <w:b/>
          <w:bCs/>
          <w:u w:val="single"/>
        </w:rPr>
      </w:pPr>
      <w:r w:rsidRPr="00C02731">
        <w:rPr>
          <w:rFonts w:ascii="Arial" w:eastAsia="Arial" w:hAnsi="Arial" w:cs="Arial"/>
          <w:b/>
          <w:bCs/>
          <w:u w:val="single"/>
        </w:rPr>
        <w:t xml:space="preserve">MEDIO DE PRUEBA DOCUMENTAL </w:t>
      </w:r>
    </w:p>
    <w:p w14:paraId="426531B4" w14:textId="77777777" w:rsidR="00F104D8" w:rsidRPr="00C02731" w:rsidRDefault="00F104D8" w:rsidP="00F104D8">
      <w:pPr>
        <w:pStyle w:val="Prrafodelista"/>
        <w:spacing w:after="160" w:line="360" w:lineRule="auto"/>
        <w:rPr>
          <w:rFonts w:ascii="Arial" w:eastAsia="Arial" w:hAnsi="Arial" w:cs="Arial"/>
          <w:b/>
          <w:bCs/>
          <w:u w:val="single"/>
        </w:rPr>
      </w:pPr>
    </w:p>
    <w:p w14:paraId="722564FE" w14:textId="20EA69DF" w:rsidR="009C012B" w:rsidRDefault="002868C9" w:rsidP="00F104D8">
      <w:pPr>
        <w:spacing w:line="360" w:lineRule="auto"/>
        <w:jc w:val="both"/>
        <w:rPr>
          <w:rFonts w:ascii="Arial" w:eastAsia="Arial" w:hAnsi="Arial" w:cs="Arial"/>
        </w:rPr>
      </w:pPr>
      <w:r w:rsidRPr="00C02731">
        <w:rPr>
          <w:rFonts w:ascii="Arial" w:eastAsia="Arial" w:hAnsi="Arial" w:cs="Arial"/>
        </w:rPr>
        <w:t>Con la finalidad de ofrecer una mayor claridad frente a los argumentos pre</w:t>
      </w:r>
      <w:r w:rsidR="00B01C87">
        <w:rPr>
          <w:rFonts w:ascii="Arial" w:eastAsia="Arial" w:hAnsi="Arial" w:cs="Arial"/>
        </w:rPr>
        <w:t>sentados y de conformidad con lo dispuesto en el artículo 212 de la L</w:t>
      </w:r>
      <w:r w:rsidRPr="00C02731">
        <w:rPr>
          <w:rFonts w:ascii="Arial" w:eastAsia="Arial" w:hAnsi="Arial" w:cs="Arial"/>
        </w:rPr>
        <w:t>e</w:t>
      </w:r>
      <w:r w:rsidR="00B01C87">
        <w:rPr>
          <w:rFonts w:ascii="Arial" w:eastAsia="Arial" w:hAnsi="Arial" w:cs="Arial"/>
        </w:rPr>
        <w:t>y 1437 del 2011 que consagra esta actuación como una oportunidad probatoria</w:t>
      </w:r>
      <w:r w:rsidRPr="00C02731">
        <w:rPr>
          <w:rFonts w:ascii="Arial" w:eastAsia="Arial" w:hAnsi="Arial" w:cs="Arial"/>
        </w:rPr>
        <w:t xml:space="preserve">, </w:t>
      </w:r>
      <w:r w:rsidR="009C012B">
        <w:rPr>
          <w:rFonts w:ascii="Arial" w:eastAsia="Arial" w:hAnsi="Arial" w:cs="Arial"/>
        </w:rPr>
        <w:t>aporto al presente escrito copia de la Póliza de Seguro de Manejo Sector Oficial No</w:t>
      </w:r>
      <w:r w:rsidRPr="00C02731">
        <w:rPr>
          <w:rFonts w:ascii="Arial" w:eastAsia="Arial" w:hAnsi="Arial" w:cs="Arial"/>
        </w:rPr>
        <w:t xml:space="preserve">. 435-64-994000000499 </w:t>
      </w:r>
      <w:r w:rsidR="009C012B">
        <w:rPr>
          <w:rFonts w:ascii="Arial" w:eastAsia="Arial" w:hAnsi="Arial" w:cs="Arial"/>
        </w:rPr>
        <w:t>Anexo 0 y 1, para que obre dentro del expediente como prueba documental.</w:t>
      </w:r>
    </w:p>
    <w:p w14:paraId="398DACD1" w14:textId="77777777" w:rsidR="005D5694" w:rsidRDefault="005D5694" w:rsidP="00F104D8">
      <w:pPr>
        <w:spacing w:line="360" w:lineRule="auto"/>
        <w:jc w:val="both"/>
        <w:rPr>
          <w:rFonts w:ascii="Arial" w:eastAsia="Arial" w:hAnsi="Arial" w:cs="Arial"/>
        </w:rPr>
      </w:pPr>
    </w:p>
    <w:p w14:paraId="0B2B987C" w14:textId="7FB36ABE" w:rsidR="005D5694" w:rsidRDefault="005D5694" w:rsidP="00F104D8">
      <w:pPr>
        <w:spacing w:line="360" w:lineRule="auto"/>
        <w:jc w:val="both"/>
        <w:rPr>
          <w:rFonts w:ascii="Arial" w:eastAsia="Arial" w:hAnsi="Arial" w:cs="Arial"/>
        </w:rPr>
      </w:pPr>
      <w:r>
        <w:rPr>
          <w:rFonts w:ascii="Arial" w:eastAsia="Arial" w:hAnsi="Arial" w:cs="Arial"/>
        </w:rPr>
        <w:t xml:space="preserve">Sin más consideraciones, elevo las siguientes: </w:t>
      </w:r>
    </w:p>
    <w:p w14:paraId="5DB4E49E" w14:textId="77777777" w:rsidR="005D5694" w:rsidRPr="005D5694" w:rsidRDefault="005D5694" w:rsidP="00F104D8">
      <w:pPr>
        <w:spacing w:line="360" w:lineRule="auto"/>
        <w:jc w:val="both"/>
        <w:rPr>
          <w:rFonts w:ascii="Arial" w:eastAsia="Arial" w:hAnsi="Arial" w:cs="Arial"/>
          <w:b/>
        </w:rPr>
      </w:pPr>
    </w:p>
    <w:p w14:paraId="44C82867" w14:textId="41BA4FD6" w:rsidR="00F104D8" w:rsidRPr="00F104D8" w:rsidRDefault="005D5694" w:rsidP="00F104D8">
      <w:pPr>
        <w:pStyle w:val="Prrafodelista"/>
        <w:numPr>
          <w:ilvl w:val="0"/>
          <w:numId w:val="19"/>
        </w:numPr>
        <w:spacing w:line="360" w:lineRule="auto"/>
        <w:jc w:val="center"/>
        <w:rPr>
          <w:rFonts w:ascii="Arial" w:eastAsia="Arial" w:hAnsi="Arial" w:cs="Arial"/>
          <w:b/>
          <w:u w:val="single"/>
        </w:rPr>
      </w:pPr>
      <w:r w:rsidRPr="00052EC7">
        <w:rPr>
          <w:rFonts w:ascii="Arial" w:eastAsia="Arial" w:hAnsi="Arial" w:cs="Arial"/>
          <w:b/>
          <w:u w:val="single"/>
        </w:rPr>
        <w:t>PETICIONES</w:t>
      </w:r>
    </w:p>
    <w:p w14:paraId="0EE87BEE" w14:textId="00B51EDB" w:rsidR="005D5694" w:rsidRPr="005D5694" w:rsidRDefault="005D5694" w:rsidP="00F104D8">
      <w:pPr>
        <w:spacing w:line="360" w:lineRule="auto"/>
        <w:jc w:val="both"/>
        <w:rPr>
          <w:rFonts w:ascii="Arial" w:eastAsia="Arial" w:hAnsi="Arial" w:cs="Arial"/>
        </w:rPr>
      </w:pPr>
      <w:r>
        <w:rPr>
          <w:rFonts w:ascii="Arial" w:eastAsia="Arial" w:hAnsi="Arial" w:cs="Arial"/>
          <w:b/>
        </w:rPr>
        <w:t xml:space="preserve">PRIMERA: </w:t>
      </w:r>
      <w:r w:rsidR="004C3D0B" w:rsidRPr="004C3D0B">
        <w:rPr>
          <w:rFonts w:ascii="Arial" w:eastAsia="Arial" w:hAnsi="Arial" w:cs="Arial"/>
          <w:b/>
        </w:rPr>
        <w:t xml:space="preserve">PRESCÍNDASE </w:t>
      </w:r>
      <w:r w:rsidR="004C3D0B">
        <w:rPr>
          <w:rFonts w:ascii="Arial" w:eastAsia="Arial" w:hAnsi="Arial" w:cs="Arial"/>
        </w:rPr>
        <w:t>de correr traslado por secretaría de las excepciones propuestas por la Contraloría General de la República, al configurarse el supuesto de hecho contenido en el artículo 201A de la Ley 1437 de 2011, adicionado por el artículo 51 de la Ley 2080 de 2021, conforme a lo expuesto en la parte motiva de este escrito.</w:t>
      </w:r>
    </w:p>
    <w:p w14:paraId="6555A3FF" w14:textId="77777777" w:rsidR="009C012B" w:rsidRDefault="009C012B" w:rsidP="00F104D8">
      <w:pPr>
        <w:spacing w:line="360" w:lineRule="auto"/>
        <w:jc w:val="both"/>
        <w:rPr>
          <w:rFonts w:ascii="Arial" w:eastAsia="Arial" w:hAnsi="Arial" w:cs="Arial"/>
        </w:rPr>
      </w:pPr>
    </w:p>
    <w:p w14:paraId="2E5A2095" w14:textId="126ACC41" w:rsidR="00E725BE" w:rsidRPr="005A3A00" w:rsidRDefault="00E725BE" w:rsidP="00F104D8">
      <w:pPr>
        <w:spacing w:line="360" w:lineRule="auto"/>
        <w:jc w:val="both"/>
        <w:rPr>
          <w:rFonts w:ascii="Arial" w:eastAsia="Arial" w:hAnsi="Arial" w:cs="Arial"/>
        </w:rPr>
      </w:pPr>
      <w:r w:rsidRPr="00E725BE">
        <w:rPr>
          <w:rFonts w:ascii="Arial" w:eastAsia="Arial" w:hAnsi="Arial" w:cs="Arial"/>
          <w:b/>
        </w:rPr>
        <w:t xml:space="preserve">SEGUNDA: </w:t>
      </w:r>
      <w:r w:rsidR="005A3A00">
        <w:rPr>
          <w:rFonts w:ascii="Arial" w:eastAsia="Arial" w:hAnsi="Arial" w:cs="Arial"/>
          <w:b/>
        </w:rPr>
        <w:t xml:space="preserve">NIÉGUENSE </w:t>
      </w:r>
      <w:r w:rsidR="005A3A00">
        <w:rPr>
          <w:rFonts w:ascii="Arial" w:eastAsia="Arial" w:hAnsi="Arial" w:cs="Arial"/>
        </w:rPr>
        <w:t xml:space="preserve">las excepciones de mérito propuestas por la Contraloría General de la República, por no encontrarse configuradas. En su lugar, </w:t>
      </w:r>
      <w:r w:rsidR="005A3A00" w:rsidRPr="005A3A00">
        <w:rPr>
          <w:rFonts w:ascii="Arial" w:eastAsia="Arial" w:hAnsi="Arial" w:cs="Arial"/>
          <w:b/>
        </w:rPr>
        <w:t xml:space="preserve">ACCÉDASE </w:t>
      </w:r>
      <w:r w:rsidR="005A3A00">
        <w:rPr>
          <w:rFonts w:ascii="Arial" w:eastAsia="Arial" w:hAnsi="Arial" w:cs="Arial"/>
        </w:rPr>
        <w:t>a todas y cada una de las pretensiones de la demanda.</w:t>
      </w:r>
    </w:p>
    <w:p w14:paraId="21815AE2" w14:textId="77777777" w:rsidR="009C012B" w:rsidRDefault="009C012B" w:rsidP="00F104D8">
      <w:pPr>
        <w:spacing w:line="360" w:lineRule="auto"/>
        <w:jc w:val="both"/>
        <w:rPr>
          <w:rFonts w:ascii="Arial" w:eastAsia="Arial" w:hAnsi="Arial" w:cs="Arial"/>
        </w:rPr>
      </w:pPr>
    </w:p>
    <w:p w14:paraId="08A654CC" w14:textId="29398B37" w:rsidR="005A3A00" w:rsidRDefault="005A3A00" w:rsidP="00F104D8">
      <w:pPr>
        <w:spacing w:line="360" w:lineRule="auto"/>
        <w:jc w:val="both"/>
        <w:rPr>
          <w:rFonts w:ascii="Arial" w:eastAsia="Arial" w:hAnsi="Arial" w:cs="Arial"/>
        </w:rPr>
      </w:pPr>
      <w:r>
        <w:rPr>
          <w:rFonts w:ascii="Arial" w:eastAsia="Arial" w:hAnsi="Arial" w:cs="Arial"/>
        </w:rPr>
        <w:t>No siendo otro el motivo de la presente.</w:t>
      </w:r>
    </w:p>
    <w:p w14:paraId="200C359F" w14:textId="77777777" w:rsidR="002868C9" w:rsidRPr="00C02731" w:rsidRDefault="002868C9" w:rsidP="00F104D8">
      <w:pPr>
        <w:spacing w:line="360" w:lineRule="auto"/>
        <w:jc w:val="both"/>
        <w:rPr>
          <w:rFonts w:ascii="Arial" w:eastAsia="Arial" w:hAnsi="Arial" w:cs="Arial"/>
        </w:rPr>
      </w:pPr>
    </w:p>
    <w:p w14:paraId="29C2C57F" w14:textId="7173A678" w:rsidR="002868C9" w:rsidRPr="00C02731" w:rsidRDefault="002868C9" w:rsidP="00F104D8">
      <w:pPr>
        <w:spacing w:line="360" w:lineRule="auto"/>
        <w:jc w:val="both"/>
        <w:rPr>
          <w:rFonts w:ascii="Arial" w:eastAsia="Arial" w:hAnsi="Arial" w:cs="Arial"/>
        </w:rPr>
      </w:pPr>
    </w:p>
    <w:p w14:paraId="0F71D760" w14:textId="7CC64778" w:rsidR="002868C9" w:rsidRPr="00C02731" w:rsidRDefault="005A3A00" w:rsidP="00F104D8">
      <w:pPr>
        <w:spacing w:line="360" w:lineRule="auto"/>
        <w:ind w:right="142"/>
        <w:jc w:val="both"/>
        <w:rPr>
          <w:rFonts w:ascii="Arial" w:hAnsi="Arial" w:cs="Arial"/>
        </w:rPr>
      </w:pPr>
      <w:r w:rsidRPr="00C02731">
        <w:rPr>
          <w:rFonts w:ascii="Arial" w:eastAsia="Calibri" w:hAnsi="Arial" w:cs="Arial"/>
          <w:noProof/>
          <w:lang w:val="es-CO" w:eastAsia="es-CO"/>
        </w:rPr>
        <w:drawing>
          <wp:anchor distT="0" distB="0" distL="114300" distR="114300" simplePos="0" relativeHeight="251661312" behindDoc="1" locked="0" layoutInCell="1" allowOverlap="1" wp14:anchorId="5427E97B" wp14:editId="54DE9DB6">
            <wp:simplePos x="0" y="0"/>
            <wp:positionH relativeFrom="margin">
              <wp:posOffset>-123825</wp:posOffset>
            </wp:positionH>
            <wp:positionV relativeFrom="paragraph">
              <wp:posOffset>62230</wp:posOffset>
            </wp:positionV>
            <wp:extent cx="2390775" cy="1042035"/>
            <wp:effectExtent l="0" t="0" r="9525" b="5715"/>
            <wp:wrapNone/>
            <wp:docPr id="1968877431" name="Imagen 196887743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0775" cy="1042035"/>
                    </a:xfrm>
                    <a:prstGeom prst="rect">
                      <a:avLst/>
                    </a:prstGeom>
                  </pic:spPr>
                </pic:pic>
              </a:graphicData>
            </a:graphic>
          </wp:anchor>
        </w:drawing>
      </w:r>
      <w:r w:rsidR="002868C9" w:rsidRPr="00C02731">
        <w:rPr>
          <w:rFonts w:ascii="Arial" w:eastAsia="Arial" w:hAnsi="Arial" w:cs="Arial"/>
        </w:rPr>
        <w:t xml:space="preserve">Cordialmente, </w:t>
      </w:r>
    </w:p>
    <w:p w14:paraId="1D6043B6" w14:textId="74649D5D" w:rsidR="002868C9" w:rsidRPr="00C02731" w:rsidRDefault="002868C9" w:rsidP="00F104D8">
      <w:pPr>
        <w:spacing w:line="360" w:lineRule="auto"/>
        <w:ind w:right="142"/>
        <w:jc w:val="both"/>
        <w:rPr>
          <w:rFonts w:ascii="Arial" w:hAnsi="Arial" w:cs="Arial"/>
        </w:rPr>
      </w:pPr>
      <w:r w:rsidRPr="00C02731">
        <w:rPr>
          <w:rFonts w:ascii="Arial" w:eastAsia="Arial" w:hAnsi="Arial" w:cs="Arial"/>
          <w:b/>
          <w:bCs/>
        </w:rPr>
        <w:t xml:space="preserve"> </w:t>
      </w:r>
    </w:p>
    <w:p w14:paraId="11125BAF" w14:textId="7112D9A2" w:rsidR="002868C9" w:rsidRPr="00C02731" w:rsidRDefault="002868C9" w:rsidP="00F104D8">
      <w:pPr>
        <w:spacing w:line="360" w:lineRule="auto"/>
        <w:ind w:right="142"/>
        <w:jc w:val="both"/>
        <w:rPr>
          <w:rFonts w:ascii="Arial" w:hAnsi="Arial" w:cs="Arial"/>
        </w:rPr>
      </w:pPr>
      <w:r w:rsidRPr="00C02731">
        <w:rPr>
          <w:rFonts w:ascii="Arial" w:eastAsia="Arial" w:hAnsi="Arial" w:cs="Arial"/>
          <w:b/>
          <w:bCs/>
        </w:rPr>
        <w:t xml:space="preserve"> </w:t>
      </w:r>
    </w:p>
    <w:p w14:paraId="085415C1" w14:textId="77777777" w:rsidR="002868C9" w:rsidRPr="00C02731" w:rsidRDefault="002868C9" w:rsidP="00F104D8">
      <w:pPr>
        <w:spacing w:line="360" w:lineRule="auto"/>
        <w:ind w:right="142"/>
        <w:jc w:val="both"/>
        <w:rPr>
          <w:rFonts w:ascii="Arial" w:hAnsi="Arial" w:cs="Arial"/>
        </w:rPr>
      </w:pPr>
      <w:r w:rsidRPr="00C02731">
        <w:rPr>
          <w:rFonts w:ascii="Arial" w:eastAsia="Arial" w:hAnsi="Arial" w:cs="Arial"/>
          <w:b/>
          <w:bCs/>
        </w:rPr>
        <w:t xml:space="preserve"> </w:t>
      </w:r>
    </w:p>
    <w:p w14:paraId="1CD3440A" w14:textId="77777777" w:rsidR="002868C9" w:rsidRPr="00C02731" w:rsidRDefault="002868C9" w:rsidP="00F104D8">
      <w:pPr>
        <w:spacing w:line="360" w:lineRule="auto"/>
        <w:ind w:right="142"/>
        <w:jc w:val="both"/>
        <w:rPr>
          <w:rFonts w:ascii="Arial" w:hAnsi="Arial" w:cs="Arial"/>
        </w:rPr>
      </w:pPr>
      <w:r w:rsidRPr="00C02731">
        <w:rPr>
          <w:rFonts w:ascii="Arial" w:eastAsia="Arial" w:hAnsi="Arial" w:cs="Arial"/>
          <w:b/>
          <w:bCs/>
        </w:rPr>
        <w:t xml:space="preserve">GUSTAVO ALBERTO HERRERA ÁVILA </w:t>
      </w:r>
    </w:p>
    <w:p w14:paraId="6FE5EC93" w14:textId="77777777" w:rsidR="002868C9" w:rsidRPr="00C02731" w:rsidRDefault="002868C9" w:rsidP="00F104D8">
      <w:pPr>
        <w:spacing w:line="360" w:lineRule="auto"/>
        <w:ind w:right="142"/>
        <w:jc w:val="both"/>
        <w:rPr>
          <w:rFonts w:ascii="Arial" w:hAnsi="Arial" w:cs="Arial"/>
        </w:rPr>
      </w:pPr>
      <w:r w:rsidRPr="00C02731">
        <w:rPr>
          <w:rFonts w:ascii="Arial" w:eastAsia="Arial" w:hAnsi="Arial" w:cs="Arial"/>
        </w:rPr>
        <w:t>C.C. No.19.395.114 de Bogotá D.C.</w:t>
      </w:r>
    </w:p>
    <w:p w14:paraId="124623D5" w14:textId="06EF4345" w:rsidR="00194DAC" w:rsidRPr="00C02731" w:rsidRDefault="002868C9" w:rsidP="00F104D8">
      <w:pPr>
        <w:spacing w:line="360" w:lineRule="auto"/>
        <w:ind w:right="142"/>
        <w:jc w:val="both"/>
        <w:rPr>
          <w:rFonts w:ascii="Arial" w:hAnsi="Arial" w:cs="Arial"/>
        </w:rPr>
      </w:pPr>
      <w:r w:rsidRPr="00C02731">
        <w:rPr>
          <w:rFonts w:ascii="Arial" w:eastAsia="Arial" w:hAnsi="Arial" w:cs="Arial"/>
        </w:rPr>
        <w:t>T. P. No. 39.116 del C.S. J.</w:t>
      </w:r>
    </w:p>
    <w:sectPr w:rsidR="00194DAC" w:rsidRPr="00C02731" w:rsidSect="00B54DCC">
      <w:headerReference w:type="default" r:id="rId13"/>
      <w:footerReference w:type="default" r:id="rId1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72857" w14:textId="77777777" w:rsidR="004524A3" w:rsidRDefault="004524A3" w:rsidP="0025591F">
      <w:r>
        <w:separator/>
      </w:r>
    </w:p>
  </w:endnote>
  <w:endnote w:type="continuationSeparator" w:id="0">
    <w:p w14:paraId="68DA361F" w14:textId="77777777" w:rsidR="004524A3" w:rsidRDefault="004524A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Raleway">
    <w:altName w:val="Times New Roman"/>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6AA941B">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77777777" w:rsidR="003A5583" w:rsidRDefault="003A5583"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3D630778" wp14:editId="1B225F9C">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0E053B84"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VRV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63D1D2FD" w14:textId="0E053B84"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VRV</w:t>
                    </w:r>
                  </w:p>
                </w:txbxContent>
              </v:textbox>
              <w10:wrap anchorx="page" anchory="margin"/>
            </v:rect>
          </w:pict>
        </mc:Fallback>
      </mc:AlternateContent>
    </w:r>
  </w:p>
  <w:p w14:paraId="329D81E2" w14:textId="77777777" w:rsidR="003A5583" w:rsidRDefault="003A5583" w:rsidP="004A356B">
    <w:pPr>
      <w:rPr>
        <w:color w:val="222A35" w:themeColor="text2" w:themeShade="80"/>
      </w:rPr>
    </w:pPr>
  </w:p>
  <w:p w14:paraId="5F8C9338" w14:textId="77777777" w:rsidR="003A5583" w:rsidRPr="00194DAC" w:rsidRDefault="003A5583"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5A3A00">
      <w:rPr>
        <w:rFonts w:ascii="Raleway" w:hAnsi="Raleway"/>
        <w:b/>
        <w:bCs/>
        <w:noProof/>
        <w:color w:val="222A35" w:themeColor="text2" w:themeShade="80"/>
        <w:sz w:val="16"/>
        <w:szCs w:val="16"/>
      </w:rPr>
      <w:t>7</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5A3A00">
      <w:rPr>
        <w:rFonts w:ascii="Raleway" w:hAnsi="Raleway"/>
        <w:b/>
        <w:bCs/>
        <w:noProof/>
        <w:color w:val="222A35" w:themeColor="text2" w:themeShade="80"/>
        <w:sz w:val="16"/>
        <w:szCs w:val="16"/>
      </w:rPr>
      <w:t>8</w:t>
    </w:r>
    <w:r w:rsidRPr="00194DAC">
      <w:rPr>
        <w:rFonts w:ascii="Raleway" w:hAnsi="Raleway"/>
        <w:b/>
        <w:bCs/>
        <w:color w:val="222A35" w:themeColor="text2" w:themeShade="80"/>
        <w:sz w:val="16"/>
        <w:szCs w:val="16"/>
      </w:rPr>
      <w:fldChar w:fldCharType="end"/>
    </w:r>
  </w:p>
  <w:p w14:paraId="2EF8A1B3" w14:textId="77777777" w:rsidR="003A5583" w:rsidRDefault="003A55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2E3CB" w14:textId="77777777" w:rsidR="004524A3" w:rsidRDefault="004524A3" w:rsidP="0025591F">
      <w:r>
        <w:separator/>
      </w:r>
    </w:p>
  </w:footnote>
  <w:footnote w:type="continuationSeparator" w:id="0">
    <w:p w14:paraId="668B2527" w14:textId="77777777" w:rsidR="004524A3" w:rsidRDefault="004524A3" w:rsidP="0025591F">
      <w:r>
        <w:continuationSeparator/>
      </w:r>
    </w:p>
  </w:footnote>
  <w:footnote w:id="1">
    <w:p w14:paraId="2468DE4D" w14:textId="77777777" w:rsidR="002868C9" w:rsidRDefault="002868C9" w:rsidP="002868C9">
      <w:pPr>
        <w:pStyle w:val="Textonotapie"/>
      </w:pPr>
      <w:r w:rsidRPr="002868C9">
        <w:rPr>
          <w:rStyle w:val="Refdenotaalpie"/>
          <w:rFonts w:ascii="Arial" w:hAnsi="Arial" w:cs="Arial"/>
        </w:rPr>
        <w:footnoteRef/>
      </w:r>
      <w:r w:rsidRPr="002868C9">
        <w:rPr>
          <w:rFonts w:ascii="Arial" w:hAnsi="Arial" w:cs="Arial"/>
        </w:rPr>
        <w:t xml:space="preserve"> Contraloría General de la República. (11 de noviembre de 2014). Concepto No. 2014EE0180984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3A5583" w:rsidRDefault="003A558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10"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11"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14"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73DF08CB"/>
    <w:multiLevelType w:val="hybridMultilevel"/>
    <w:tmpl w:val="F60271F6"/>
    <w:lvl w:ilvl="0" w:tplc="7B76BA6A">
      <w:start w:val="1"/>
      <w:numFmt w:val="upperRoman"/>
      <w:lvlText w:val="%1."/>
      <w:lvlJc w:val="left"/>
      <w:pPr>
        <w:ind w:left="720" w:hanging="360"/>
      </w:pPr>
    </w:lvl>
    <w:lvl w:ilvl="1" w:tplc="10AE44F2">
      <w:start w:val="1"/>
      <w:numFmt w:val="lowerLetter"/>
      <w:lvlText w:val="%2."/>
      <w:lvlJc w:val="left"/>
      <w:pPr>
        <w:ind w:left="1440" w:hanging="360"/>
      </w:pPr>
    </w:lvl>
    <w:lvl w:ilvl="2" w:tplc="5490831A">
      <w:start w:val="1"/>
      <w:numFmt w:val="lowerRoman"/>
      <w:lvlText w:val="%3."/>
      <w:lvlJc w:val="right"/>
      <w:pPr>
        <w:ind w:left="2160" w:hanging="180"/>
      </w:pPr>
    </w:lvl>
    <w:lvl w:ilvl="3" w:tplc="08367E78">
      <w:start w:val="1"/>
      <w:numFmt w:val="decimal"/>
      <w:lvlText w:val="%4."/>
      <w:lvlJc w:val="left"/>
      <w:pPr>
        <w:ind w:left="2880" w:hanging="360"/>
      </w:pPr>
    </w:lvl>
    <w:lvl w:ilvl="4" w:tplc="3FA04532">
      <w:start w:val="1"/>
      <w:numFmt w:val="lowerLetter"/>
      <w:lvlText w:val="%5."/>
      <w:lvlJc w:val="left"/>
      <w:pPr>
        <w:ind w:left="3600" w:hanging="360"/>
      </w:pPr>
    </w:lvl>
    <w:lvl w:ilvl="5" w:tplc="EB9C4EB4">
      <w:start w:val="1"/>
      <w:numFmt w:val="lowerRoman"/>
      <w:lvlText w:val="%6."/>
      <w:lvlJc w:val="right"/>
      <w:pPr>
        <w:ind w:left="4320" w:hanging="180"/>
      </w:pPr>
    </w:lvl>
    <w:lvl w:ilvl="6" w:tplc="A644279A">
      <w:start w:val="1"/>
      <w:numFmt w:val="decimal"/>
      <w:lvlText w:val="%7."/>
      <w:lvlJc w:val="left"/>
      <w:pPr>
        <w:ind w:left="5040" w:hanging="360"/>
      </w:pPr>
    </w:lvl>
    <w:lvl w:ilvl="7" w:tplc="C03A08B6">
      <w:start w:val="1"/>
      <w:numFmt w:val="lowerLetter"/>
      <w:lvlText w:val="%8."/>
      <w:lvlJc w:val="left"/>
      <w:pPr>
        <w:ind w:left="5760" w:hanging="360"/>
      </w:pPr>
    </w:lvl>
    <w:lvl w:ilvl="8" w:tplc="841C936C">
      <w:start w:val="1"/>
      <w:numFmt w:val="lowerRoman"/>
      <w:lvlText w:val="%9."/>
      <w:lvlJc w:val="right"/>
      <w:pPr>
        <w:ind w:left="6480" w:hanging="180"/>
      </w:pPr>
    </w:lvl>
  </w:abstractNum>
  <w:abstractNum w:abstractNumId="16"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580557384">
    <w:abstractNumId w:val="0"/>
  </w:num>
  <w:num w:numId="2" w16cid:durableId="834994426">
    <w:abstractNumId w:val="18"/>
  </w:num>
  <w:num w:numId="3" w16cid:durableId="1157846624">
    <w:abstractNumId w:val="12"/>
  </w:num>
  <w:num w:numId="4" w16cid:durableId="827012775">
    <w:abstractNumId w:val="11"/>
  </w:num>
  <w:num w:numId="5" w16cid:durableId="1198198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9558969">
    <w:abstractNumId w:val="14"/>
  </w:num>
  <w:num w:numId="7" w16cid:durableId="1086266136">
    <w:abstractNumId w:val="6"/>
  </w:num>
  <w:num w:numId="8" w16cid:durableId="626393780">
    <w:abstractNumId w:val="16"/>
  </w:num>
  <w:num w:numId="9" w16cid:durableId="133068571">
    <w:abstractNumId w:val="2"/>
  </w:num>
  <w:num w:numId="10" w16cid:durableId="1130396914">
    <w:abstractNumId w:val="9"/>
  </w:num>
  <w:num w:numId="11" w16cid:durableId="1039865882">
    <w:abstractNumId w:val="1"/>
  </w:num>
  <w:num w:numId="12" w16cid:durableId="1581330187">
    <w:abstractNumId w:val="13"/>
  </w:num>
  <w:num w:numId="13" w16cid:durableId="160202273">
    <w:abstractNumId w:val="3"/>
  </w:num>
  <w:num w:numId="14" w16cid:durableId="791484731">
    <w:abstractNumId w:val="17"/>
  </w:num>
  <w:num w:numId="15" w16cid:durableId="541789707">
    <w:abstractNumId w:val="5"/>
  </w:num>
  <w:num w:numId="16" w16cid:durableId="165049671">
    <w:abstractNumId w:val="4"/>
  </w:num>
  <w:num w:numId="17" w16cid:durableId="2137211240">
    <w:abstractNumId w:val="7"/>
  </w:num>
  <w:num w:numId="18" w16cid:durableId="242564857">
    <w:abstractNumId w:val="8"/>
  </w:num>
  <w:num w:numId="19" w16cid:durableId="192768777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46B1"/>
    <w:rsid w:val="00004C3C"/>
    <w:rsid w:val="00010EA5"/>
    <w:rsid w:val="000133C4"/>
    <w:rsid w:val="000133E9"/>
    <w:rsid w:val="000153AA"/>
    <w:rsid w:val="00015D3A"/>
    <w:rsid w:val="00017BA4"/>
    <w:rsid w:val="000212FD"/>
    <w:rsid w:val="00021E71"/>
    <w:rsid w:val="0002242C"/>
    <w:rsid w:val="00023C04"/>
    <w:rsid w:val="00026453"/>
    <w:rsid w:val="00026688"/>
    <w:rsid w:val="0003079F"/>
    <w:rsid w:val="0003111F"/>
    <w:rsid w:val="00032A32"/>
    <w:rsid w:val="00040E6A"/>
    <w:rsid w:val="00041633"/>
    <w:rsid w:val="000426D5"/>
    <w:rsid w:val="00044AA9"/>
    <w:rsid w:val="00045613"/>
    <w:rsid w:val="0005076B"/>
    <w:rsid w:val="00050895"/>
    <w:rsid w:val="000516C0"/>
    <w:rsid w:val="0005190B"/>
    <w:rsid w:val="00052EC7"/>
    <w:rsid w:val="000553EA"/>
    <w:rsid w:val="00055C9C"/>
    <w:rsid w:val="00057486"/>
    <w:rsid w:val="0005783D"/>
    <w:rsid w:val="000602C9"/>
    <w:rsid w:val="0006262C"/>
    <w:rsid w:val="00064C2E"/>
    <w:rsid w:val="00064F34"/>
    <w:rsid w:val="000667DF"/>
    <w:rsid w:val="00067E95"/>
    <w:rsid w:val="0007267C"/>
    <w:rsid w:val="00073D7E"/>
    <w:rsid w:val="00074D9A"/>
    <w:rsid w:val="00075FB8"/>
    <w:rsid w:val="00075FE1"/>
    <w:rsid w:val="00081132"/>
    <w:rsid w:val="000835EA"/>
    <w:rsid w:val="00090265"/>
    <w:rsid w:val="00090F95"/>
    <w:rsid w:val="0009187C"/>
    <w:rsid w:val="000926E1"/>
    <w:rsid w:val="00093281"/>
    <w:rsid w:val="00093602"/>
    <w:rsid w:val="00093E16"/>
    <w:rsid w:val="000944C4"/>
    <w:rsid w:val="000945C2"/>
    <w:rsid w:val="000A05DF"/>
    <w:rsid w:val="000A0E50"/>
    <w:rsid w:val="000A1FD4"/>
    <w:rsid w:val="000A3024"/>
    <w:rsid w:val="000A327B"/>
    <w:rsid w:val="000A3E24"/>
    <w:rsid w:val="000A7232"/>
    <w:rsid w:val="000A7FBB"/>
    <w:rsid w:val="000B3B79"/>
    <w:rsid w:val="000B4496"/>
    <w:rsid w:val="000B51EC"/>
    <w:rsid w:val="000C0C34"/>
    <w:rsid w:val="000C0E53"/>
    <w:rsid w:val="000C1E9B"/>
    <w:rsid w:val="000C1FAC"/>
    <w:rsid w:val="000C2815"/>
    <w:rsid w:val="000C3496"/>
    <w:rsid w:val="000C3CC8"/>
    <w:rsid w:val="000C6E70"/>
    <w:rsid w:val="000C7846"/>
    <w:rsid w:val="000D15F4"/>
    <w:rsid w:val="000D3A1C"/>
    <w:rsid w:val="000D4378"/>
    <w:rsid w:val="000E1127"/>
    <w:rsid w:val="000E1281"/>
    <w:rsid w:val="000E17B0"/>
    <w:rsid w:val="000E251A"/>
    <w:rsid w:val="000E2FF0"/>
    <w:rsid w:val="000E3D64"/>
    <w:rsid w:val="000E63C0"/>
    <w:rsid w:val="000F06A5"/>
    <w:rsid w:val="000F1266"/>
    <w:rsid w:val="000F15EA"/>
    <w:rsid w:val="000F16D6"/>
    <w:rsid w:val="000F30C9"/>
    <w:rsid w:val="000F6D04"/>
    <w:rsid w:val="00100DEA"/>
    <w:rsid w:val="001014AD"/>
    <w:rsid w:val="0010485E"/>
    <w:rsid w:val="00104B73"/>
    <w:rsid w:val="00105FE0"/>
    <w:rsid w:val="00110660"/>
    <w:rsid w:val="001114C4"/>
    <w:rsid w:val="001123DB"/>
    <w:rsid w:val="0011254A"/>
    <w:rsid w:val="00114E62"/>
    <w:rsid w:val="00116321"/>
    <w:rsid w:val="00117FEC"/>
    <w:rsid w:val="00120513"/>
    <w:rsid w:val="00122E66"/>
    <w:rsid w:val="001239AD"/>
    <w:rsid w:val="00123D5B"/>
    <w:rsid w:val="001241CD"/>
    <w:rsid w:val="00126C05"/>
    <w:rsid w:val="00127980"/>
    <w:rsid w:val="001374C1"/>
    <w:rsid w:val="0014019D"/>
    <w:rsid w:val="00143DF3"/>
    <w:rsid w:val="00143E0D"/>
    <w:rsid w:val="00145499"/>
    <w:rsid w:val="0014734B"/>
    <w:rsid w:val="001473D8"/>
    <w:rsid w:val="00147D75"/>
    <w:rsid w:val="00147DB1"/>
    <w:rsid w:val="001507B3"/>
    <w:rsid w:val="0015263B"/>
    <w:rsid w:val="00152931"/>
    <w:rsid w:val="001538F2"/>
    <w:rsid w:val="00154C82"/>
    <w:rsid w:val="00155AB6"/>
    <w:rsid w:val="00155C53"/>
    <w:rsid w:val="00156718"/>
    <w:rsid w:val="001570B7"/>
    <w:rsid w:val="00157FA8"/>
    <w:rsid w:val="001614F8"/>
    <w:rsid w:val="00163941"/>
    <w:rsid w:val="001644C4"/>
    <w:rsid w:val="00165A8F"/>
    <w:rsid w:val="00166850"/>
    <w:rsid w:val="00167ECB"/>
    <w:rsid w:val="00167F81"/>
    <w:rsid w:val="00171D1A"/>
    <w:rsid w:val="0017290E"/>
    <w:rsid w:val="00172D77"/>
    <w:rsid w:val="001754CE"/>
    <w:rsid w:val="00177871"/>
    <w:rsid w:val="0017797D"/>
    <w:rsid w:val="00180AB0"/>
    <w:rsid w:val="0018529A"/>
    <w:rsid w:val="001853DF"/>
    <w:rsid w:val="0018748A"/>
    <w:rsid w:val="00187626"/>
    <w:rsid w:val="001920C6"/>
    <w:rsid w:val="001925A0"/>
    <w:rsid w:val="001931FA"/>
    <w:rsid w:val="00193E0E"/>
    <w:rsid w:val="00193EBD"/>
    <w:rsid w:val="00194DAC"/>
    <w:rsid w:val="001A31BD"/>
    <w:rsid w:val="001A507A"/>
    <w:rsid w:val="001A58B6"/>
    <w:rsid w:val="001A624D"/>
    <w:rsid w:val="001B0D83"/>
    <w:rsid w:val="001B1FC7"/>
    <w:rsid w:val="001B321C"/>
    <w:rsid w:val="001B3DA3"/>
    <w:rsid w:val="001B53E5"/>
    <w:rsid w:val="001B5C1D"/>
    <w:rsid w:val="001B6B7A"/>
    <w:rsid w:val="001C1CB4"/>
    <w:rsid w:val="001C528E"/>
    <w:rsid w:val="001C67DD"/>
    <w:rsid w:val="001C725A"/>
    <w:rsid w:val="001C7791"/>
    <w:rsid w:val="001D062C"/>
    <w:rsid w:val="001D3130"/>
    <w:rsid w:val="001D35C9"/>
    <w:rsid w:val="001D5EA4"/>
    <w:rsid w:val="001D6B1D"/>
    <w:rsid w:val="001E018D"/>
    <w:rsid w:val="001E1032"/>
    <w:rsid w:val="001E2CA8"/>
    <w:rsid w:val="001E2F6A"/>
    <w:rsid w:val="001E7785"/>
    <w:rsid w:val="001F0573"/>
    <w:rsid w:val="001F1E9C"/>
    <w:rsid w:val="001F21F2"/>
    <w:rsid w:val="001F2289"/>
    <w:rsid w:val="001F250F"/>
    <w:rsid w:val="001F4062"/>
    <w:rsid w:val="001F443A"/>
    <w:rsid w:val="001F443C"/>
    <w:rsid w:val="001F47CE"/>
    <w:rsid w:val="001F71DB"/>
    <w:rsid w:val="001F749F"/>
    <w:rsid w:val="0020035F"/>
    <w:rsid w:val="0020138E"/>
    <w:rsid w:val="00202220"/>
    <w:rsid w:val="0020295C"/>
    <w:rsid w:val="00203B1E"/>
    <w:rsid w:val="00205051"/>
    <w:rsid w:val="00205D35"/>
    <w:rsid w:val="002060D8"/>
    <w:rsid w:val="00206CAB"/>
    <w:rsid w:val="00207C3B"/>
    <w:rsid w:val="0021041B"/>
    <w:rsid w:val="00211ECD"/>
    <w:rsid w:val="00212CF1"/>
    <w:rsid w:val="00212EEE"/>
    <w:rsid w:val="00213606"/>
    <w:rsid w:val="00216F11"/>
    <w:rsid w:val="0021736A"/>
    <w:rsid w:val="00217D5D"/>
    <w:rsid w:val="00222BC9"/>
    <w:rsid w:val="002305FD"/>
    <w:rsid w:val="002312AE"/>
    <w:rsid w:val="00231483"/>
    <w:rsid w:val="00231BBD"/>
    <w:rsid w:val="002327A9"/>
    <w:rsid w:val="00232917"/>
    <w:rsid w:val="00233D7F"/>
    <w:rsid w:val="0023424C"/>
    <w:rsid w:val="00234F3F"/>
    <w:rsid w:val="00235C89"/>
    <w:rsid w:val="00240E9B"/>
    <w:rsid w:val="00240F40"/>
    <w:rsid w:val="0024182D"/>
    <w:rsid w:val="002427DF"/>
    <w:rsid w:val="00242F7A"/>
    <w:rsid w:val="002431D8"/>
    <w:rsid w:val="00244F76"/>
    <w:rsid w:val="00246818"/>
    <w:rsid w:val="0024688D"/>
    <w:rsid w:val="00251345"/>
    <w:rsid w:val="00251689"/>
    <w:rsid w:val="00251BBC"/>
    <w:rsid w:val="00254C60"/>
    <w:rsid w:val="00254E27"/>
    <w:rsid w:val="002551FD"/>
    <w:rsid w:val="00255265"/>
    <w:rsid w:val="0025591F"/>
    <w:rsid w:val="0025774A"/>
    <w:rsid w:val="00260997"/>
    <w:rsid w:val="0026446D"/>
    <w:rsid w:val="00265165"/>
    <w:rsid w:val="002656E3"/>
    <w:rsid w:val="00267DDC"/>
    <w:rsid w:val="0027215D"/>
    <w:rsid w:val="002722B8"/>
    <w:rsid w:val="002727BE"/>
    <w:rsid w:val="00273AC2"/>
    <w:rsid w:val="00275A08"/>
    <w:rsid w:val="00275B3A"/>
    <w:rsid w:val="00276C47"/>
    <w:rsid w:val="0027752A"/>
    <w:rsid w:val="00277AD9"/>
    <w:rsid w:val="00280D99"/>
    <w:rsid w:val="00281D90"/>
    <w:rsid w:val="00282B4F"/>
    <w:rsid w:val="002838B0"/>
    <w:rsid w:val="002844F4"/>
    <w:rsid w:val="00286064"/>
    <w:rsid w:val="00286325"/>
    <w:rsid w:val="002868C9"/>
    <w:rsid w:val="00286B83"/>
    <w:rsid w:val="00287B0B"/>
    <w:rsid w:val="00287E02"/>
    <w:rsid w:val="00292C8C"/>
    <w:rsid w:val="002931E0"/>
    <w:rsid w:val="00294209"/>
    <w:rsid w:val="00294415"/>
    <w:rsid w:val="002A15C0"/>
    <w:rsid w:val="002A4AE8"/>
    <w:rsid w:val="002A6583"/>
    <w:rsid w:val="002A6F35"/>
    <w:rsid w:val="002B3929"/>
    <w:rsid w:val="002B5E76"/>
    <w:rsid w:val="002B658F"/>
    <w:rsid w:val="002C0242"/>
    <w:rsid w:val="002C18DE"/>
    <w:rsid w:val="002C33AA"/>
    <w:rsid w:val="002C34E3"/>
    <w:rsid w:val="002C50B4"/>
    <w:rsid w:val="002C54BD"/>
    <w:rsid w:val="002C58E1"/>
    <w:rsid w:val="002C5B32"/>
    <w:rsid w:val="002D0BCC"/>
    <w:rsid w:val="002D0E72"/>
    <w:rsid w:val="002D1D96"/>
    <w:rsid w:val="002D1FE0"/>
    <w:rsid w:val="002D36EA"/>
    <w:rsid w:val="002D4A96"/>
    <w:rsid w:val="002D5F8E"/>
    <w:rsid w:val="002D6323"/>
    <w:rsid w:val="002E052E"/>
    <w:rsid w:val="002E1FA0"/>
    <w:rsid w:val="002E23CE"/>
    <w:rsid w:val="002E6530"/>
    <w:rsid w:val="002E6782"/>
    <w:rsid w:val="002F113F"/>
    <w:rsid w:val="002F1AF5"/>
    <w:rsid w:val="002F2BCA"/>
    <w:rsid w:val="002F4E83"/>
    <w:rsid w:val="002F5EEB"/>
    <w:rsid w:val="002F6EBA"/>
    <w:rsid w:val="002F6F1C"/>
    <w:rsid w:val="002F71C6"/>
    <w:rsid w:val="00300228"/>
    <w:rsid w:val="0030201C"/>
    <w:rsid w:val="0030281A"/>
    <w:rsid w:val="00303463"/>
    <w:rsid w:val="003043DA"/>
    <w:rsid w:val="0030447E"/>
    <w:rsid w:val="00306965"/>
    <w:rsid w:val="00307053"/>
    <w:rsid w:val="00312488"/>
    <w:rsid w:val="00313110"/>
    <w:rsid w:val="00313B9A"/>
    <w:rsid w:val="00313D51"/>
    <w:rsid w:val="0031487E"/>
    <w:rsid w:val="00315A83"/>
    <w:rsid w:val="003165B8"/>
    <w:rsid w:val="00316F79"/>
    <w:rsid w:val="00317969"/>
    <w:rsid w:val="00321756"/>
    <w:rsid w:val="00324946"/>
    <w:rsid w:val="00327915"/>
    <w:rsid w:val="00330B8B"/>
    <w:rsid w:val="00331134"/>
    <w:rsid w:val="0033155A"/>
    <w:rsid w:val="00331626"/>
    <w:rsid w:val="00332940"/>
    <w:rsid w:val="00333591"/>
    <w:rsid w:val="00333766"/>
    <w:rsid w:val="00335CA2"/>
    <w:rsid w:val="0033661A"/>
    <w:rsid w:val="003367B1"/>
    <w:rsid w:val="00341385"/>
    <w:rsid w:val="0034140F"/>
    <w:rsid w:val="00342F34"/>
    <w:rsid w:val="00343576"/>
    <w:rsid w:val="00351B6E"/>
    <w:rsid w:val="00353B50"/>
    <w:rsid w:val="00355A27"/>
    <w:rsid w:val="003568DD"/>
    <w:rsid w:val="00360D3E"/>
    <w:rsid w:val="00361718"/>
    <w:rsid w:val="00363E7F"/>
    <w:rsid w:val="00365558"/>
    <w:rsid w:val="00365973"/>
    <w:rsid w:val="00365A8D"/>
    <w:rsid w:val="00366020"/>
    <w:rsid w:val="00370560"/>
    <w:rsid w:val="00372DEC"/>
    <w:rsid w:val="00374810"/>
    <w:rsid w:val="00375014"/>
    <w:rsid w:val="0037510D"/>
    <w:rsid w:val="00375AFE"/>
    <w:rsid w:val="00375EC0"/>
    <w:rsid w:val="00376070"/>
    <w:rsid w:val="0037744D"/>
    <w:rsid w:val="00382D5E"/>
    <w:rsid w:val="003834C5"/>
    <w:rsid w:val="00383731"/>
    <w:rsid w:val="003849EB"/>
    <w:rsid w:val="003855BA"/>
    <w:rsid w:val="003855BD"/>
    <w:rsid w:val="00392547"/>
    <w:rsid w:val="00394329"/>
    <w:rsid w:val="003A00D5"/>
    <w:rsid w:val="003A1F57"/>
    <w:rsid w:val="003A3385"/>
    <w:rsid w:val="003A35EC"/>
    <w:rsid w:val="003A53B6"/>
    <w:rsid w:val="003A5583"/>
    <w:rsid w:val="003A57E7"/>
    <w:rsid w:val="003A78B7"/>
    <w:rsid w:val="003B44BD"/>
    <w:rsid w:val="003B487C"/>
    <w:rsid w:val="003B606B"/>
    <w:rsid w:val="003B67A9"/>
    <w:rsid w:val="003B7ADD"/>
    <w:rsid w:val="003B7B18"/>
    <w:rsid w:val="003C0B3C"/>
    <w:rsid w:val="003C4C66"/>
    <w:rsid w:val="003C513C"/>
    <w:rsid w:val="003C5438"/>
    <w:rsid w:val="003C5BCE"/>
    <w:rsid w:val="003C71EB"/>
    <w:rsid w:val="003D37BB"/>
    <w:rsid w:val="003D3DD2"/>
    <w:rsid w:val="003D4507"/>
    <w:rsid w:val="003E238B"/>
    <w:rsid w:val="003E4332"/>
    <w:rsid w:val="003E6AB0"/>
    <w:rsid w:val="003E7889"/>
    <w:rsid w:val="003F0342"/>
    <w:rsid w:val="003F0CC2"/>
    <w:rsid w:val="003F15F7"/>
    <w:rsid w:val="003F175E"/>
    <w:rsid w:val="003F26B0"/>
    <w:rsid w:val="003F2AAF"/>
    <w:rsid w:val="003F4013"/>
    <w:rsid w:val="003F4C17"/>
    <w:rsid w:val="00400046"/>
    <w:rsid w:val="0040199B"/>
    <w:rsid w:val="00401A5A"/>
    <w:rsid w:val="004021D4"/>
    <w:rsid w:val="004024DE"/>
    <w:rsid w:val="00402EF2"/>
    <w:rsid w:val="0040357B"/>
    <w:rsid w:val="004039A4"/>
    <w:rsid w:val="0040546B"/>
    <w:rsid w:val="0040617C"/>
    <w:rsid w:val="00407026"/>
    <w:rsid w:val="004111C9"/>
    <w:rsid w:val="00411DDE"/>
    <w:rsid w:val="004128C1"/>
    <w:rsid w:val="00412E0C"/>
    <w:rsid w:val="0041355E"/>
    <w:rsid w:val="00414F8B"/>
    <w:rsid w:val="00416F84"/>
    <w:rsid w:val="00417092"/>
    <w:rsid w:val="0041763C"/>
    <w:rsid w:val="00417F0C"/>
    <w:rsid w:val="00421B33"/>
    <w:rsid w:val="00422023"/>
    <w:rsid w:val="004226FD"/>
    <w:rsid w:val="00422BE3"/>
    <w:rsid w:val="004245E3"/>
    <w:rsid w:val="0042497F"/>
    <w:rsid w:val="004256AC"/>
    <w:rsid w:val="00426E2C"/>
    <w:rsid w:val="00427A44"/>
    <w:rsid w:val="00431109"/>
    <w:rsid w:val="004331E1"/>
    <w:rsid w:val="004342F8"/>
    <w:rsid w:val="00436BBC"/>
    <w:rsid w:val="00437198"/>
    <w:rsid w:val="00437832"/>
    <w:rsid w:val="0044108C"/>
    <w:rsid w:val="0044153C"/>
    <w:rsid w:val="00441EE5"/>
    <w:rsid w:val="00442D69"/>
    <w:rsid w:val="00443127"/>
    <w:rsid w:val="0044580A"/>
    <w:rsid w:val="00447343"/>
    <w:rsid w:val="00447E87"/>
    <w:rsid w:val="004524A3"/>
    <w:rsid w:val="004531BA"/>
    <w:rsid w:val="00454045"/>
    <w:rsid w:val="0045471E"/>
    <w:rsid w:val="00454834"/>
    <w:rsid w:val="00454891"/>
    <w:rsid w:val="00454F9A"/>
    <w:rsid w:val="004551FE"/>
    <w:rsid w:val="004601CB"/>
    <w:rsid w:val="00460793"/>
    <w:rsid w:val="00460BD0"/>
    <w:rsid w:val="004611E9"/>
    <w:rsid w:val="00462855"/>
    <w:rsid w:val="0046597C"/>
    <w:rsid w:val="00466A8E"/>
    <w:rsid w:val="004670A7"/>
    <w:rsid w:val="004701B1"/>
    <w:rsid w:val="004703B0"/>
    <w:rsid w:val="00470810"/>
    <w:rsid w:val="004708C1"/>
    <w:rsid w:val="00475AD4"/>
    <w:rsid w:val="00480537"/>
    <w:rsid w:val="00480EA3"/>
    <w:rsid w:val="00481263"/>
    <w:rsid w:val="0048156B"/>
    <w:rsid w:val="004827E4"/>
    <w:rsid w:val="00482CA9"/>
    <w:rsid w:val="0048610D"/>
    <w:rsid w:val="00486EA6"/>
    <w:rsid w:val="00486ED8"/>
    <w:rsid w:val="004918ED"/>
    <w:rsid w:val="00491EF3"/>
    <w:rsid w:val="00494681"/>
    <w:rsid w:val="004949CB"/>
    <w:rsid w:val="00495429"/>
    <w:rsid w:val="0049662D"/>
    <w:rsid w:val="00496C9A"/>
    <w:rsid w:val="00496EC4"/>
    <w:rsid w:val="00497398"/>
    <w:rsid w:val="004A0EA3"/>
    <w:rsid w:val="004A214C"/>
    <w:rsid w:val="004A22DC"/>
    <w:rsid w:val="004A356B"/>
    <w:rsid w:val="004A5445"/>
    <w:rsid w:val="004A5609"/>
    <w:rsid w:val="004A628D"/>
    <w:rsid w:val="004A6F4E"/>
    <w:rsid w:val="004B067E"/>
    <w:rsid w:val="004B2642"/>
    <w:rsid w:val="004B412C"/>
    <w:rsid w:val="004B41DD"/>
    <w:rsid w:val="004B47E8"/>
    <w:rsid w:val="004B5E80"/>
    <w:rsid w:val="004C01CE"/>
    <w:rsid w:val="004C1F86"/>
    <w:rsid w:val="004C3D0B"/>
    <w:rsid w:val="004C4E42"/>
    <w:rsid w:val="004C5D87"/>
    <w:rsid w:val="004C61A0"/>
    <w:rsid w:val="004D11CF"/>
    <w:rsid w:val="004D2978"/>
    <w:rsid w:val="004D34FF"/>
    <w:rsid w:val="004D3A99"/>
    <w:rsid w:val="004D52A3"/>
    <w:rsid w:val="004D63BD"/>
    <w:rsid w:val="004D670D"/>
    <w:rsid w:val="004E18CA"/>
    <w:rsid w:val="004E27A9"/>
    <w:rsid w:val="004E458E"/>
    <w:rsid w:val="004E4BE2"/>
    <w:rsid w:val="004E4E8D"/>
    <w:rsid w:val="004E51E2"/>
    <w:rsid w:val="004E5915"/>
    <w:rsid w:val="004E78E2"/>
    <w:rsid w:val="004F16AC"/>
    <w:rsid w:val="004F212F"/>
    <w:rsid w:val="004F2683"/>
    <w:rsid w:val="004F5B44"/>
    <w:rsid w:val="004F5B6D"/>
    <w:rsid w:val="004F72F6"/>
    <w:rsid w:val="00500A71"/>
    <w:rsid w:val="005014C9"/>
    <w:rsid w:val="00501893"/>
    <w:rsid w:val="00502647"/>
    <w:rsid w:val="00505170"/>
    <w:rsid w:val="005051BE"/>
    <w:rsid w:val="005059F2"/>
    <w:rsid w:val="00505F3C"/>
    <w:rsid w:val="005062E1"/>
    <w:rsid w:val="005113B5"/>
    <w:rsid w:val="00512C9F"/>
    <w:rsid w:val="00514611"/>
    <w:rsid w:val="00515258"/>
    <w:rsid w:val="0051558B"/>
    <w:rsid w:val="00517632"/>
    <w:rsid w:val="00517983"/>
    <w:rsid w:val="00521ECA"/>
    <w:rsid w:val="005223AB"/>
    <w:rsid w:val="005225A3"/>
    <w:rsid w:val="0052599B"/>
    <w:rsid w:val="005265A4"/>
    <w:rsid w:val="0053381A"/>
    <w:rsid w:val="00536A17"/>
    <w:rsid w:val="00540186"/>
    <w:rsid w:val="00540345"/>
    <w:rsid w:val="00540E81"/>
    <w:rsid w:val="00540F84"/>
    <w:rsid w:val="005437D5"/>
    <w:rsid w:val="00543F68"/>
    <w:rsid w:val="00543F6F"/>
    <w:rsid w:val="00546945"/>
    <w:rsid w:val="005503A0"/>
    <w:rsid w:val="0055040B"/>
    <w:rsid w:val="00552201"/>
    <w:rsid w:val="0055315D"/>
    <w:rsid w:val="00554128"/>
    <w:rsid w:val="00554582"/>
    <w:rsid w:val="00554D25"/>
    <w:rsid w:val="00555F32"/>
    <w:rsid w:val="005564F1"/>
    <w:rsid w:val="00556841"/>
    <w:rsid w:val="005623E5"/>
    <w:rsid w:val="005650C7"/>
    <w:rsid w:val="00565191"/>
    <w:rsid w:val="005653D1"/>
    <w:rsid w:val="00565BDE"/>
    <w:rsid w:val="00566737"/>
    <w:rsid w:val="005702F6"/>
    <w:rsid w:val="00571284"/>
    <w:rsid w:val="0057172B"/>
    <w:rsid w:val="00571B59"/>
    <w:rsid w:val="00572457"/>
    <w:rsid w:val="005746A6"/>
    <w:rsid w:val="00574733"/>
    <w:rsid w:val="00576604"/>
    <w:rsid w:val="00583840"/>
    <w:rsid w:val="005852C9"/>
    <w:rsid w:val="00586473"/>
    <w:rsid w:val="00586ED9"/>
    <w:rsid w:val="00587E8A"/>
    <w:rsid w:val="005916E5"/>
    <w:rsid w:val="00591A34"/>
    <w:rsid w:val="00591C41"/>
    <w:rsid w:val="005A3A00"/>
    <w:rsid w:val="005A3F0E"/>
    <w:rsid w:val="005A3F2C"/>
    <w:rsid w:val="005A4358"/>
    <w:rsid w:val="005A4F80"/>
    <w:rsid w:val="005A586F"/>
    <w:rsid w:val="005A6A26"/>
    <w:rsid w:val="005A7739"/>
    <w:rsid w:val="005B2C64"/>
    <w:rsid w:val="005B4455"/>
    <w:rsid w:val="005B4713"/>
    <w:rsid w:val="005B64BC"/>
    <w:rsid w:val="005B6AA6"/>
    <w:rsid w:val="005B71F3"/>
    <w:rsid w:val="005C1DCF"/>
    <w:rsid w:val="005C3B95"/>
    <w:rsid w:val="005C6415"/>
    <w:rsid w:val="005D2945"/>
    <w:rsid w:val="005D4275"/>
    <w:rsid w:val="005D4910"/>
    <w:rsid w:val="005D5694"/>
    <w:rsid w:val="005D579B"/>
    <w:rsid w:val="005D5F41"/>
    <w:rsid w:val="005D6243"/>
    <w:rsid w:val="005D7117"/>
    <w:rsid w:val="005D7D2B"/>
    <w:rsid w:val="005E4DE4"/>
    <w:rsid w:val="005E580B"/>
    <w:rsid w:val="005E7A8A"/>
    <w:rsid w:val="005F1419"/>
    <w:rsid w:val="005F1C8F"/>
    <w:rsid w:val="005F388F"/>
    <w:rsid w:val="005F5962"/>
    <w:rsid w:val="005F6144"/>
    <w:rsid w:val="00601829"/>
    <w:rsid w:val="00603110"/>
    <w:rsid w:val="0060368A"/>
    <w:rsid w:val="00603DEE"/>
    <w:rsid w:val="00604633"/>
    <w:rsid w:val="00606CA6"/>
    <w:rsid w:val="00610BD0"/>
    <w:rsid w:val="00611E9D"/>
    <w:rsid w:val="00612C49"/>
    <w:rsid w:val="006153E6"/>
    <w:rsid w:val="006176F5"/>
    <w:rsid w:val="00621DF2"/>
    <w:rsid w:val="00622A3F"/>
    <w:rsid w:val="006237A9"/>
    <w:rsid w:val="00623A5C"/>
    <w:rsid w:val="0062600D"/>
    <w:rsid w:val="0063057E"/>
    <w:rsid w:val="00630809"/>
    <w:rsid w:val="00630E99"/>
    <w:rsid w:val="00630F3D"/>
    <w:rsid w:val="00632FE5"/>
    <w:rsid w:val="00634411"/>
    <w:rsid w:val="006367D8"/>
    <w:rsid w:val="00636C1A"/>
    <w:rsid w:val="00637020"/>
    <w:rsid w:val="00640034"/>
    <w:rsid w:val="006408C7"/>
    <w:rsid w:val="006420CD"/>
    <w:rsid w:val="00642976"/>
    <w:rsid w:val="0064327E"/>
    <w:rsid w:val="006439BB"/>
    <w:rsid w:val="006445ED"/>
    <w:rsid w:val="00647462"/>
    <w:rsid w:val="0065138A"/>
    <w:rsid w:val="00651656"/>
    <w:rsid w:val="00651F44"/>
    <w:rsid w:val="00652788"/>
    <w:rsid w:val="00652E84"/>
    <w:rsid w:val="00653B19"/>
    <w:rsid w:val="00653BC1"/>
    <w:rsid w:val="0065539A"/>
    <w:rsid w:val="00655632"/>
    <w:rsid w:val="00655F27"/>
    <w:rsid w:val="006560E0"/>
    <w:rsid w:val="0065699D"/>
    <w:rsid w:val="0066139C"/>
    <w:rsid w:val="006634B4"/>
    <w:rsid w:val="0066508F"/>
    <w:rsid w:val="006666D4"/>
    <w:rsid w:val="0067020D"/>
    <w:rsid w:val="006702BE"/>
    <w:rsid w:val="00671D07"/>
    <w:rsid w:val="00673E8F"/>
    <w:rsid w:val="006766F0"/>
    <w:rsid w:val="00676B0F"/>
    <w:rsid w:val="006779D7"/>
    <w:rsid w:val="006825C4"/>
    <w:rsid w:val="006845F6"/>
    <w:rsid w:val="0068673E"/>
    <w:rsid w:val="00687A94"/>
    <w:rsid w:val="006947AF"/>
    <w:rsid w:val="00695783"/>
    <w:rsid w:val="006A005C"/>
    <w:rsid w:val="006A08AD"/>
    <w:rsid w:val="006A1F31"/>
    <w:rsid w:val="006A2A5C"/>
    <w:rsid w:val="006A312B"/>
    <w:rsid w:val="006A33C5"/>
    <w:rsid w:val="006A3DC2"/>
    <w:rsid w:val="006A4E18"/>
    <w:rsid w:val="006A5817"/>
    <w:rsid w:val="006A7B5C"/>
    <w:rsid w:val="006A7B60"/>
    <w:rsid w:val="006B05D2"/>
    <w:rsid w:val="006B1BC5"/>
    <w:rsid w:val="006B34C4"/>
    <w:rsid w:val="006B406A"/>
    <w:rsid w:val="006B4188"/>
    <w:rsid w:val="006B4297"/>
    <w:rsid w:val="006B438A"/>
    <w:rsid w:val="006B51C8"/>
    <w:rsid w:val="006B587C"/>
    <w:rsid w:val="006B7A10"/>
    <w:rsid w:val="006C0888"/>
    <w:rsid w:val="006C0FF7"/>
    <w:rsid w:val="006C29C3"/>
    <w:rsid w:val="006C3194"/>
    <w:rsid w:val="006C4794"/>
    <w:rsid w:val="006C47EA"/>
    <w:rsid w:val="006C50C6"/>
    <w:rsid w:val="006C54EE"/>
    <w:rsid w:val="006C56BD"/>
    <w:rsid w:val="006C5996"/>
    <w:rsid w:val="006C6917"/>
    <w:rsid w:val="006C708E"/>
    <w:rsid w:val="006D32D6"/>
    <w:rsid w:val="006D3C86"/>
    <w:rsid w:val="006D4C1C"/>
    <w:rsid w:val="006D6A8E"/>
    <w:rsid w:val="006E028F"/>
    <w:rsid w:val="006E095B"/>
    <w:rsid w:val="006E275E"/>
    <w:rsid w:val="006F2496"/>
    <w:rsid w:val="006F3F7B"/>
    <w:rsid w:val="006F6110"/>
    <w:rsid w:val="006F64CA"/>
    <w:rsid w:val="006F64DD"/>
    <w:rsid w:val="007012F7"/>
    <w:rsid w:val="00701FA5"/>
    <w:rsid w:val="00702CD8"/>
    <w:rsid w:val="00703411"/>
    <w:rsid w:val="007043BB"/>
    <w:rsid w:val="00705CCF"/>
    <w:rsid w:val="007076C5"/>
    <w:rsid w:val="00710DE3"/>
    <w:rsid w:val="0071165B"/>
    <w:rsid w:val="00712CBE"/>
    <w:rsid w:val="0072031F"/>
    <w:rsid w:val="00720B6D"/>
    <w:rsid w:val="00723CEB"/>
    <w:rsid w:val="00724CF9"/>
    <w:rsid w:val="0072738C"/>
    <w:rsid w:val="00727713"/>
    <w:rsid w:val="00727B50"/>
    <w:rsid w:val="0073030A"/>
    <w:rsid w:val="0073036F"/>
    <w:rsid w:val="00731465"/>
    <w:rsid w:val="007325CE"/>
    <w:rsid w:val="007332DF"/>
    <w:rsid w:val="007336A9"/>
    <w:rsid w:val="007347A6"/>
    <w:rsid w:val="00734F6C"/>
    <w:rsid w:val="0073556A"/>
    <w:rsid w:val="0073678F"/>
    <w:rsid w:val="00737F47"/>
    <w:rsid w:val="00737F7B"/>
    <w:rsid w:val="00740F10"/>
    <w:rsid w:val="0074173E"/>
    <w:rsid w:val="007424D8"/>
    <w:rsid w:val="00744698"/>
    <w:rsid w:val="00744C37"/>
    <w:rsid w:val="00747231"/>
    <w:rsid w:val="00750149"/>
    <w:rsid w:val="00750FAF"/>
    <w:rsid w:val="0075165C"/>
    <w:rsid w:val="00751B06"/>
    <w:rsid w:val="007529A0"/>
    <w:rsid w:val="00753E32"/>
    <w:rsid w:val="00753F6A"/>
    <w:rsid w:val="0075402E"/>
    <w:rsid w:val="0075499B"/>
    <w:rsid w:val="007550CF"/>
    <w:rsid w:val="00755131"/>
    <w:rsid w:val="00755CCC"/>
    <w:rsid w:val="00760AE6"/>
    <w:rsid w:val="00762816"/>
    <w:rsid w:val="00762BD1"/>
    <w:rsid w:val="00763A2B"/>
    <w:rsid w:val="00767C59"/>
    <w:rsid w:val="00770904"/>
    <w:rsid w:val="007726A1"/>
    <w:rsid w:val="00774F25"/>
    <w:rsid w:val="0077556C"/>
    <w:rsid w:val="00776888"/>
    <w:rsid w:val="0077736B"/>
    <w:rsid w:val="00781EF2"/>
    <w:rsid w:val="00782943"/>
    <w:rsid w:val="00783D50"/>
    <w:rsid w:val="00786F5F"/>
    <w:rsid w:val="00791543"/>
    <w:rsid w:val="007931BB"/>
    <w:rsid w:val="00793A31"/>
    <w:rsid w:val="00793C8E"/>
    <w:rsid w:val="00794043"/>
    <w:rsid w:val="00795B1C"/>
    <w:rsid w:val="00795FBB"/>
    <w:rsid w:val="007A0D21"/>
    <w:rsid w:val="007A1019"/>
    <w:rsid w:val="007A2F73"/>
    <w:rsid w:val="007A3E6C"/>
    <w:rsid w:val="007A527B"/>
    <w:rsid w:val="007A540D"/>
    <w:rsid w:val="007A5674"/>
    <w:rsid w:val="007A6C1C"/>
    <w:rsid w:val="007A6E07"/>
    <w:rsid w:val="007B01E8"/>
    <w:rsid w:val="007B1177"/>
    <w:rsid w:val="007B12C6"/>
    <w:rsid w:val="007B2E41"/>
    <w:rsid w:val="007B3FC5"/>
    <w:rsid w:val="007B52BC"/>
    <w:rsid w:val="007B5E95"/>
    <w:rsid w:val="007B68A0"/>
    <w:rsid w:val="007B6D24"/>
    <w:rsid w:val="007B7457"/>
    <w:rsid w:val="007B7A9F"/>
    <w:rsid w:val="007C1A65"/>
    <w:rsid w:val="007C4213"/>
    <w:rsid w:val="007C5E96"/>
    <w:rsid w:val="007C723E"/>
    <w:rsid w:val="007D0486"/>
    <w:rsid w:val="007D237E"/>
    <w:rsid w:val="007D44DD"/>
    <w:rsid w:val="007D55CD"/>
    <w:rsid w:val="007D6088"/>
    <w:rsid w:val="007D61CA"/>
    <w:rsid w:val="007D74A9"/>
    <w:rsid w:val="007D7F29"/>
    <w:rsid w:val="007E0FF5"/>
    <w:rsid w:val="007E20FC"/>
    <w:rsid w:val="007E28C5"/>
    <w:rsid w:val="007E3390"/>
    <w:rsid w:val="007E5490"/>
    <w:rsid w:val="007E6378"/>
    <w:rsid w:val="007E6759"/>
    <w:rsid w:val="007E75F9"/>
    <w:rsid w:val="007F1A8C"/>
    <w:rsid w:val="007F2365"/>
    <w:rsid w:val="007F268C"/>
    <w:rsid w:val="007F4201"/>
    <w:rsid w:val="007F50E5"/>
    <w:rsid w:val="007F5119"/>
    <w:rsid w:val="007F53AE"/>
    <w:rsid w:val="007F5B3D"/>
    <w:rsid w:val="007F632D"/>
    <w:rsid w:val="007F6A39"/>
    <w:rsid w:val="00800B2D"/>
    <w:rsid w:val="00800F0B"/>
    <w:rsid w:val="008029E1"/>
    <w:rsid w:val="008036C0"/>
    <w:rsid w:val="00805156"/>
    <w:rsid w:val="00806712"/>
    <w:rsid w:val="00807E66"/>
    <w:rsid w:val="00811723"/>
    <w:rsid w:val="00811A07"/>
    <w:rsid w:val="008137DB"/>
    <w:rsid w:val="0081434C"/>
    <w:rsid w:val="008153FA"/>
    <w:rsid w:val="00815DBE"/>
    <w:rsid w:val="00816CA9"/>
    <w:rsid w:val="00817A10"/>
    <w:rsid w:val="008205D5"/>
    <w:rsid w:val="0082249F"/>
    <w:rsid w:val="0082265F"/>
    <w:rsid w:val="00824045"/>
    <w:rsid w:val="0082544F"/>
    <w:rsid w:val="00826517"/>
    <w:rsid w:val="008276E5"/>
    <w:rsid w:val="00831CE5"/>
    <w:rsid w:val="008328EF"/>
    <w:rsid w:val="00833DE6"/>
    <w:rsid w:val="008349A1"/>
    <w:rsid w:val="0083651D"/>
    <w:rsid w:val="008365A0"/>
    <w:rsid w:val="008365EB"/>
    <w:rsid w:val="0083714D"/>
    <w:rsid w:val="00842031"/>
    <w:rsid w:val="008422DD"/>
    <w:rsid w:val="00844608"/>
    <w:rsid w:val="00847303"/>
    <w:rsid w:val="00847A64"/>
    <w:rsid w:val="0085028F"/>
    <w:rsid w:val="00850B65"/>
    <w:rsid w:val="00850F5B"/>
    <w:rsid w:val="00854EDF"/>
    <w:rsid w:val="008573FF"/>
    <w:rsid w:val="00857953"/>
    <w:rsid w:val="00861D0B"/>
    <w:rsid w:val="00861F29"/>
    <w:rsid w:val="00862325"/>
    <w:rsid w:val="00862350"/>
    <w:rsid w:val="0086420C"/>
    <w:rsid w:val="008668CE"/>
    <w:rsid w:val="008701AA"/>
    <w:rsid w:val="00876FFB"/>
    <w:rsid w:val="008825B1"/>
    <w:rsid w:val="008830A7"/>
    <w:rsid w:val="008831EF"/>
    <w:rsid w:val="0088328A"/>
    <w:rsid w:val="00883F20"/>
    <w:rsid w:val="00885FF3"/>
    <w:rsid w:val="00886D8F"/>
    <w:rsid w:val="0089081B"/>
    <w:rsid w:val="00891E65"/>
    <w:rsid w:val="008934CC"/>
    <w:rsid w:val="00897726"/>
    <w:rsid w:val="008A0CBA"/>
    <w:rsid w:val="008A109D"/>
    <w:rsid w:val="008A2858"/>
    <w:rsid w:val="008A2BAD"/>
    <w:rsid w:val="008A3D53"/>
    <w:rsid w:val="008A3EE5"/>
    <w:rsid w:val="008A64F3"/>
    <w:rsid w:val="008A710C"/>
    <w:rsid w:val="008B0405"/>
    <w:rsid w:val="008B46CE"/>
    <w:rsid w:val="008B4873"/>
    <w:rsid w:val="008B6E4D"/>
    <w:rsid w:val="008C0073"/>
    <w:rsid w:val="008C0DAF"/>
    <w:rsid w:val="008C0FB3"/>
    <w:rsid w:val="008C12BE"/>
    <w:rsid w:val="008C18AE"/>
    <w:rsid w:val="008C201E"/>
    <w:rsid w:val="008C7129"/>
    <w:rsid w:val="008D17B9"/>
    <w:rsid w:val="008D17C1"/>
    <w:rsid w:val="008D2422"/>
    <w:rsid w:val="008D2AF8"/>
    <w:rsid w:val="008D6499"/>
    <w:rsid w:val="008D69ED"/>
    <w:rsid w:val="008D70B9"/>
    <w:rsid w:val="008E28FE"/>
    <w:rsid w:val="008E4E08"/>
    <w:rsid w:val="008E558B"/>
    <w:rsid w:val="008E684C"/>
    <w:rsid w:val="008F1295"/>
    <w:rsid w:val="008F146A"/>
    <w:rsid w:val="008F1E2F"/>
    <w:rsid w:val="008F255C"/>
    <w:rsid w:val="008F2CDB"/>
    <w:rsid w:val="008F31B7"/>
    <w:rsid w:val="008F388B"/>
    <w:rsid w:val="008F3C9E"/>
    <w:rsid w:val="008F4F4F"/>
    <w:rsid w:val="008F5E9F"/>
    <w:rsid w:val="009001CB"/>
    <w:rsid w:val="009015D6"/>
    <w:rsid w:val="00901961"/>
    <w:rsid w:val="00906155"/>
    <w:rsid w:val="0090754D"/>
    <w:rsid w:val="00915099"/>
    <w:rsid w:val="009157E0"/>
    <w:rsid w:val="00915BEB"/>
    <w:rsid w:val="00920568"/>
    <w:rsid w:val="00920883"/>
    <w:rsid w:val="00920C85"/>
    <w:rsid w:val="00921619"/>
    <w:rsid w:val="00921666"/>
    <w:rsid w:val="009235F4"/>
    <w:rsid w:val="00925103"/>
    <w:rsid w:val="00927350"/>
    <w:rsid w:val="00931885"/>
    <w:rsid w:val="00931906"/>
    <w:rsid w:val="00931E1A"/>
    <w:rsid w:val="00932537"/>
    <w:rsid w:val="0093255B"/>
    <w:rsid w:val="0093606F"/>
    <w:rsid w:val="00941863"/>
    <w:rsid w:val="009431A0"/>
    <w:rsid w:val="00943B7C"/>
    <w:rsid w:val="0094598E"/>
    <w:rsid w:val="00945F53"/>
    <w:rsid w:val="00946263"/>
    <w:rsid w:val="009502D8"/>
    <w:rsid w:val="009507D4"/>
    <w:rsid w:val="00950AE8"/>
    <w:rsid w:val="00952119"/>
    <w:rsid w:val="00952FD4"/>
    <w:rsid w:val="009536E0"/>
    <w:rsid w:val="0095446D"/>
    <w:rsid w:val="00954A5E"/>
    <w:rsid w:val="00956B8B"/>
    <w:rsid w:val="00962A91"/>
    <w:rsid w:val="00962AB6"/>
    <w:rsid w:val="009633C6"/>
    <w:rsid w:val="00964D7A"/>
    <w:rsid w:val="00972FC9"/>
    <w:rsid w:val="00974A9C"/>
    <w:rsid w:val="0097639C"/>
    <w:rsid w:val="00980EF9"/>
    <w:rsid w:val="00982132"/>
    <w:rsid w:val="00982D0C"/>
    <w:rsid w:val="009867AF"/>
    <w:rsid w:val="00987879"/>
    <w:rsid w:val="00990545"/>
    <w:rsid w:val="00992A7F"/>
    <w:rsid w:val="00992D14"/>
    <w:rsid w:val="0099416E"/>
    <w:rsid w:val="0099420D"/>
    <w:rsid w:val="00994A40"/>
    <w:rsid w:val="00995172"/>
    <w:rsid w:val="00996309"/>
    <w:rsid w:val="00997212"/>
    <w:rsid w:val="00997C0E"/>
    <w:rsid w:val="00997F9F"/>
    <w:rsid w:val="009A00D3"/>
    <w:rsid w:val="009A1ABE"/>
    <w:rsid w:val="009A2E9C"/>
    <w:rsid w:val="009A3890"/>
    <w:rsid w:val="009A5CFF"/>
    <w:rsid w:val="009A6E41"/>
    <w:rsid w:val="009A6E94"/>
    <w:rsid w:val="009A73D0"/>
    <w:rsid w:val="009B000E"/>
    <w:rsid w:val="009B11AA"/>
    <w:rsid w:val="009B183D"/>
    <w:rsid w:val="009B19FB"/>
    <w:rsid w:val="009B343B"/>
    <w:rsid w:val="009B4901"/>
    <w:rsid w:val="009B5A90"/>
    <w:rsid w:val="009B7533"/>
    <w:rsid w:val="009B78CB"/>
    <w:rsid w:val="009C0031"/>
    <w:rsid w:val="009C012B"/>
    <w:rsid w:val="009C0396"/>
    <w:rsid w:val="009C1937"/>
    <w:rsid w:val="009C36B9"/>
    <w:rsid w:val="009C3ACE"/>
    <w:rsid w:val="009C6327"/>
    <w:rsid w:val="009C6652"/>
    <w:rsid w:val="009C6948"/>
    <w:rsid w:val="009D0619"/>
    <w:rsid w:val="009D1A65"/>
    <w:rsid w:val="009D342B"/>
    <w:rsid w:val="009D432A"/>
    <w:rsid w:val="009D57E2"/>
    <w:rsid w:val="009D5FA1"/>
    <w:rsid w:val="009D61BC"/>
    <w:rsid w:val="009D7E0A"/>
    <w:rsid w:val="009E0D4A"/>
    <w:rsid w:val="009E1952"/>
    <w:rsid w:val="009E293F"/>
    <w:rsid w:val="009E392D"/>
    <w:rsid w:val="009E6701"/>
    <w:rsid w:val="009E7512"/>
    <w:rsid w:val="009F3369"/>
    <w:rsid w:val="009F3553"/>
    <w:rsid w:val="009F3713"/>
    <w:rsid w:val="00A0062C"/>
    <w:rsid w:val="00A02201"/>
    <w:rsid w:val="00A03C72"/>
    <w:rsid w:val="00A05143"/>
    <w:rsid w:val="00A0599E"/>
    <w:rsid w:val="00A076DD"/>
    <w:rsid w:val="00A10285"/>
    <w:rsid w:val="00A14002"/>
    <w:rsid w:val="00A15595"/>
    <w:rsid w:val="00A160B1"/>
    <w:rsid w:val="00A168CA"/>
    <w:rsid w:val="00A1714E"/>
    <w:rsid w:val="00A17F57"/>
    <w:rsid w:val="00A21E53"/>
    <w:rsid w:val="00A22453"/>
    <w:rsid w:val="00A22AF5"/>
    <w:rsid w:val="00A25C20"/>
    <w:rsid w:val="00A25DAD"/>
    <w:rsid w:val="00A27FCB"/>
    <w:rsid w:val="00A3000E"/>
    <w:rsid w:val="00A3071B"/>
    <w:rsid w:val="00A30F52"/>
    <w:rsid w:val="00A341FB"/>
    <w:rsid w:val="00A37EEE"/>
    <w:rsid w:val="00A41893"/>
    <w:rsid w:val="00A42AE7"/>
    <w:rsid w:val="00A4366F"/>
    <w:rsid w:val="00A45918"/>
    <w:rsid w:val="00A4596A"/>
    <w:rsid w:val="00A46657"/>
    <w:rsid w:val="00A4669B"/>
    <w:rsid w:val="00A50839"/>
    <w:rsid w:val="00A5236E"/>
    <w:rsid w:val="00A63D90"/>
    <w:rsid w:val="00A63F77"/>
    <w:rsid w:val="00A6524A"/>
    <w:rsid w:val="00A71BC7"/>
    <w:rsid w:val="00A72250"/>
    <w:rsid w:val="00A72C54"/>
    <w:rsid w:val="00A739EF"/>
    <w:rsid w:val="00A750F8"/>
    <w:rsid w:val="00A75F07"/>
    <w:rsid w:val="00A816CA"/>
    <w:rsid w:val="00A818B9"/>
    <w:rsid w:val="00A82E8F"/>
    <w:rsid w:val="00A85217"/>
    <w:rsid w:val="00A877E6"/>
    <w:rsid w:val="00A87D97"/>
    <w:rsid w:val="00A90795"/>
    <w:rsid w:val="00A91926"/>
    <w:rsid w:val="00A9276E"/>
    <w:rsid w:val="00A928B7"/>
    <w:rsid w:val="00A95438"/>
    <w:rsid w:val="00A9674C"/>
    <w:rsid w:val="00A96854"/>
    <w:rsid w:val="00A97A83"/>
    <w:rsid w:val="00A97DB5"/>
    <w:rsid w:val="00AA1CA8"/>
    <w:rsid w:val="00AA3137"/>
    <w:rsid w:val="00AA5CD9"/>
    <w:rsid w:val="00AA79AF"/>
    <w:rsid w:val="00AB2BC7"/>
    <w:rsid w:val="00AB30D8"/>
    <w:rsid w:val="00AB3A2C"/>
    <w:rsid w:val="00AB5429"/>
    <w:rsid w:val="00AB6173"/>
    <w:rsid w:val="00AB7147"/>
    <w:rsid w:val="00AC03E0"/>
    <w:rsid w:val="00AC09AF"/>
    <w:rsid w:val="00AC0CBE"/>
    <w:rsid w:val="00AC2A33"/>
    <w:rsid w:val="00AC2A8B"/>
    <w:rsid w:val="00AC2F01"/>
    <w:rsid w:val="00AC517E"/>
    <w:rsid w:val="00AC61FD"/>
    <w:rsid w:val="00AC6397"/>
    <w:rsid w:val="00AC65CA"/>
    <w:rsid w:val="00AC7F5C"/>
    <w:rsid w:val="00AD03AA"/>
    <w:rsid w:val="00AD04C5"/>
    <w:rsid w:val="00AD17B1"/>
    <w:rsid w:val="00AD3260"/>
    <w:rsid w:val="00AD36B9"/>
    <w:rsid w:val="00AD517B"/>
    <w:rsid w:val="00AD566C"/>
    <w:rsid w:val="00AE0815"/>
    <w:rsid w:val="00AE09F6"/>
    <w:rsid w:val="00AE2593"/>
    <w:rsid w:val="00AE27F1"/>
    <w:rsid w:val="00AE63BD"/>
    <w:rsid w:val="00AE672E"/>
    <w:rsid w:val="00AE75F6"/>
    <w:rsid w:val="00AF1CA8"/>
    <w:rsid w:val="00AF25B8"/>
    <w:rsid w:val="00AF3FDB"/>
    <w:rsid w:val="00AF57B9"/>
    <w:rsid w:val="00AF65F1"/>
    <w:rsid w:val="00AF689B"/>
    <w:rsid w:val="00AF73DC"/>
    <w:rsid w:val="00AF77A6"/>
    <w:rsid w:val="00AF7B63"/>
    <w:rsid w:val="00B00211"/>
    <w:rsid w:val="00B0032A"/>
    <w:rsid w:val="00B01C87"/>
    <w:rsid w:val="00B034E8"/>
    <w:rsid w:val="00B10065"/>
    <w:rsid w:val="00B11DF7"/>
    <w:rsid w:val="00B129FD"/>
    <w:rsid w:val="00B15191"/>
    <w:rsid w:val="00B159A8"/>
    <w:rsid w:val="00B177D7"/>
    <w:rsid w:val="00B20189"/>
    <w:rsid w:val="00B21C01"/>
    <w:rsid w:val="00B23843"/>
    <w:rsid w:val="00B23F85"/>
    <w:rsid w:val="00B24237"/>
    <w:rsid w:val="00B27992"/>
    <w:rsid w:val="00B315EB"/>
    <w:rsid w:val="00B31B07"/>
    <w:rsid w:val="00B34F6B"/>
    <w:rsid w:val="00B34FC0"/>
    <w:rsid w:val="00B35E0D"/>
    <w:rsid w:val="00B37200"/>
    <w:rsid w:val="00B378DA"/>
    <w:rsid w:val="00B408D6"/>
    <w:rsid w:val="00B40C46"/>
    <w:rsid w:val="00B42972"/>
    <w:rsid w:val="00B43246"/>
    <w:rsid w:val="00B4403D"/>
    <w:rsid w:val="00B4492A"/>
    <w:rsid w:val="00B45BAF"/>
    <w:rsid w:val="00B4703A"/>
    <w:rsid w:val="00B50DCF"/>
    <w:rsid w:val="00B5166A"/>
    <w:rsid w:val="00B518C1"/>
    <w:rsid w:val="00B51B09"/>
    <w:rsid w:val="00B536F8"/>
    <w:rsid w:val="00B53F56"/>
    <w:rsid w:val="00B54B0C"/>
    <w:rsid w:val="00B54CFF"/>
    <w:rsid w:val="00B54DCC"/>
    <w:rsid w:val="00B55C79"/>
    <w:rsid w:val="00B56026"/>
    <w:rsid w:val="00B57D91"/>
    <w:rsid w:val="00B602CD"/>
    <w:rsid w:val="00B609C0"/>
    <w:rsid w:val="00B61B8D"/>
    <w:rsid w:val="00B62670"/>
    <w:rsid w:val="00B6671D"/>
    <w:rsid w:val="00B67B52"/>
    <w:rsid w:val="00B705C9"/>
    <w:rsid w:val="00B70705"/>
    <w:rsid w:val="00B7079D"/>
    <w:rsid w:val="00B71D6C"/>
    <w:rsid w:val="00B7305D"/>
    <w:rsid w:val="00B73ABB"/>
    <w:rsid w:val="00B749E7"/>
    <w:rsid w:val="00B76626"/>
    <w:rsid w:val="00B76A84"/>
    <w:rsid w:val="00B80039"/>
    <w:rsid w:val="00B804FB"/>
    <w:rsid w:val="00B8055C"/>
    <w:rsid w:val="00B80680"/>
    <w:rsid w:val="00B81892"/>
    <w:rsid w:val="00B82507"/>
    <w:rsid w:val="00B83ECD"/>
    <w:rsid w:val="00B84610"/>
    <w:rsid w:val="00B84D3D"/>
    <w:rsid w:val="00B86C46"/>
    <w:rsid w:val="00B870CE"/>
    <w:rsid w:val="00B92886"/>
    <w:rsid w:val="00B943AE"/>
    <w:rsid w:val="00B97AD1"/>
    <w:rsid w:val="00BA0417"/>
    <w:rsid w:val="00BA0F65"/>
    <w:rsid w:val="00BA1105"/>
    <w:rsid w:val="00BA1512"/>
    <w:rsid w:val="00BA26DC"/>
    <w:rsid w:val="00BA33E1"/>
    <w:rsid w:val="00BA52E8"/>
    <w:rsid w:val="00BA5E12"/>
    <w:rsid w:val="00BA6BB7"/>
    <w:rsid w:val="00BA76A9"/>
    <w:rsid w:val="00BB021B"/>
    <w:rsid w:val="00BB2373"/>
    <w:rsid w:val="00BB2DA5"/>
    <w:rsid w:val="00BB4173"/>
    <w:rsid w:val="00BB5D39"/>
    <w:rsid w:val="00BB7105"/>
    <w:rsid w:val="00BB77A6"/>
    <w:rsid w:val="00BC0EDE"/>
    <w:rsid w:val="00BC3240"/>
    <w:rsid w:val="00BC3778"/>
    <w:rsid w:val="00BC43CC"/>
    <w:rsid w:val="00BC4E10"/>
    <w:rsid w:val="00BC6D7A"/>
    <w:rsid w:val="00BD0F54"/>
    <w:rsid w:val="00BD1123"/>
    <w:rsid w:val="00BD397D"/>
    <w:rsid w:val="00BD3C60"/>
    <w:rsid w:val="00BD4572"/>
    <w:rsid w:val="00BD5A54"/>
    <w:rsid w:val="00BD61BE"/>
    <w:rsid w:val="00BD6CAF"/>
    <w:rsid w:val="00BE10EA"/>
    <w:rsid w:val="00BE13AD"/>
    <w:rsid w:val="00BE378D"/>
    <w:rsid w:val="00BE4D8C"/>
    <w:rsid w:val="00BE5490"/>
    <w:rsid w:val="00BE6214"/>
    <w:rsid w:val="00BE6C0D"/>
    <w:rsid w:val="00BE7671"/>
    <w:rsid w:val="00BF1A90"/>
    <w:rsid w:val="00BF1D65"/>
    <w:rsid w:val="00BF2539"/>
    <w:rsid w:val="00BF28ED"/>
    <w:rsid w:val="00BF41AF"/>
    <w:rsid w:val="00BF5305"/>
    <w:rsid w:val="00BF575C"/>
    <w:rsid w:val="00BF58CC"/>
    <w:rsid w:val="00BF5A8C"/>
    <w:rsid w:val="00BF6ED3"/>
    <w:rsid w:val="00BF6F78"/>
    <w:rsid w:val="00BF6FF4"/>
    <w:rsid w:val="00BF7463"/>
    <w:rsid w:val="00BF7B31"/>
    <w:rsid w:val="00C02345"/>
    <w:rsid w:val="00C02731"/>
    <w:rsid w:val="00C03AB2"/>
    <w:rsid w:val="00C046A2"/>
    <w:rsid w:val="00C047D5"/>
    <w:rsid w:val="00C06799"/>
    <w:rsid w:val="00C1078B"/>
    <w:rsid w:val="00C10BA8"/>
    <w:rsid w:val="00C11BD9"/>
    <w:rsid w:val="00C12B2C"/>
    <w:rsid w:val="00C14799"/>
    <w:rsid w:val="00C15BB3"/>
    <w:rsid w:val="00C16DFE"/>
    <w:rsid w:val="00C173EF"/>
    <w:rsid w:val="00C17985"/>
    <w:rsid w:val="00C20149"/>
    <w:rsid w:val="00C2163B"/>
    <w:rsid w:val="00C2199C"/>
    <w:rsid w:val="00C21CC9"/>
    <w:rsid w:val="00C22733"/>
    <w:rsid w:val="00C22941"/>
    <w:rsid w:val="00C231B0"/>
    <w:rsid w:val="00C23F77"/>
    <w:rsid w:val="00C246D2"/>
    <w:rsid w:val="00C26528"/>
    <w:rsid w:val="00C2692D"/>
    <w:rsid w:val="00C30C49"/>
    <w:rsid w:val="00C31BD2"/>
    <w:rsid w:val="00C3326D"/>
    <w:rsid w:val="00C3327F"/>
    <w:rsid w:val="00C33635"/>
    <w:rsid w:val="00C34E97"/>
    <w:rsid w:val="00C358C2"/>
    <w:rsid w:val="00C36108"/>
    <w:rsid w:val="00C414BC"/>
    <w:rsid w:val="00C41DEC"/>
    <w:rsid w:val="00C42697"/>
    <w:rsid w:val="00C44504"/>
    <w:rsid w:val="00C448AD"/>
    <w:rsid w:val="00C44AE3"/>
    <w:rsid w:val="00C45036"/>
    <w:rsid w:val="00C46AD9"/>
    <w:rsid w:val="00C52977"/>
    <w:rsid w:val="00C53500"/>
    <w:rsid w:val="00C53B8C"/>
    <w:rsid w:val="00C57066"/>
    <w:rsid w:val="00C57C9C"/>
    <w:rsid w:val="00C60B16"/>
    <w:rsid w:val="00C610A2"/>
    <w:rsid w:val="00C61BB1"/>
    <w:rsid w:val="00C62FB2"/>
    <w:rsid w:val="00C634B2"/>
    <w:rsid w:val="00C65485"/>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42C0"/>
    <w:rsid w:val="00C85B22"/>
    <w:rsid w:val="00C85C8F"/>
    <w:rsid w:val="00C87B52"/>
    <w:rsid w:val="00C90E1E"/>
    <w:rsid w:val="00C91F00"/>
    <w:rsid w:val="00C923A6"/>
    <w:rsid w:val="00C924E1"/>
    <w:rsid w:val="00C925EB"/>
    <w:rsid w:val="00C92873"/>
    <w:rsid w:val="00C936BD"/>
    <w:rsid w:val="00C971C7"/>
    <w:rsid w:val="00C97EF4"/>
    <w:rsid w:val="00CA07A6"/>
    <w:rsid w:val="00CA0965"/>
    <w:rsid w:val="00CA0968"/>
    <w:rsid w:val="00CA0DAC"/>
    <w:rsid w:val="00CA1AC2"/>
    <w:rsid w:val="00CA26E0"/>
    <w:rsid w:val="00CA2B18"/>
    <w:rsid w:val="00CA2B6C"/>
    <w:rsid w:val="00CA2D31"/>
    <w:rsid w:val="00CA4FEC"/>
    <w:rsid w:val="00CA548B"/>
    <w:rsid w:val="00CA5D8F"/>
    <w:rsid w:val="00CA6EC8"/>
    <w:rsid w:val="00CA718C"/>
    <w:rsid w:val="00CB123E"/>
    <w:rsid w:val="00CB2327"/>
    <w:rsid w:val="00CB27AF"/>
    <w:rsid w:val="00CB39D2"/>
    <w:rsid w:val="00CB3FEC"/>
    <w:rsid w:val="00CB4481"/>
    <w:rsid w:val="00CB60FE"/>
    <w:rsid w:val="00CB7979"/>
    <w:rsid w:val="00CB7CD0"/>
    <w:rsid w:val="00CC05A0"/>
    <w:rsid w:val="00CC0663"/>
    <w:rsid w:val="00CC2F00"/>
    <w:rsid w:val="00CD09CF"/>
    <w:rsid w:val="00CD1BBF"/>
    <w:rsid w:val="00CD1C7F"/>
    <w:rsid w:val="00CD1DE9"/>
    <w:rsid w:val="00CD356C"/>
    <w:rsid w:val="00CD5A00"/>
    <w:rsid w:val="00CD6FBB"/>
    <w:rsid w:val="00CD6FF2"/>
    <w:rsid w:val="00CD7D30"/>
    <w:rsid w:val="00CE08C5"/>
    <w:rsid w:val="00CE11AB"/>
    <w:rsid w:val="00CE288F"/>
    <w:rsid w:val="00CE3A37"/>
    <w:rsid w:val="00CE5525"/>
    <w:rsid w:val="00CE7881"/>
    <w:rsid w:val="00CF18D5"/>
    <w:rsid w:val="00CF1B89"/>
    <w:rsid w:val="00CF1CF9"/>
    <w:rsid w:val="00CF2117"/>
    <w:rsid w:val="00CF2757"/>
    <w:rsid w:val="00CF320A"/>
    <w:rsid w:val="00CF4D17"/>
    <w:rsid w:val="00CF4D9B"/>
    <w:rsid w:val="00CF5B7B"/>
    <w:rsid w:val="00CF5ECA"/>
    <w:rsid w:val="00CF6F47"/>
    <w:rsid w:val="00D00A23"/>
    <w:rsid w:val="00D01BCE"/>
    <w:rsid w:val="00D02E64"/>
    <w:rsid w:val="00D037A2"/>
    <w:rsid w:val="00D0487C"/>
    <w:rsid w:val="00D057A8"/>
    <w:rsid w:val="00D0592A"/>
    <w:rsid w:val="00D06E63"/>
    <w:rsid w:val="00D10CA0"/>
    <w:rsid w:val="00D1111A"/>
    <w:rsid w:val="00D150E4"/>
    <w:rsid w:val="00D151C0"/>
    <w:rsid w:val="00D15E96"/>
    <w:rsid w:val="00D213EE"/>
    <w:rsid w:val="00D2144E"/>
    <w:rsid w:val="00D21B53"/>
    <w:rsid w:val="00D21D1F"/>
    <w:rsid w:val="00D2227C"/>
    <w:rsid w:val="00D23A48"/>
    <w:rsid w:val="00D24E95"/>
    <w:rsid w:val="00D25CDF"/>
    <w:rsid w:val="00D27077"/>
    <w:rsid w:val="00D27C03"/>
    <w:rsid w:val="00D27C69"/>
    <w:rsid w:val="00D300E1"/>
    <w:rsid w:val="00D32124"/>
    <w:rsid w:val="00D33093"/>
    <w:rsid w:val="00D33B7E"/>
    <w:rsid w:val="00D348ED"/>
    <w:rsid w:val="00D3634C"/>
    <w:rsid w:val="00D406DE"/>
    <w:rsid w:val="00D41B4F"/>
    <w:rsid w:val="00D42AE9"/>
    <w:rsid w:val="00D45E4B"/>
    <w:rsid w:val="00D50BC4"/>
    <w:rsid w:val="00D50E81"/>
    <w:rsid w:val="00D5154E"/>
    <w:rsid w:val="00D5221D"/>
    <w:rsid w:val="00D527F6"/>
    <w:rsid w:val="00D5364B"/>
    <w:rsid w:val="00D558B6"/>
    <w:rsid w:val="00D55C8C"/>
    <w:rsid w:val="00D562D4"/>
    <w:rsid w:val="00D56CF5"/>
    <w:rsid w:val="00D60F69"/>
    <w:rsid w:val="00D619B7"/>
    <w:rsid w:val="00D653B2"/>
    <w:rsid w:val="00D6556E"/>
    <w:rsid w:val="00D65C66"/>
    <w:rsid w:val="00D66D42"/>
    <w:rsid w:val="00D67A40"/>
    <w:rsid w:val="00D67C7C"/>
    <w:rsid w:val="00D70462"/>
    <w:rsid w:val="00D717DB"/>
    <w:rsid w:val="00D7200C"/>
    <w:rsid w:val="00D77E21"/>
    <w:rsid w:val="00D80487"/>
    <w:rsid w:val="00D80712"/>
    <w:rsid w:val="00D81041"/>
    <w:rsid w:val="00D827D1"/>
    <w:rsid w:val="00D8297C"/>
    <w:rsid w:val="00D83F95"/>
    <w:rsid w:val="00D8493A"/>
    <w:rsid w:val="00D8511F"/>
    <w:rsid w:val="00D8518D"/>
    <w:rsid w:val="00D85B28"/>
    <w:rsid w:val="00D85C37"/>
    <w:rsid w:val="00D85D17"/>
    <w:rsid w:val="00D85F80"/>
    <w:rsid w:val="00D867D3"/>
    <w:rsid w:val="00D90D89"/>
    <w:rsid w:val="00D90FAA"/>
    <w:rsid w:val="00D93E21"/>
    <w:rsid w:val="00DA1940"/>
    <w:rsid w:val="00DA3356"/>
    <w:rsid w:val="00DA3EA7"/>
    <w:rsid w:val="00DA4B73"/>
    <w:rsid w:val="00DA5B23"/>
    <w:rsid w:val="00DA5CA8"/>
    <w:rsid w:val="00DB0F5F"/>
    <w:rsid w:val="00DB1984"/>
    <w:rsid w:val="00DB32AA"/>
    <w:rsid w:val="00DB55F8"/>
    <w:rsid w:val="00DB5D20"/>
    <w:rsid w:val="00DB5D9F"/>
    <w:rsid w:val="00DC0257"/>
    <w:rsid w:val="00DC0A11"/>
    <w:rsid w:val="00DC3069"/>
    <w:rsid w:val="00DC3E9A"/>
    <w:rsid w:val="00DC41C4"/>
    <w:rsid w:val="00DC5F2C"/>
    <w:rsid w:val="00DC69B0"/>
    <w:rsid w:val="00DC78CC"/>
    <w:rsid w:val="00DD0BB5"/>
    <w:rsid w:val="00DD0F08"/>
    <w:rsid w:val="00DD3086"/>
    <w:rsid w:val="00DD53F0"/>
    <w:rsid w:val="00DD587B"/>
    <w:rsid w:val="00DD5BB0"/>
    <w:rsid w:val="00DE3597"/>
    <w:rsid w:val="00DE3C44"/>
    <w:rsid w:val="00DE5201"/>
    <w:rsid w:val="00DE59C4"/>
    <w:rsid w:val="00DE795E"/>
    <w:rsid w:val="00DE7F3A"/>
    <w:rsid w:val="00DF3084"/>
    <w:rsid w:val="00DF4FB0"/>
    <w:rsid w:val="00DF5C64"/>
    <w:rsid w:val="00DF6AF2"/>
    <w:rsid w:val="00E0188E"/>
    <w:rsid w:val="00E02B6C"/>
    <w:rsid w:val="00E02F24"/>
    <w:rsid w:val="00E031E2"/>
    <w:rsid w:val="00E038E8"/>
    <w:rsid w:val="00E06BDE"/>
    <w:rsid w:val="00E071F3"/>
    <w:rsid w:val="00E079AE"/>
    <w:rsid w:val="00E1051D"/>
    <w:rsid w:val="00E10E96"/>
    <w:rsid w:val="00E11231"/>
    <w:rsid w:val="00E113CD"/>
    <w:rsid w:val="00E12B28"/>
    <w:rsid w:val="00E130B7"/>
    <w:rsid w:val="00E154BE"/>
    <w:rsid w:val="00E17976"/>
    <w:rsid w:val="00E214F5"/>
    <w:rsid w:val="00E227D5"/>
    <w:rsid w:val="00E22E08"/>
    <w:rsid w:val="00E23DED"/>
    <w:rsid w:val="00E31CD6"/>
    <w:rsid w:val="00E34806"/>
    <w:rsid w:val="00E36BAD"/>
    <w:rsid w:val="00E37D1F"/>
    <w:rsid w:val="00E4222D"/>
    <w:rsid w:val="00E42492"/>
    <w:rsid w:val="00E4315D"/>
    <w:rsid w:val="00E43BA7"/>
    <w:rsid w:val="00E44187"/>
    <w:rsid w:val="00E45227"/>
    <w:rsid w:val="00E4685D"/>
    <w:rsid w:val="00E50EB3"/>
    <w:rsid w:val="00E527EE"/>
    <w:rsid w:val="00E5577A"/>
    <w:rsid w:val="00E56EB7"/>
    <w:rsid w:val="00E57927"/>
    <w:rsid w:val="00E623CC"/>
    <w:rsid w:val="00E63047"/>
    <w:rsid w:val="00E63CC0"/>
    <w:rsid w:val="00E63D81"/>
    <w:rsid w:val="00E64633"/>
    <w:rsid w:val="00E64884"/>
    <w:rsid w:val="00E668CA"/>
    <w:rsid w:val="00E70B50"/>
    <w:rsid w:val="00E7209D"/>
    <w:rsid w:val="00E725BE"/>
    <w:rsid w:val="00E737B5"/>
    <w:rsid w:val="00E73DCA"/>
    <w:rsid w:val="00E77149"/>
    <w:rsid w:val="00E779CA"/>
    <w:rsid w:val="00E8072B"/>
    <w:rsid w:val="00E8077D"/>
    <w:rsid w:val="00E817B9"/>
    <w:rsid w:val="00E82757"/>
    <w:rsid w:val="00E82F5C"/>
    <w:rsid w:val="00E84A04"/>
    <w:rsid w:val="00E913C7"/>
    <w:rsid w:val="00E914A3"/>
    <w:rsid w:val="00E919B7"/>
    <w:rsid w:val="00E9294D"/>
    <w:rsid w:val="00E92DB5"/>
    <w:rsid w:val="00E92E42"/>
    <w:rsid w:val="00E945EF"/>
    <w:rsid w:val="00EA2649"/>
    <w:rsid w:val="00EA6B52"/>
    <w:rsid w:val="00EA7DA1"/>
    <w:rsid w:val="00EB06B6"/>
    <w:rsid w:val="00EB23A8"/>
    <w:rsid w:val="00EB3FFC"/>
    <w:rsid w:val="00EB7127"/>
    <w:rsid w:val="00EC2AAA"/>
    <w:rsid w:val="00EC2F3F"/>
    <w:rsid w:val="00EC4048"/>
    <w:rsid w:val="00EC434B"/>
    <w:rsid w:val="00EC5679"/>
    <w:rsid w:val="00EC5A42"/>
    <w:rsid w:val="00EC635E"/>
    <w:rsid w:val="00EC7491"/>
    <w:rsid w:val="00ED2EA9"/>
    <w:rsid w:val="00ED469E"/>
    <w:rsid w:val="00ED75B6"/>
    <w:rsid w:val="00EE073A"/>
    <w:rsid w:val="00EE16D8"/>
    <w:rsid w:val="00EE2F8D"/>
    <w:rsid w:val="00EE3929"/>
    <w:rsid w:val="00EE40CC"/>
    <w:rsid w:val="00EE40E3"/>
    <w:rsid w:val="00EE5E8D"/>
    <w:rsid w:val="00EE7013"/>
    <w:rsid w:val="00EF097B"/>
    <w:rsid w:val="00EF09B1"/>
    <w:rsid w:val="00EF46B9"/>
    <w:rsid w:val="00EF5513"/>
    <w:rsid w:val="00EF6296"/>
    <w:rsid w:val="00F02406"/>
    <w:rsid w:val="00F042A5"/>
    <w:rsid w:val="00F04637"/>
    <w:rsid w:val="00F06356"/>
    <w:rsid w:val="00F0699C"/>
    <w:rsid w:val="00F07328"/>
    <w:rsid w:val="00F07AF7"/>
    <w:rsid w:val="00F104D8"/>
    <w:rsid w:val="00F11171"/>
    <w:rsid w:val="00F119D8"/>
    <w:rsid w:val="00F11D4B"/>
    <w:rsid w:val="00F1377F"/>
    <w:rsid w:val="00F13E55"/>
    <w:rsid w:val="00F140A5"/>
    <w:rsid w:val="00F1491A"/>
    <w:rsid w:val="00F149CE"/>
    <w:rsid w:val="00F16EC8"/>
    <w:rsid w:val="00F16ED4"/>
    <w:rsid w:val="00F2240D"/>
    <w:rsid w:val="00F253D7"/>
    <w:rsid w:val="00F2691C"/>
    <w:rsid w:val="00F276EA"/>
    <w:rsid w:val="00F3008C"/>
    <w:rsid w:val="00F36792"/>
    <w:rsid w:val="00F37832"/>
    <w:rsid w:val="00F4011D"/>
    <w:rsid w:val="00F42C79"/>
    <w:rsid w:val="00F43480"/>
    <w:rsid w:val="00F453A0"/>
    <w:rsid w:val="00F4586D"/>
    <w:rsid w:val="00F47A47"/>
    <w:rsid w:val="00F50C15"/>
    <w:rsid w:val="00F51CAA"/>
    <w:rsid w:val="00F562D7"/>
    <w:rsid w:val="00F57C24"/>
    <w:rsid w:val="00F606C3"/>
    <w:rsid w:val="00F6190C"/>
    <w:rsid w:val="00F619F6"/>
    <w:rsid w:val="00F61AB3"/>
    <w:rsid w:val="00F648B3"/>
    <w:rsid w:val="00F64AB0"/>
    <w:rsid w:val="00F65595"/>
    <w:rsid w:val="00F6592E"/>
    <w:rsid w:val="00F73B33"/>
    <w:rsid w:val="00F73FF7"/>
    <w:rsid w:val="00F74030"/>
    <w:rsid w:val="00F74521"/>
    <w:rsid w:val="00F75754"/>
    <w:rsid w:val="00F76EF3"/>
    <w:rsid w:val="00F76F6C"/>
    <w:rsid w:val="00F80270"/>
    <w:rsid w:val="00F80CE8"/>
    <w:rsid w:val="00F8180A"/>
    <w:rsid w:val="00F81CE4"/>
    <w:rsid w:val="00F82C50"/>
    <w:rsid w:val="00F83C40"/>
    <w:rsid w:val="00F83C5A"/>
    <w:rsid w:val="00F87500"/>
    <w:rsid w:val="00F91639"/>
    <w:rsid w:val="00F91A44"/>
    <w:rsid w:val="00F93792"/>
    <w:rsid w:val="00F94026"/>
    <w:rsid w:val="00F94998"/>
    <w:rsid w:val="00F95354"/>
    <w:rsid w:val="00F9632C"/>
    <w:rsid w:val="00F96403"/>
    <w:rsid w:val="00FA1512"/>
    <w:rsid w:val="00FA39D3"/>
    <w:rsid w:val="00FA4FFB"/>
    <w:rsid w:val="00FB01CE"/>
    <w:rsid w:val="00FB2148"/>
    <w:rsid w:val="00FB3425"/>
    <w:rsid w:val="00FB37E3"/>
    <w:rsid w:val="00FB4DF0"/>
    <w:rsid w:val="00FB5195"/>
    <w:rsid w:val="00FB5BD5"/>
    <w:rsid w:val="00FB6274"/>
    <w:rsid w:val="00FC0B06"/>
    <w:rsid w:val="00FC3229"/>
    <w:rsid w:val="00FC33E8"/>
    <w:rsid w:val="00FC4AA4"/>
    <w:rsid w:val="00FC4E42"/>
    <w:rsid w:val="00FC5B2B"/>
    <w:rsid w:val="00FC6F47"/>
    <w:rsid w:val="00FD083B"/>
    <w:rsid w:val="00FD130F"/>
    <w:rsid w:val="00FD2031"/>
    <w:rsid w:val="00FD2B86"/>
    <w:rsid w:val="00FD2C16"/>
    <w:rsid w:val="00FD64B9"/>
    <w:rsid w:val="00FE06FE"/>
    <w:rsid w:val="00FE10B5"/>
    <w:rsid w:val="00FE42D8"/>
    <w:rsid w:val="00FE5E2E"/>
    <w:rsid w:val="00FE616C"/>
    <w:rsid w:val="00FE6621"/>
    <w:rsid w:val="00FF0301"/>
    <w:rsid w:val="00FF04FB"/>
    <w:rsid w:val="00FF0538"/>
    <w:rsid w:val="00FF0854"/>
    <w:rsid w:val="00FF0BD5"/>
    <w:rsid w:val="00FF11DB"/>
    <w:rsid w:val="00FF1DFE"/>
    <w:rsid w:val="00FF2DD6"/>
    <w:rsid w:val="00FF3827"/>
    <w:rsid w:val="00FF41D6"/>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iPriority w:val="99"/>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5admpayan@cendoj.ramajudicial.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610_200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2141F-FABE-45EF-82B2-58A1E146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165</TotalTime>
  <Pages>1</Pages>
  <Words>3099</Words>
  <Characters>17050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Valeria Ramirez Vargas</cp:lastModifiedBy>
  <cp:revision>28</cp:revision>
  <cp:lastPrinted>2024-07-24T20:50:00Z</cp:lastPrinted>
  <dcterms:created xsi:type="dcterms:W3CDTF">2024-07-22T22:22:00Z</dcterms:created>
  <dcterms:modified xsi:type="dcterms:W3CDTF">2024-07-24T21:42:00Z</dcterms:modified>
</cp:coreProperties>
</file>