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3A2A" w14:textId="77777777" w:rsidR="00B540A6" w:rsidRPr="00B540A6" w:rsidRDefault="00B540A6" w:rsidP="00B540A6">
      <w:pPr>
        <w:jc w:val="both"/>
        <w:rPr>
          <w:lang w:val="es-CO"/>
        </w:rPr>
      </w:pPr>
    </w:p>
    <w:p w14:paraId="4CF51D14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Cordial saludo, procedo a informar lo sucedido en audiencia realizada el día 21 de febrero de 2025, dentro del proceso que a continuación identifico:</w:t>
      </w:r>
    </w:p>
    <w:p w14:paraId="72696E77" w14:textId="77777777" w:rsidR="00B540A6" w:rsidRPr="00B540A6" w:rsidRDefault="00B540A6" w:rsidP="00B540A6">
      <w:pPr>
        <w:jc w:val="both"/>
        <w:rPr>
          <w:lang w:val="es-CO"/>
        </w:rPr>
      </w:pPr>
    </w:p>
    <w:p w14:paraId="51BFC224" w14:textId="77777777" w:rsidR="00B540A6" w:rsidRPr="00B540A6" w:rsidRDefault="00B540A6" w:rsidP="00B540A6">
      <w:pPr>
        <w:jc w:val="both"/>
        <w:rPr>
          <w:lang w:val="es-CO"/>
        </w:rPr>
      </w:pPr>
    </w:p>
    <w:p w14:paraId="4487C31C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Demandante:     ANA MARIA GOMEZ PADILLA.</w:t>
      </w:r>
    </w:p>
    <w:p w14:paraId="2754CF75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Demandado:      ADMINISTRADORA COLOMBIANA DE PENSIONES Y OTROS.</w:t>
      </w:r>
    </w:p>
    <w:p w14:paraId="7BA77D83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Llamado en G:   ALLIANZ SEGUROS DE VIDA S.A.</w:t>
      </w:r>
    </w:p>
    <w:p w14:paraId="63870BC4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Radicación:       76001310501420230033800.</w:t>
      </w:r>
    </w:p>
    <w:p w14:paraId="4EDB3DBC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CASE:                21712</w:t>
      </w:r>
    </w:p>
    <w:p w14:paraId="0F1F5258" w14:textId="77777777" w:rsidR="00B540A6" w:rsidRDefault="00B540A6" w:rsidP="00B540A6">
      <w:pPr>
        <w:jc w:val="both"/>
        <w:rPr>
          <w:b/>
          <w:bCs/>
          <w:lang w:val="es-CO"/>
        </w:rPr>
      </w:pPr>
    </w:p>
    <w:p w14:paraId="7956355A" w14:textId="77777777" w:rsidR="00B540A6" w:rsidRDefault="00B540A6" w:rsidP="00B540A6">
      <w:pPr>
        <w:jc w:val="both"/>
        <w:rPr>
          <w:b/>
          <w:bCs/>
          <w:lang w:val="es-CO"/>
        </w:rPr>
      </w:pPr>
    </w:p>
    <w:p w14:paraId="6781609B" w14:textId="3925C729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>SE</w:t>
      </w:r>
      <w:r w:rsidRPr="00B540A6">
        <w:rPr>
          <w:lang w:val="es-CO"/>
        </w:rPr>
        <w:t xml:space="preserve"> RECONOCE PERSONERÍA A LOS ABOGADOS</w:t>
      </w:r>
      <w:r w:rsidRPr="00B540A6">
        <w:rPr>
          <w:lang w:val="es-CO"/>
        </w:rPr>
        <w:t xml:space="preserve"> SUSTITUTOS.</w:t>
      </w:r>
    </w:p>
    <w:p w14:paraId="05D4F8AD" w14:textId="77777777" w:rsidR="00B540A6" w:rsidRPr="00B540A6" w:rsidRDefault="00B540A6" w:rsidP="00B540A6">
      <w:pPr>
        <w:jc w:val="both"/>
        <w:rPr>
          <w:lang w:val="es-CO"/>
        </w:rPr>
      </w:pPr>
    </w:p>
    <w:p w14:paraId="56B3B89F" w14:textId="454B55BB" w:rsidR="00B540A6" w:rsidRDefault="00B540A6" w:rsidP="00B540A6">
      <w:pPr>
        <w:jc w:val="both"/>
        <w:rPr>
          <w:lang w:val="es-CO"/>
        </w:rPr>
      </w:pPr>
      <w:r>
        <w:t>S</w:t>
      </w:r>
      <w:r w:rsidRPr="00B540A6">
        <w:t>e concede el uso de la palabra a</w:t>
      </w:r>
      <w:r>
        <w:t xml:space="preserve"> C</w:t>
      </w:r>
      <w:r w:rsidRPr="00B540A6">
        <w:t>olpensiones</w:t>
      </w:r>
      <w:r>
        <w:rPr>
          <w:lang w:val="es-CO"/>
        </w:rPr>
        <w:t xml:space="preserve">, quien solicita que se realice aplazamiento de la diligencia dado que la demandante ya fue trasladada de régimen, ante dicha solicitud el despacho indica no aceptar </w:t>
      </w:r>
      <w:r w:rsidRPr="00B540A6">
        <w:rPr>
          <w:lang w:val="es-CO"/>
        </w:rPr>
        <w:t xml:space="preserve">el aplazamiento de las audiencias solicitado por Colpensiones ya que no se trata de casos de fuerza mayor o caso fortuito, </w:t>
      </w:r>
      <w:r>
        <w:rPr>
          <w:lang w:val="es-CO"/>
        </w:rPr>
        <w:t>de igual manera, la demandante indica</w:t>
      </w:r>
      <w:r w:rsidRPr="00B540A6">
        <w:rPr>
          <w:lang w:val="es-CO"/>
        </w:rPr>
        <w:t xml:space="preserve"> no acepta</w:t>
      </w:r>
      <w:r>
        <w:rPr>
          <w:lang w:val="es-CO"/>
        </w:rPr>
        <w:t>r</w:t>
      </w:r>
      <w:r w:rsidRPr="00B540A6">
        <w:rPr>
          <w:lang w:val="es-CO"/>
        </w:rPr>
        <w:t xml:space="preserve"> la solicitud </w:t>
      </w:r>
      <w:r>
        <w:rPr>
          <w:lang w:val="es-CO"/>
        </w:rPr>
        <w:t xml:space="preserve">ya </w:t>
      </w:r>
      <w:r w:rsidRPr="00B540A6">
        <w:rPr>
          <w:lang w:val="es-CO"/>
        </w:rPr>
        <w:t xml:space="preserve">que no se ha efectuado el traslado de los dineros de </w:t>
      </w:r>
      <w:r>
        <w:rPr>
          <w:lang w:val="es-CO"/>
        </w:rPr>
        <w:t>su cuenta de ahorro individual.</w:t>
      </w:r>
    </w:p>
    <w:p w14:paraId="78DF364D" w14:textId="77777777" w:rsidR="00B540A6" w:rsidRDefault="00B540A6" w:rsidP="00B540A6">
      <w:pPr>
        <w:jc w:val="both"/>
        <w:rPr>
          <w:lang w:val="es-CO"/>
        </w:rPr>
      </w:pPr>
    </w:p>
    <w:p w14:paraId="74CEA345" w14:textId="77777777" w:rsidR="00B540A6" w:rsidRPr="00B540A6" w:rsidRDefault="00B540A6" w:rsidP="00B540A6">
      <w:pPr>
        <w:jc w:val="both"/>
        <w:rPr>
          <w:lang w:val="es-CO"/>
        </w:rPr>
      </w:pPr>
    </w:p>
    <w:p w14:paraId="76A1ADE0" w14:textId="0EC8E9B3" w:rsidR="00B540A6" w:rsidRPr="00B540A6" w:rsidRDefault="00B540A6" w:rsidP="00B540A6">
      <w:pPr>
        <w:jc w:val="both"/>
        <w:rPr>
          <w:lang w:val="es-CO"/>
        </w:rPr>
      </w:pPr>
      <w:r w:rsidRPr="00B540A6">
        <w:rPr>
          <w:b/>
          <w:bCs/>
          <w:lang w:val="es-CO"/>
        </w:rPr>
        <w:t xml:space="preserve">CONCILIACIÓN. </w:t>
      </w:r>
      <w:r w:rsidRPr="00B540A6">
        <w:rPr>
          <w:lang w:val="es-CO"/>
        </w:rPr>
        <w:t xml:space="preserve">Se declara fracasada la </w:t>
      </w:r>
      <w:r>
        <w:rPr>
          <w:lang w:val="es-CO"/>
        </w:rPr>
        <w:t>etapa</w:t>
      </w:r>
      <w:r w:rsidRPr="00B540A6">
        <w:rPr>
          <w:lang w:val="es-CO"/>
        </w:rPr>
        <w:t xml:space="preserve"> de conciliación</w:t>
      </w:r>
      <w:r>
        <w:rPr>
          <w:lang w:val="es-CO"/>
        </w:rPr>
        <w:t>.</w:t>
      </w:r>
    </w:p>
    <w:p w14:paraId="33987059" w14:textId="77777777" w:rsidR="00B540A6" w:rsidRPr="00B540A6" w:rsidRDefault="00B540A6" w:rsidP="00B540A6">
      <w:pPr>
        <w:jc w:val="both"/>
        <w:rPr>
          <w:lang w:val="es-CO"/>
        </w:rPr>
      </w:pPr>
    </w:p>
    <w:p w14:paraId="7A1AD77A" w14:textId="02BFED1F" w:rsidR="00B540A6" w:rsidRPr="00B540A6" w:rsidRDefault="00B540A6" w:rsidP="00B540A6">
      <w:pPr>
        <w:jc w:val="both"/>
        <w:rPr>
          <w:lang w:val="es-CO"/>
        </w:rPr>
      </w:pPr>
      <w:r w:rsidRPr="00B540A6">
        <w:rPr>
          <w:b/>
          <w:bCs/>
          <w:lang w:val="es-CO"/>
        </w:rPr>
        <w:t xml:space="preserve">DECISIÓN DE EXCEPCIONES PREVIAS. </w:t>
      </w:r>
      <w:r w:rsidRPr="00B540A6">
        <w:rPr>
          <w:lang w:val="es-CO"/>
        </w:rPr>
        <w:t xml:space="preserve">Las demandadas no propusieron excepciones previas, </w:t>
      </w:r>
      <w:r>
        <w:rPr>
          <w:lang w:val="es-CO"/>
        </w:rPr>
        <w:t>por lo que</w:t>
      </w:r>
      <w:r w:rsidRPr="00B540A6">
        <w:rPr>
          <w:lang w:val="es-CO"/>
        </w:rPr>
        <w:t xml:space="preserve"> se entiende evacuada esta etapa procesal. </w:t>
      </w:r>
    </w:p>
    <w:p w14:paraId="72C958A8" w14:textId="77777777" w:rsidR="00B540A6" w:rsidRPr="00B540A6" w:rsidRDefault="00B540A6" w:rsidP="00B540A6">
      <w:pPr>
        <w:jc w:val="both"/>
        <w:rPr>
          <w:lang w:val="es-CO"/>
        </w:rPr>
      </w:pPr>
    </w:p>
    <w:p w14:paraId="315B1041" w14:textId="7BD03855" w:rsidR="00B540A6" w:rsidRPr="00B540A6" w:rsidRDefault="00B540A6" w:rsidP="00B540A6">
      <w:pPr>
        <w:jc w:val="both"/>
        <w:rPr>
          <w:lang w:val="es-CO"/>
        </w:rPr>
      </w:pPr>
      <w:r w:rsidRPr="00B540A6">
        <w:rPr>
          <w:b/>
          <w:bCs/>
          <w:lang w:val="es-CO"/>
        </w:rPr>
        <w:t xml:space="preserve">SANEAMIENTO. </w:t>
      </w:r>
      <w:r>
        <w:rPr>
          <w:lang w:val="es-CO"/>
        </w:rPr>
        <w:t xml:space="preserve">No se avizora ninguna causal </w:t>
      </w:r>
      <w:r w:rsidRPr="00B540A6">
        <w:rPr>
          <w:lang w:val="es-CO"/>
        </w:rPr>
        <w:t xml:space="preserve">de nulidad que invaliden lo actuado. </w:t>
      </w:r>
    </w:p>
    <w:p w14:paraId="0D8B64C2" w14:textId="77777777" w:rsidR="00B540A6" w:rsidRPr="00B540A6" w:rsidRDefault="00B540A6" w:rsidP="00B540A6">
      <w:pPr>
        <w:jc w:val="both"/>
        <w:rPr>
          <w:lang w:val="es-CO"/>
        </w:rPr>
      </w:pPr>
    </w:p>
    <w:p w14:paraId="37A52378" w14:textId="23687212" w:rsidR="00B540A6" w:rsidRPr="00B540A6" w:rsidRDefault="00B540A6" w:rsidP="00B540A6">
      <w:pPr>
        <w:jc w:val="both"/>
        <w:rPr>
          <w:lang w:val="es-CO"/>
        </w:rPr>
      </w:pPr>
      <w:r w:rsidRPr="00B540A6">
        <w:rPr>
          <w:b/>
          <w:bCs/>
          <w:lang w:val="es-CO"/>
        </w:rPr>
        <w:t xml:space="preserve">FIJACIÓN DEL LITIGIO. </w:t>
      </w:r>
      <w:r>
        <w:rPr>
          <w:lang w:val="es-CO"/>
        </w:rPr>
        <w:t xml:space="preserve">Se estudiará </w:t>
      </w:r>
      <w:r w:rsidRPr="00B540A6">
        <w:rPr>
          <w:lang w:val="es-CO"/>
        </w:rPr>
        <w:t>si hay mérito para declarar la nulidad del traslado de régimen de prima media con prestación definida de los mismos al régimen de ahorro individual</w:t>
      </w:r>
      <w:r>
        <w:rPr>
          <w:lang w:val="es-CO"/>
        </w:rPr>
        <w:t xml:space="preserve"> y </w:t>
      </w:r>
      <w:r w:rsidRPr="00B540A6">
        <w:rPr>
          <w:lang w:val="es-CO"/>
        </w:rPr>
        <w:t>en consecuencia</w:t>
      </w:r>
      <w:r>
        <w:rPr>
          <w:lang w:val="es-CO"/>
        </w:rPr>
        <w:t xml:space="preserve"> si deben </w:t>
      </w:r>
      <w:r w:rsidRPr="00B540A6">
        <w:rPr>
          <w:lang w:val="es-CO"/>
        </w:rPr>
        <w:t xml:space="preserve">ser admitidos nuevamente en el régimen de prima media con prestación definida administrada por Colpensiones. </w:t>
      </w:r>
      <w:r>
        <w:rPr>
          <w:lang w:val="es-CO"/>
        </w:rPr>
        <w:t>Así mismo,</w:t>
      </w:r>
      <w:r w:rsidRPr="00B540A6">
        <w:rPr>
          <w:lang w:val="es-CO"/>
        </w:rPr>
        <w:t xml:space="preserve"> definir sobre los llamamientos en garantía</w:t>
      </w:r>
      <w:r>
        <w:rPr>
          <w:lang w:val="es-CO"/>
        </w:rPr>
        <w:t xml:space="preserve"> y de ser el caso, la prosperidad de las excepciones propuestas por las llamadas en garantía.</w:t>
      </w:r>
    </w:p>
    <w:p w14:paraId="554E86E3" w14:textId="77777777" w:rsidR="00B540A6" w:rsidRPr="00B540A6" w:rsidRDefault="00B540A6" w:rsidP="00B540A6">
      <w:pPr>
        <w:jc w:val="both"/>
        <w:rPr>
          <w:lang w:val="es-CO"/>
        </w:rPr>
      </w:pPr>
    </w:p>
    <w:p w14:paraId="40999991" w14:textId="6A660B7C" w:rsidR="00B540A6" w:rsidRPr="00B540A6" w:rsidRDefault="00B540A6" w:rsidP="00B540A6">
      <w:pPr>
        <w:jc w:val="both"/>
        <w:rPr>
          <w:lang w:val="es-CO"/>
        </w:rPr>
      </w:pPr>
      <w:r w:rsidRPr="00B540A6">
        <w:rPr>
          <w:b/>
          <w:bCs/>
          <w:lang w:val="es-CO"/>
        </w:rPr>
        <w:t xml:space="preserve">DECRETO DE PRUEBAS. </w:t>
      </w:r>
    </w:p>
    <w:p w14:paraId="5FA5271E" w14:textId="77777777" w:rsidR="00B540A6" w:rsidRPr="00B540A6" w:rsidRDefault="00B540A6" w:rsidP="00B540A6">
      <w:pPr>
        <w:jc w:val="both"/>
        <w:rPr>
          <w:lang w:val="es-CO"/>
        </w:rPr>
      </w:pPr>
    </w:p>
    <w:p w14:paraId="5DDA82C3" w14:textId="77777777" w:rsidR="00B540A6" w:rsidRPr="00B540A6" w:rsidRDefault="00B540A6" w:rsidP="00B540A6">
      <w:pPr>
        <w:jc w:val="both"/>
        <w:rPr>
          <w:lang w:val="es-CO"/>
        </w:rPr>
      </w:pPr>
      <w:r w:rsidRPr="00B540A6">
        <w:rPr>
          <w:lang w:val="es-CO"/>
        </w:rPr>
        <w:t xml:space="preserve">Por tratarse de una providencia en conjunto se decretan las pruebas así: </w:t>
      </w:r>
    </w:p>
    <w:p w14:paraId="7398006A" w14:textId="77777777" w:rsidR="00B540A6" w:rsidRPr="00B540A6" w:rsidRDefault="00B540A6" w:rsidP="00B540A6">
      <w:pPr>
        <w:jc w:val="both"/>
        <w:rPr>
          <w:lang w:val="es-CO"/>
        </w:rPr>
      </w:pPr>
    </w:p>
    <w:p w14:paraId="39B80436" w14:textId="670B3B65" w:rsidR="00B540A6" w:rsidRPr="00B540A6" w:rsidRDefault="00C52D13" w:rsidP="00B540A6">
      <w:pPr>
        <w:jc w:val="both"/>
        <w:rPr>
          <w:lang w:val="es-CO"/>
        </w:rPr>
      </w:pPr>
      <w:r>
        <w:rPr>
          <w:b/>
          <w:bCs/>
          <w:lang w:val="es-CO"/>
        </w:rPr>
        <w:t>-</w:t>
      </w:r>
      <w:r w:rsidRPr="00C52D13">
        <w:rPr>
          <w:lang w:val="es-CO"/>
        </w:rPr>
        <w:t>Las documentales aportadas con la contestación a la demanda y al llamamiento en garantía.</w:t>
      </w:r>
    </w:p>
    <w:p w14:paraId="57F0BA14" w14:textId="5ABE52A0" w:rsidR="00C52D13" w:rsidRDefault="00C52D13" w:rsidP="00B540A6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-</w:t>
      </w:r>
      <w:r w:rsidRPr="00C52D13">
        <w:rPr>
          <w:lang w:val="es-CO"/>
        </w:rPr>
        <w:t>Interrogatorio de parte a la demandante.</w:t>
      </w:r>
    </w:p>
    <w:p w14:paraId="58173D0E" w14:textId="77777777" w:rsidR="00C52D13" w:rsidRDefault="00C52D13" w:rsidP="00B540A6">
      <w:pPr>
        <w:jc w:val="both"/>
        <w:rPr>
          <w:b/>
          <w:bCs/>
          <w:lang w:val="es-CO"/>
        </w:rPr>
      </w:pPr>
    </w:p>
    <w:p w14:paraId="779DA094" w14:textId="77777777" w:rsidR="00AA3375" w:rsidRDefault="00AA3375" w:rsidP="00B540A6">
      <w:pPr>
        <w:jc w:val="both"/>
        <w:rPr>
          <w:lang w:val="es-CO"/>
        </w:rPr>
      </w:pPr>
    </w:p>
    <w:p w14:paraId="1AC20358" w14:textId="0402090D" w:rsidR="00B540A6" w:rsidRPr="00B540A6" w:rsidRDefault="000503D8" w:rsidP="00B540A6">
      <w:pPr>
        <w:jc w:val="both"/>
        <w:rPr>
          <w:lang w:val="es-CO"/>
        </w:rPr>
      </w:pPr>
      <w:r>
        <w:rPr>
          <w:lang w:val="es-CO"/>
        </w:rPr>
        <w:t xml:space="preserve">Se procede con los alegatos de conclusión, dado que el juez concede </w:t>
      </w:r>
      <w:r w:rsidR="00AA3375">
        <w:rPr>
          <w:lang w:val="es-CO"/>
        </w:rPr>
        <w:t>un límite</w:t>
      </w:r>
      <w:r>
        <w:rPr>
          <w:lang w:val="es-CO"/>
        </w:rPr>
        <w:t xml:space="preserve"> de 5 minutos para realizar las alegaciones, las partes se ratifican en sus contestaciones a la demanda y en cada una de las excepciones propuestas.</w:t>
      </w:r>
    </w:p>
    <w:p w14:paraId="27E34B1C" w14:textId="77777777" w:rsidR="000503D8" w:rsidRDefault="000503D8" w:rsidP="00B540A6">
      <w:pPr>
        <w:jc w:val="both"/>
        <w:rPr>
          <w:b/>
          <w:bCs/>
          <w:lang w:val="es-CO"/>
        </w:rPr>
      </w:pPr>
    </w:p>
    <w:p w14:paraId="07B13F41" w14:textId="77777777" w:rsidR="000503D8" w:rsidRDefault="000503D8" w:rsidP="00B540A6">
      <w:pPr>
        <w:jc w:val="both"/>
        <w:rPr>
          <w:b/>
          <w:bCs/>
          <w:lang w:val="es-CO"/>
        </w:rPr>
      </w:pPr>
    </w:p>
    <w:p w14:paraId="52A8339C" w14:textId="20828885" w:rsidR="00D3565E" w:rsidRPr="00AA3375" w:rsidRDefault="00B540A6" w:rsidP="00B540A6">
      <w:pPr>
        <w:jc w:val="both"/>
        <w:rPr>
          <w:u w:val="single"/>
          <w:lang w:val="es-CO"/>
        </w:rPr>
      </w:pPr>
      <w:r w:rsidRPr="00AA3375">
        <w:rPr>
          <w:u w:val="single"/>
          <w:lang w:val="es-CO"/>
        </w:rPr>
        <w:t xml:space="preserve">Se fija para el día </w:t>
      </w:r>
      <w:r w:rsidRPr="00AA3375">
        <w:rPr>
          <w:b/>
          <w:bCs/>
          <w:u w:val="single"/>
          <w:lang w:val="es-CO"/>
        </w:rPr>
        <w:t xml:space="preserve">28 de marzo de 2025 a las diez y quince minutos de la mañana (10:15 am) </w:t>
      </w:r>
      <w:r w:rsidRPr="00AA3375">
        <w:rPr>
          <w:u w:val="single"/>
          <w:lang w:val="es-CO"/>
        </w:rPr>
        <w:t xml:space="preserve">para llevar a cabo la audiencia prevista en el artículo 80 del </w:t>
      </w:r>
      <w:r w:rsidR="00C07D0B">
        <w:rPr>
          <w:u w:val="single"/>
          <w:lang w:val="es-CO"/>
        </w:rPr>
        <w:t xml:space="preserve">C.P.T </w:t>
      </w:r>
      <w:r w:rsidRPr="00AA3375">
        <w:rPr>
          <w:u w:val="single"/>
          <w:lang w:val="es-CO"/>
        </w:rPr>
        <w:t xml:space="preserve">y </w:t>
      </w:r>
      <w:r w:rsidR="00C07D0B">
        <w:rPr>
          <w:u w:val="single"/>
          <w:lang w:val="es-CO"/>
        </w:rPr>
        <w:t>S.S.,</w:t>
      </w:r>
      <w:r w:rsidRPr="00AA3375">
        <w:rPr>
          <w:u w:val="single"/>
          <w:lang w:val="es-CO"/>
        </w:rPr>
        <w:t xml:space="preserve"> a fin de emitir las respectivas sentencias.</w:t>
      </w:r>
    </w:p>
    <w:sectPr w:rsidR="00D3565E" w:rsidRPr="00AA3375" w:rsidSect="00D46464">
      <w:headerReference w:type="default" r:id="rId7"/>
      <w:footerReference w:type="default" r:id="rId8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57A7" w14:textId="77777777" w:rsidR="001E5F6C" w:rsidRDefault="001E5F6C" w:rsidP="00D46464">
      <w:r>
        <w:separator/>
      </w:r>
    </w:p>
  </w:endnote>
  <w:endnote w:type="continuationSeparator" w:id="0">
    <w:p w14:paraId="06BA6388" w14:textId="77777777" w:rsidR="001E5F6C" w:rsidRDefault="001E5F6C" w:rsidP="00D4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58ED" w14:textId="77777777" w:rsidR="00D02B75" w:rsidRDefault="00000000" w:rsidP="004A356B">
    <w:pPr>
      <w:rPr>
        <w:color w:val="071320" w:themeColor="text2" w:themeShade="80"/>
      </w:rPr>
    </w:pPr>
    <w:r>
      <w:rPr>
        <w:noProof/>
        <w:color w:val="071320" w:themeColor="text2" w:themeShade="80"/>
      </w:rPr>
      <w:drawing>
        <wp:anchor distT="0" distB="0" distL="114300" distR="114300" simplePos="0" relativeHeight="251661312" behindDoc="1" locked="0" layoutInCell="1" allowOverlap="1" wp14:anchorId="419C5BF3" wp14:editId="2680543E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2C95A2" wp14:editId="5D7529C9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6A74D" w14:textId="77777777" w:rsidR="00D02B75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Cali -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Av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6A Bis #35N-100,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44ED1ABA" w14:textId="77777777" w:rsidR="00D02B75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C95A2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" filled="f" stroked="f" strokeweight="1pt">
              <v:textbox>
                <w:txbxContent>
                  <w:p w14:paraId="6B26A74D" w14:textId="77777777" w:rsidR="00D02B75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Cali -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Av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6A Bis #35N-100,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44ED1ABA" w14:textId="77777777" w:rsidR="00D02B75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71320" w:themeColor="text2" w:themeShade="80"/>
      </w:rPr>
      <w:drawing>
        <wp:anchor distT="0" distB="0" distL="114300" distR="114300" simplePos="0" relativeHeight="251659264" behindDoc="1" locked="0" layoutInCell="1" allowOverlap="1" wp14:anchorId="72D0FE3A" wp14:editId="56B5DAB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A7B8C" w14:textId="77777777" w:rsidR="00D02B75" w:rsidRDefault="00D02B75" w:rsidP="00416F84">
    <w:pPr>
      <w:ind w:left="7080" w:firstLine="708"/>
      <w:rPr>
        <w:color w:val="071320" w:themeColor="text2" w:themeShade="80"/>
      </w:rPr>
    </w:pPr>
  </w:p>
  <w:p w14:paraId="59C2A903" w14:textId="77777777" w:rsidR="00D02B75" w:rsidRDefault="00000000" w:rsidP="00416F84">
    <w:pPr>
      <w:ind w:left="7080" w:firstLine="708"/>
      <w:rPr>
        <w:color w:val="071320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94DB87" wp14:editId="7EB6883B">
              <wp:simplePos x="0" y="0"/>
              <wp:positionH relativeFrom="page">
                <wp:posOffset>199390</wp:posOffset>
              </wp:positionH>
              <wp:positionV relativeFrom="bottomMargin">
                <wp:posOffset>1003138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D6428C" w14:textId="1A102B57" w:rsidR="00D02B75" w:rsidRPr="004A356B" w:rsidRDefault="00D4646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CO"/>
                            </w:rPr>
                            <w:t>PANL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4DB87" id="Rectángulo 5" o:spid="_x0000_s1027" style="position:absolute;left:0;text-align:left;margin-left:15.7pt;margin-top:79pt;width:65.8pt;height: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" filled="f" stroked="f" strokeweight="1pt">
              <v:textbox>
                <w:txbxContent>
                  <w:p w14:paraId="12D6428C" w14:textId="1A102B57" w:rsidR="00D02B75" w:rsidRPr="004A356B" w:rsidRDefault="00D46464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CO"/>
                      </w:rPr>
                      <w:t>PANL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BDABB5F" w14:textId="77777777" w:rsidR="00D02B75" w:rsidRDefault="00D02B75" w:rsidP="004A356B">
    <w:pPr>
      <w:rPr>
        <w:color w:val="071320" w:themeColor="text2" w:themeShade="80"/>
      </w:rPr>
    </w:pPr>
  </w:p>
  <w:p w14:paraId="3152F8D7" w14:textId="77777777" w:rsidR="00D02B75" w:rsidRPr="00194DAC" w:rsidRDefault="00000000" w:rsidP="00E23DED">
    <w:pPr>
      <w:rPr>
        <w:rFonts w:ascii="Raleway" w:hAnsi="Raleway"/>
        <w:b/>
        <w:bCs/>
        <w:color w:val="071320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 Página 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instrText>PAGE   \* MERGEFORMAT</w:instrTex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end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 xml:space="preserve"> | 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instrText>NUMPAGES  \* Arabic  \* MERGEFORMAT</w:instrTex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071320" w:themeColor="text2" w:themeShade="80"/>
        <w:sz w:val="16"/>
        <w:szCs w:val="16"/>
      </w:rPr>
      <w:fldChar w:fldCharType="end"/>
    </w:r>
  </w:p>
  <w:p w14:paraId="572114F7" w14:textId="77777777" w:rsidR="00D02B75" w:rsidRDefault="00D02B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CABF" w14:textId="77777777" w:rsidR="001E5F6C" w:rsidRDefault="001E5F6C" w:rsidP="00D46464">
      <w:r>
        <w:separator/>
      </w:r>
    </w:p>
  </w:footnote>
  <w:footnote w:type="continuationSeparator" w:id="0">
    <w:p w14:paraId="294F5866" w14:textId="77777777" w:rsidR="001E5F6C" w:rsidRDefault="001E5F6C" w:rsidP="00D4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7A96" w14:textId="77777777" w:rsidR="00D02B75" w:rsidRDefault="00000000">
    <w:pPr>
      <w:pStyle w:val="Encabezado"/>
    </w:pPr>
    <w:r>
      <w:rPr>
        <w:noProof/>
        <w:color w:val="071320" w:themeColor="text2" w:themeShade="80"/>
      </w:rPr>
      <w:drawing>
        <wp:anchor distT="0" distB="0" distL="114300" distR="114300" simplePos="0" relativeHeight="251660288" behindDoc="1" locked="0" layoutInCell="1" allowOverlap="1" wp14:anchorId="2360547F" wp14:editId="4196648D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93091"/>
    <w:multiLevelType w:val="hybridMultilevel"/>
    <w:tmpl w:val="D806E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64"/>
    <w:rsid w:val="000503D8"/>
    <w:rsid w:val="001E5F6C"/>
    <w:rsid w:val="002841E9"/>
    <w:rsid w:val="002E4D2E"/>
    <w:rsid w:val="003A3004"/>
    <w:rsid w:val="004D00DA"/>
    <w:rsid w:val="00610C62"/>
    <w:rsid w:val="0061258D"/>
    <w:rsid w:val="00624989"/>
    <w:rsid w:val="006944EB"/>
    <w:rsid w:val="0069555D"/>
    <w:rsid w:val="008A0025"/>
    <w:rsid w:val="008C5765"/>
    <w:rsid w:val="00994C14"/>
    <w:rsid w:val="00A855D5"/>
    <w:rsid w:val="00AA3375"/>
    <w:rsid w:val="00AC493B"/>
    <w:rsid w:val="00AD5819"/>
    <w:rsid w:val="00B540A6"/>
    <w:rsid w:val="00BF744A"/>
    <w:rsid w:val="00C07D0B"/>
    <w:rsid w:val="00C52D13"/>
    <w:rsid w:val="00CE7CD1"/>
    <w:rsid w:val="00D02B75"/>
    <w:rsid w:val="00D02C58"/>
    <w:rsid w:val="00D3565E"/>
    <w:rsid w:val="00D46464"/>
    <w:rsid w:val="00D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5877B"/>
  <w15:chartTrackingRefBased/>
  <w15:docId w15:val="{1D9154AE-378C-444A-BE93-B5589C2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4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4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464"/>
    <w:rPr>
      <w:i/>
      <w:iCs/>
      <w:color w:val="404040" w:themeColor="text1" w:themeTint="BF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qFormat/>
    <w:rsid w:val="00D46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4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4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4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464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64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64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64"/>
    <w:rPr>
      <w:rFonts w:ascii="Arial MT" w:eastAsia="Arial MT" w:hAnsi="Arial MT" w:cs="Arial MT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46464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D464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locked/>
    <w:rsid w:val="00D4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8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26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Narváez Loaiza</dc:creator>
  <cp:keywords/>
  <dc:description/>
  <cp:lastModifiedBy>Paola Andrea Narvaez Loaiza</cp:lastModifiedBy>
  <cp:revision>2</cp:revision>
  <cp:lastPrinted>2024-12-10T18:38:00Z</cp:lastPrinted>
  <dcterms:created xsi:type="dcterms:W3CDTF">2025-03-11T22:28:00Z</dcterms:created>
  <dcterms:modified xsi:type="dcterms:W3CDTF">2025-03-11T22:28:00Z</dcterms:modified>
</cp:coreProperties>
</file>