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E45B" w14:textId="77777777" w:rsidR="00A16AA4" w:rsidRDefault="00EE1DD2" w:rsidP="00A16AA4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</w:pPr>
      <w:r w:rsidRPr="00EE1DD2">
        <w:rPr>
          <w:noProof/>
        </w:rPr>
        <w:drawing>
          <wp:inline distT="0" distB="0" distL="0" distR="0" wp14:anchorId="75D416E5" wp14:editId="2073C244">
            <wp:extent cx="5612130" cy="1726565"/>
            <wp:effectExtent l="0" t="0" r="7620" b="6985"/>
            <wp:docPr id="20262287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AA4"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  <w:t>Verbal de Responsabilidad de Extracontractual No. 2023-00540</w:t>
      </w:r>
    </w:p>
    <w:p w14:paraId="42AE7188" w14:textId="77777777" w:rsidR="00A16AA4" w:rsidRDefault="00A16AA4" w:rsidP="00A16A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4BEB5970" w14:textId="17F59053" w:rsidR="00A16AA4" w:rsidRDefault="00A16AA4" w:rsidP="00A16AA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Bogotá D C., doce (12) de febrero de dos mil veinticuatro (2024</w:t>
      </w:r>
      <w:proofErr w:type="gramStart"/>
      <w:r>
        <w:rPr>
          <w:rFonts w:ascii="Times-Roman" w:hAnsi="Times-Roman" w:cs="Times-Roman"/>
          <w:kern w:val="0"/>
          <w:sz w:val="24"/>
          <w:szCs w:val="24"/>
          <w:lang w:val="es-CO"/>
        </w:rPr>
        <w:t>).-</w:t>
      </w:r>
      <w:proofErr w:type="gramEnd"/>
    </w:p>
    <w:p w14:paraId="56969E58" w14:textId="77777777" w:rsidR="00A16AA4" w:rsidRDefault="00A16AA4" w:rsidP="00A16AA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644EEDCE" w14:textId="77777777" w:rsidR="00A16AA4" w:rsidRDefault="00A16AA4" w:rsidP="00A16AA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1ED30A7C" w14:textId="6B458011" w:rsidR="00A16AA4" w:rsidRDefault="00A16AA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ANTECEDENTES:</w:t>
      </w:r>
    </w:p>
    <w:p w14:paraId="4A1AA822" w14:textId="77777777" w:rsidR="006D7634" w:rsidRDefault="006D763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214606FF" w14:textId="77777777" w:rsidR="00A16AA4" w:rsidRDefault="00A16AA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Ingresó el expediente el Despacho con informe secretarial de fecha 19 de enero de 2024</w:t>
      </w:r>
    </w:p>
    <w:p w14:paraId="16873736" w14:textId="77777777" w:rsidR="00A16AA4" w:rsidRDefault="00A16AA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indicando, que se recibió subsanación de demanda en </w:t>
      </w:r>
      <w:proofErr w:type="gramStart"/>
      <w:r>
        <w:rPr>
          <w:rFonts w:ascii="Times-Roman" w:hAnsi="Times-Roman" w:cs="Times-Roman"/>
          <w:kern w:val="0"/>
          <w:sz w:val="24"/>
          <w:szCs w:val="24"/>
          <w:lang w:val="es-CO"/>
        </w:rPr>
        <w:t>tiempo.-</w:t>
      </w:r>
      <w:proofErr w:type="gramEnd"/>
    </w:p>
    <w:p w14:paraId="4D925175" w14:textId="77777777" w:rsidR="006D7634" w:rsidRDefault="006D763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5C5DCC89" w14:textId="7BB0ED73" w:rsidR="00A16AA4" w:rsidRDefault="00A16AA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CONSIDERACIONES:</w:t>
      </w:r>
    </w:p>
    <w:p w14:paraId="55CE2416" w14:textId="77777777" w:rsidR="006D7634" w:rsidRDefault="006D763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0C9F0A07" w14:textId="0809DAFF" w:rsidR="00A16AA4" w:rsidRDefault="00A16AA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Teniendo en cuenta que la demanda reúne los requisitos de los artículos 82 y s.s., en</w:t>
      </w:r>
      <w:r w:rsidR="006D7634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concordancia con los preceptos del artículo 368 del Código General del Proceso, </w:t>
      </w:r>
      <w:proofErr w:type="gramStart"/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se </w:t>
      </w:r>
      <w:r w:rsidR="006D7634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a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dmitirá</w:t>
      </w:r>
      <w:proofErr w:type="gramEnd"/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 la</w:t>
      </w:r>
      <w:r w:rsidR="006D7634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demanda Verbal de Responsabilidad Civil Extracontractual de Mayor Cuantía, en los términos</w:t>
      </w:r>
      <w:r w:rsidR="006D7634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solicitados en el </w:t>
      </w:r>
      <w:r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 xml:space="preserve">petitum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de la demanda</w:t>
      </w:r>
      <w:r>
        <w:rPr>
          <w:rFonts w:ascii="Times-Roman" w:hAnsi="Times-Roman" w:cs="Times-Roman"/>
          <w:kern w:val="0"/>
          <w:sz w:val="16"/>
          <w:szCs w:val="16"/>
          <w:lang w:val="es-CO"/>
        </w:rPr>
        <w:t>.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-</w:t>
      </w:r>
    </w:p>
    <w:p w14:paraId="42552DBD" w14:textId="77777777" w:rsidR="006D7634" w:rsidRDefault="006D763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4C50732D" w14:textId="604B42F9" w:rsidR="00A16AA4" w:rsidRDefault="00A16AA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Por lo expuesto, se</w:t>
      </w:r>
    </w:p>
    <w:p w14:paraId="1DD646C6" w14:textId="77777777" w:rsidR="006D7634" w:rsidRDefault="006D763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455F6DDF" w14:textId="58C878FC" w:rsidR="00A16AA4" w:rsidRDefault="00A16AA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RESUELVE:</w:t>
      </w:r>
    </w:p>
    <w:p w14:paraId="1C1B853E" w14:textId="77777777" w:rsidR="006D7634" w:rsidRDefault="006D763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48A19C73" w14:textId="5BDFC90A" w:rsidR="00A16AA4" w:rsidRDefault="00A16AA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PRIMERO: ADMÍTIR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la presente demanda Verbal de Responsabilidad Civil</w:t>
      </w:r>
      <w:r w:rsidR="006D7634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Extracontractual instaurada por los Señores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JESSICA MILENA LARA ALMANZA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, en calidad</w:t>
      </w:r>
      <w:r w:rsidR="006D7634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de afectada,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GLORIA MERCEDES ALMANZA RODRIGUEZ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y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SALOMON LARA</w:t>
      </w:r>
      <w:r w:rsidR="006D7634"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PADILLA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, en calidad de padres de la afectada,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DANIELA KATERIN LARA ALMANZA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, en</w:t>
      </w:r>
      <w:r w:rsidR="006D7634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calidad de hermana de la afectada,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JENNY STEFANY LARA ALMANZA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, actuando en calidad</w:t>
      </w:r>
      <w:r w:rsidR="006D7634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de hermana de la afectada y en representación de sus menores hijas menores de edad: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M.A.L.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y</w:t>
      </w:r>
      <w:r w:rsidR="006D7634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M.J.P.L.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quienes son sobrinas de la afectada, en contra de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MANUEL JOSE SALAMANCA</w:t>
      </w:r>
      <w:r w:rsidR="006D7634"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CORONADO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y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ALLIANZ SEGUROS S.A.,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en los términos solicitados en el </w:t>
      </w:r>
      <w:r>
        <w:rPr>
          <w:rFonts w:ascii="Times-Italic" w:hAnsi="Times-Italic" w:cs="Times-Italic"/>
          <w:i/>
          <w:iCs/>
          <w:kern w:val="0"/>
          <w:sz w:val="24"/>
          <w:szCs w:val="24"/>
          <w:lang w:val="es-CO"/>
        </w:rPr>
        <w:t xml:space="preserve">petitum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de la</w:t>
      </w:r>
      <w:r w:rsidR="006D7634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demanda.-</w:t>
      </w:r>
    </w:p>
    <w:p w14:paraId="5353E721" w14:textId="77777777" w:rsidR="006D7634" w:rsidRDefault="006D763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25C14D46" w14:textId="631AC8D1" w:rsidR="00A16AA4" w:rsidRDefault="00A16AA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SEGUNDO: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De la demanda y sus anexos, CÓRRASE traslado a la parte demandada por</w:t>
      </w:r>
      <w:r w:rsidR="006D7634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el término de veinte (20) días conforme al artículo 369 del Código General del </w:t>
      </w:r>
      <w:proofErr w:type="gramStart"/>
      <w:r>
        <w:rPr>
          <w:rFonts w:ascii="Times-Roman" w:hAnsi="Times-Roman" w:cs="Times-Roman"/>
          <w:kern w:val="0"/>
          <w:sz w:val="24"/>
          <w:szCs w:val="24"/>
          <w:lang w:val="es-CO"/>
        </w:rPr>
        <w:t>Proceso.-</w:t>
      </w:r>
      <w:proofErr w:type="gramEnd"/>
    </w:p>
    <w:p w14:paraId="4C5BD2BF" w14:textId="77777777" w:rsidR="006D7634" w:rsidRDefault="006D763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223A7882" w14:textId="79B040DC" w:rsidR="00A16AA4" w:rsidRDefault="00A16AA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TERCERO: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Súrtase la notificación a la parte demandada en la forma prevista por la Ley</w:t>
      </w:r>
      <w:r w:rsidR="006D7634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2213 de 2022. De no ser posible la intimación en los términos de la citada ley, inténtese la</w:t>
      </w:r>
      <w:r w:rsidR="006D7634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notificación de conformidad con los artículos 290 y s.s. del Código General del </w:t>
      </w:r>
      <w:proofErr w:type="gramStart"/>
      <w:r>
        <w:rPr>
          <w:rFonts w:ascii="Times-Roman" w:hAnsi="Times-Roman" w:cs="Times-Roman"/>
          <w:kern w:val="0"/>
          <w:sz w:val="24"/>
          <w:szCs w:val="24"/>
          <w:lang w:val="es-CO"/>
        </w:rPr>
        <w:t>Proceso.-</w:t>
      </w:r>
      <w:proofErr w:type="gramEnd"/>
    </w:p>
    <w:p w14:paraId="0F6920C9" w14:textId="77777777" w:rsidR="006D7634" w:rsidRDefault="006D763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4FA85380" w14:textId="35851469" w:rsidR="00A16AA4" w:rsidRDefault="00A16AA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CUARTO: TENER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al abogado Jorge Adolfo </w:t>
      </w:r>
      <w:proofErr w:type="spellStart"/>
      <w:r>
        <w:rPr>
          <w:rFonts w:ascii="Times-Roman" w:hAnsi="Times-Roman" w:cs="Times-Roman"/>
          <w:kern w:val="0"/>
          <w:sz w:val="24"/>
          <w:szCs w:val="24"/>
          <w:lang w:val="es-CO"/>
        </w:rPr>
        <w:t>Ottavo</w:t>
      </w:r>
      <w:proofErr w:type="spellEnd"/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proofErr w:type="spellStart"/>
      <w:r>
        <w:rPr>
          <w:rFonts w:ascii="Times-Roman" w:hAnsi="Times-Roman" w:cs="Times-Roman"/>
          <w:kern w:val="0"/>
          <w:sz w:val="24"/>
          <w:szCs w:val="24"/>
          <w:lang w:val="es-CO"/>
        </w:rPr>
        <w:t>Hurado</w:t>
      </w:r>
      <w:proofErr w:type="spellEnd"/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 como apoderado de los</w:t>
      </w:r>
      <w:r w:rsidR="006D7634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demandantes y en los términos de los poderes a él </w:t>
      </w:r>
      <w:proofErr w:type="gramStart"/>
      <w:r>
        <w:rPr>
          <w:rFonts w:ascii="Times-Roman" w:hAnsi="Times-Roman" w:cs="Times-Roman"/>
          <w:kern w:val="0"/>
          <w:sz w:val="24"/>
          <w:szCs w:val="24"/>
          <w:lang w:val="es-CO"/>
        </w:rPr>
        <w:t>conferidos.-</w:t>
      </w:r>
      <w:proofErr w:type="gramEnd"/>
    </w:p>
    <w:p w14:paraId="6C7FB2BC" w14:textId="77777777" w:rsidR="006D7634" w:rsidRDefault="006D763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07983D81" w14:textId="4F1B7C63" w:rsidR="00A16AA4" w:rsidRDefault="00A16AA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QUINTO: POR SECRETARIA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ofíciese, conforme a lo </w:t>
      </w:r>
      <w:proofErr w:type="gramStart"/>
      <w:r>
        <w:rPr>
          <w:rFonts w:ascii="Times-Roman" w:hAnsi="Times-Roman" w:cs="Times-Roman"/>
          <w:kern w:val="0"/>
          <w:sz w:val="24"/>
          <w:szCs w:val="24"/>
          <w:lang w:val="es-CO"/>
        </w:rPr>
        <w:t>expuesto.-</w:t>
      </w:r>
      <w:proofErr w:type="gramEnd"/>
    </w:p>
    <w:p w14:paraId="59300AEB" w14:textId="77777777" w:rsidR="006D7634" w:rsidRDefault="006D763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767C35D5" w14:textId="79F8CF27" w:rsidR="00A16AA4" w:rsidRDefault="00A16AA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NOTIFÍQUESE Y CÚMPLASE (2)</w:t>
      </w:r>
    </w:p>
    <w:p w14:paraId="162A2085" w14:textId="231FCE09" w:rsidR="00A16AA4" w:rsidRDefault="00A16AA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El Juez</w:t>
      </w:r>
    </w:p>
    <w:p w14:paraId="2408143F" w14:textId="77777777" w:rsidR="006D7634" w:rsidRDefault="006D763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692E56C5" w14:textId="4AC93521" w:rsidR="00A16AA4" w:rsidRDefault="00A16AA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ALFREDO MARTÍNEZ DE LA HOZ</w:t>
      </w:r>
    </w:p>
    <w:p w14:paraId="6D061680" w14:textId="77777777" w:rsidR="006D7634" w:rsidRDefault="006D763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16"/>
          <w:szCs w:val="16"/>
          <w:lang w:val="es-CO"/>
        </w:rPr>
      </w:pPr>
    </w:p>
    <w:p w14:paraId="3CC35D62" w14:textId="77777777" w:rsidR="006D7634" w:rsidRDefault="006D763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16"/>
          <w:szCs w:val="16"/>
          <w:lang w:val="es-CO"/>
        </w:rPr>
      </w:pPr>
    </w:p>
    <w:p w14:paraId="31C3B635" w14:textId="1D9A1FD1" w:rsidR="00A16AA4" w:rsidRDefault="00A16AA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16"/>
          <w:szCs w:val="16"/>
          <w:lang w:val="es-CO"/>
        </w:rPr>
      </w:pPr>
      <w:r>
        <w:rPr>
          <w:rFonts w:ascii="TimesNewRomanPSMT" w:hAnsi="TimesNewRomanPSMT" w:cs="TimesNewRomanPSMT"/>
          <w:kern w:val="0"/>
          <w:sz w:val="16"/>
          <w:szCs w:val="16"/>
          <w:lang w:val="es-CO"/>
        </w:rPr>
        <w:t>LA ANTERIOR PROVIDENCIA SE NOTIFICÓ EN EL ESTADO</w:t>
      </w:r>
    </w:p>
    <w:p w14:paraId="3C31E5A6" w14:textId="77777777" w:rsidR="00A16AA4" w:rsidRDefault="00A16AA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16"/>
          <w:szCs w:val="16"/>
          <w:lang w:val="es-CO"/>
        </w:rPr>
      </w:pPr>
      <w:r>
        <w:rPr>
          <w:rFonts w:ascii="TimesNewRomanPSMT" w:hAnsi="TimesNewRomanPSMT" w:cs="TimesNewRomanPSMT"/>
          <w:kern w:val="0"/>
          <w:sz w:val="16"/>
          <w:szCs w:val="16"/>
          <w:lang w:val="es-CO"/>
        </w:rPr>
        <w:t xml:space="preserve">ELECTRÓNICO DEL DÍA </w:t>
      </w:r>
      <w:r>
        <w:rPr>
          <w:rFonts w:ascii="TimesNewRomanPS-BoldMT" w:hAnsi="TimesNewRomanPS-BoldMT" w:cs="TimesNewRomanPS-BoldMT"/>
          <w:b/>
          <w:bCs/>
          <w:kern w:val="0"/>
          <w:sz w:val="16"/>
          <w:szCs w:val="16"/>
          <w:lang w:val="es-CO"/>
        </w:rPr>
        <w:t>13 DE FEBRERO DE 2.024</w:t>
      </w:r>
    </w:p>
    <w:p w14:paraId="6143D556" w14:textId="77777777" w:rsidR="00A16AA4" w:rsidRDefault="00A16AA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16"/>
          <w:szCs w:val="16"/>
          <w:lang w:val="es-CO"/>
        </w:rPr>
      </w:pPr>
      <w:r>
        <w:rPr>
          <w:rFonts w:ascii="TimesNewRomanPSMT" w:hAnsi="TimesNewRomanPSMT" w:cs="TimesNewRomanPSMT"/>
          <w:kern w:val="0"/>
          <w:sz w:val="16"/>
          <w:szCs w:val="16"/>
          <w:lang w:val="es-CO"/>
        </w:rPr>
        <w:t>Nubia Rocío Pineda Peña</w:t>
      </w:r>
    </w:p>
    <w:p w14:paraId="025C41C0" w14:textId="77777777" w:rsidR="00A16AA4" w:rsidRDefault="00A16AA4" w:rsidP="006D76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16"/>
          <w:szCs w:val="16"/>
          <w:lang w:val="es-CO"/>
        </w:rPr>
      </w:pPr>
      <w:r>
        <w:rPr>
          <w:rFonts w:ascii="TimesNewRomanPSMT" w:hAnsi="TimesNewRomanPSMT" w:cs="TimesNewRomanPSMT"/>
          <w:kern w:val="0"/>
          <w:sz w:val="16"/>
          <w:szCs w:val="16"/>
          <w:lang w:val="es-CO"/>
        </w:rPr>
        <w:t>Secretaria</w:t>
      </w:r>
    </w:p>
    <w:p w14:paraId="6D59B91C" w14:textId="28531FBE" w:rsidR="00B9243D" w:rsidRDefault="00A16AA4" w:rsidP="006D7634">
      <w:pPr>
        <w:jc w:val="both"/>
      </w:pPr>
      <w:proofErr w:type="spellStart"/>
      <w:proofErr w:type="gramStart"/>
      <w:r>
        <w:rPr>
          <w:rFonts w:ascii="Times-Italic" w:hAnsi="Times-Italic" w:cs="Times-Italic"/>
          <w:i/>
          <w:iCs/>
          <w:kern w:val="0"/>
          <w:sz w:val="16"/>
          <w:szCs w:val="16"/>
          <w:lang w:val="es-CO"/>
        </w:rPr>
        <w:t>Yygo</w:t>
      </w:r>
      <w:proofErr w:type="spellEnd"/>
      <w:r>
        <w:rPr>
          <w:rFonts w:ascii="Times-Italic" w:hAnsi="Times-Italic" w:cs="Times-Italic"/>
          <w:i/>
          <w:iCs/>
          <w:kern w:val="0"/>
          <w:sz w:val="16"/>
          <w:szCs w:val="16"/>
          <w:lang w:val="es-CO"/>
        </w:rPr>
        <w:t>.-</w:t>
      </w:r>
      <w:proofErr w:type="gramEnd"/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D2"/>
    <w:rsid w:val="006D7634"/>
    <w:rsid w:val="00737460"/>
    <w:rsid w:val="00A16AA4"/>
    <w:rsid w:val="00B9243D"/>
    <w:rsid w:val="00DA03DC"/>
    <w:rsid w:val="00EE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A10D"/>
  <w15:chartTrackingRefBased/>
  <w15:docId w15:val="{2C1BE9D9-FE9A-4EC8-8D9B-61C3562F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2024-02-13T22:38:00Z</dcterms:created>
  <dcterms:modified xsi:type="dcterms:W3CDTF">2024-02-13T22:45:00Z</dcterms:modified>
</cp:coreProperties>
</file>