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37899" w14:textId="77777777" w:rsidR="002C60A4" w:rsidRPr="00843E73" w:rsidRDefault="00AF67F0" w:rsidP="00DD0E99">
      <w:pPr>
        <w:jc w:val="center"/>
        <w:rPr>
          <w:rFonts w:ascii="Arial" w:hAnsi="Arial" w:cs="Arial"/>
          <w:b/>
          <w:u w:val="single"/>
        </w:rPr>
      </w:pPr>
      <w:r w:rsidRPr="00843E73">
        <w:rPr>
          <w:rFonts w:ascii="Arial" w:hAnsi="Arial" w:cs="Arial"/>
          <w:b/>
          <w:noProof/>
          <w:u w:val="single"/>
          <w:lang w:val="es-ES_tradnl" w:eastAsia="es-ES_tradnl"/>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843E73">
        <w:rPr>
          <w:rFonts w:ascii="Arial" w:hAnsi="Arial" w:cs="Arial"/>
          <w:b/>
          <w:u w:val="single"/>
        </w:rPr>
        <w:t xml:space="preserve">INFORME </w:t>
      </w:r>
      <w:r w:rsidR="007A75F0" w:rsidRPr="00843E73">
        <w:rPr>
          <w:rFonts w:ascii="Arial" w:hAnsi="Arial" w:cs="Arial"/>
          <w:b/>
          <w:u w:val="single"/>
        </w:rPr>
        <w:t>INICIAL</w:t>
      </w:r>
      <w:r w:rsidR="000D3B62" w:rsidRPr="00843E73">
        <w:rPr>
          <w:rFonts w:ascii="Arial" w:hAnsi="Arial" w:cs="Arial"/>
          <w:b/>
          <w:u w:val="single"/>
        </w:rPr>
        <w:t xml:space="preserve"> </w:t>
      </w:r>
      <w:r w:rsidR="00EC6E87" w:rsidRPr="00843E73">
        <w:rPr>
          <w:rFonts w:ascii="Arial" w:hAnsi="Arial" w:cs="Arial"/>
          <w:b/>
          <w:u w:val="single"/>
        </w:rPr>
        <w:t>– BBVA</w:t>
      </w:r>
    </w:p>
    <w:p w14:paraId="6A064857" w14:textId="77777777" w:rsidR="00EC6E87" w:rsidRPr="00843E73" w:rsidRDefault="00EC6E87" w:rsidP="00DD0E99">
      <w:pPr>
        <w:jc w:val="both"/>
        <w:rPr>
          <w:rFonts w:ascii="Arial" w:hAnsi="Arial" w:cs="Arial"/>
          <w:b/>
          <w:u w:val="single"/>
        </w:rPr>
      </w:pPr>
    </w:p>
    <w:p w14:paraId="0E122BBE" w14:textId="77777777" w:rsidR="00EC6E87" w:rsidRPr="00843E73" w:rsidRDefault="00EC6E87" w:rsidP="00DD0E99">
      <w:pPr>
        <w:jc w:val="both"/>
        <w:rPr>
          <w:rFonts w:ascii="Arial" w:hAnsi="Arial" w:cs="Arial"/>
          <w:b/>
          <w:u w:val="single"/>
        </w:rPr>
      </w:pPr>
    </w:p>
    <w:tbl>
      <w:tblPr>
        <w:tblW w:w="8789" w:type="dxa"/>
        <w:tblCellMar>
          <w:left w:w="70" w:type="dxa"/>
          <w:right w:w="70" w:type="dxa"/>
        </w:tblCellMar>
        <w:tblLook w:val="04A0" w:firstRow="1" w:lastRow="0" w:firstColumn="1" w:lastColumn="0" w:noHBand="0" w:noVBand="1"/>
      </w:tblPr>
      <w:tblGrid>
        <w:gridCol w:w="2835"/>
        <w:gridCol w:w="5954"/>
      </w:tblGrid>
      <w:tr w:rsidR="00EC6E87" w:rsidRPr="00843E73" w14:paraId="09E98C39" w14:textId="77777777" w:rsidTr="006421C9">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A24CE58"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RADICADO JUDICIAL</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210CFA42" w14:textId="34E10097" w:rsidR="00EC6E87" w:rsidRPr="00843E73" w:rsidRDefault="0012521C" w:rsidP="00DD0E99">
            <w:pPr>
              <w:jc w:val="both"/>
              <w:rPr>
                <w:rFonts w:ascii="Arial" w:eastAsia="Times New Roman" w:hAnsi="Arial" w:cs="Arial"/>
                <w:color w:val="000000"/>
                <w:lang w:eastAsia="es-CO"/>
              </w:rPr>
            </w:pPr>
            <w:r w:rsidRPr="00843E73">
              <w:t>760014003021-2024-00214-00</w:t>
            </w:r>
          </w:p>
        </w:tc>
      </w:tr>
      <w:tr w:rsidR="00EC6E87" w:rsidRPr="00843E73" w14:paraId="370C48F3"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5FB51CCE"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DESPACHO</w:t>
            </w:r>
          </w:p>
        </w:tc>
        <w:tc>
          <w:tcPr>
            <w:tcW w:w="5954" w:type="dxa"/>
            <w:tcBorders>
              <w:top w:val="nil"/>
              <w:left w:val="nil"/>
              <w:bottom w:val="single" w:sz="8" w:space="0" w:color="auto"/>
              <w:right w:val="single" w:sz="8" w:space="0" w:color="auto"/>
            </w:tcBorders>
            <w:shd w:val="clear" w:color="auto" w:fill="auto"/>
            <w:vAlign w:val="center"/>
            <w:hideMark/>
          </w:tcPr>
          <w:p w14:paraId="421EEA38" w14:textId="07C9061C" w:rsidR="00EC6E87"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Juzgado 21 Civil Municipal de Cali</w:t>
            </w:r>
          </w:p>
        </w:tc>
      </w:tr>
      <w:tr w:rsidR="00EC6E87" w:rsidRPr="00843E73" w14:paraId="182CDC65"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D576D9D"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CLASE DE PROCESO</w:t>
            </w:r>
          </w:p>
        </w:tc>
        <w:tc>
          <w:tcPr>
            <w:tcW w:w="5954" w:type="dxa"/>
            <w:tcBorders>
              <w:top w:val="nil"/>
              <w:left w:val="nil"/>
              <w:bottom w:val="single" w:sz="8" w:space="0" w:color="auto"/>
              <w:right w:val="single" w:sz="8" w:space="0" w:color="auto"/>
            </w:tcBorders>
            <w:shd w:val="clear" w:color="auto" w:fill="auto"/>
            <w:vAlign w:val="center"/>
            <w:hideMark/>
          </w:tcPr>
          <w:p w14:paraId="4E1509FC" w14:textId="57D087D7" w:rsidR="00EC6E87"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Verbal- responsabilidad civil contractual</w:t>
            </w:r>
          </w:p>
        </w:tc>
      </w:tr>
      <w:tr w:rsidR="00E3389E" w:rsidRPr="00843E73" w14:paraId="13AAEF51"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tcPr>
          <w:p w14:paraId="0C0FCBFC" w14:textId="77777777" w:rsidR="00E3389E" w:rsidRPr="00843E73" w:rsidRDefault="00E3389E"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JURISDICCIÓN</w:t>
            </w:r>
          </w:p>
        </w:tc>
        <w:tc>
          <w:tcPr>
            <w:tcW w:w="5954" w:type="dxa"/>
            <w:tcBorders>
              <w:top w:val="nil"/>
              <w:left w:val="nil"/>
              <w:bottom w:val="single" w:sz="8" w:space="0" w:color="auto"/>
              <w:right w:val="single" w:sz="8" w:space="0" w:color="auto"/>
            </w:tcBorders>
            <w:shd w:val="clear" w:color="auto" w:fill="auto"/>
            <w:vAlign w:val="center"/>
          </w:tcPr>
          <w:p w14:paraId="55114C5A" w14:textId="074C14FE" w:rsidR="00E3389E"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Ordinaria</w:t>
            </w:r>
          </w:p>
        </w:tc>
      </w:tr>
      <w:tr w:rsidR="00EC6E87" w:rsidRPr="00843E73" w14:paraId="0B18878F"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1FABA901"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DEMANDANTE Y CÉDULA</w:t>
            </w:r>
          </w:p>
        </w:tc>
        <w:tc>
          <w:tcPr>
            <w:tcW w:w="5954" w:type="dxa"/>
            <w:tcBorders>
              <w:top w:val="nil"/>
              <w:left w:val="nil"/>
              <w:bottom w:val="single" w:sz="8" w:space="0" w:color="auto"/>
              <w:right w:val="single" w:sz="8" w:space="0" w:color="auto"/>
            </w:tcBorders>
            <w:shd w:val="clear" w:color="auto" w:fill="auto"/>
            <w:vAlign w:val="center"/>
            <w:hideMark/>
          </w:tcPr>
          <w:p w14:paraId="177F5625" w14:textId="445E22D3" w:rsidR="00CA764A"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Martha Cecilia Altamirano Nuñez – C.C.: 31.446.639</w:t>
            </w:r>
          </w:p>
        </w:tc>
      </w:tr>
      <w:tr w:rsidR="00EC6E87" w:rsidRPr="00843E73" w14:paraId="7D44C0FB"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471542AE" w14:textId="7A3B89BE"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DEMANDADO</w:t>
            </w:r>
            <w:r w:rsidR="00E3389E" w:rsidRPr="00843E73">
              <w:rPr>
                <w:rFonts w:ascii="Arial" w:eastAsia="Times New Roman" w:hAnsi="Arial" w:cs="Arial"/>
                <w:b/>
                <w:bCs/>
                <w:color w:val="FFFFFF"/>
                <w:lang w:eastAsia="es-CO"/>
              </w:rPr>
              <w:t>S</w:t>
            </w:r>
          </w:p>
        </w:tc>
        <w:tc>
          <w:tcPr>
            <w:tcW w:w="5954" w:type="dxa"/>
            <w:tcBorders>
              <w:top w:val="nil"/>
              <w:left w:val="nil"/>
              <w:bottom w:val="single" w:sz="8" w:space="0" w:color="auto"/>
              <w:right w:val="single" w:sz="8" w:space="0" w:color="auto"/>
            </w:tcBorders>
            <w:shd w:val="clear" w:color="auto" w:fill="auto"/>
            <w:vAlign w:val="center"/>
            <w:hideMark/>
          </w:tcPr>
          <w:p w14:paraId="15ABDCDD" w14:textId="05F1D7DC" w:rsidR="00EC6E87"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BBVA Seguros de Vida Colombia S.A.</w:t>
            </w:r>
          </w:p>
        </w:tc>
      </w:tr>
      <w:tr w:rsidR="00EC6E87" w:rsidRPr="00843E73" w14:paraId="64066C09" w14:textId="77777777" w:rsidTr="006421C9">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51AC4DF3"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HECHOS</w:t>
            </w:r>
          </w:p>
        </w:tc>
        <w:tc>
          <w:tcPr>
            <w:tcW w:w="5954" w:type="dxa"/>
            <w:tcBorders>
              <w:top w:val="nil"/>
              <w:left w:val="nil"/>
              <w:bottom w:val="nil"/>
              <w:right w:val="single" w:sz="8" w:space="0" w:color="auto"/>
            </w:tcBorders>
            <w:shd w:val="clear" w:color="auto" w:fill="auto"/>
            <w:vAlign w:val="center"/>
            <w:hideMark/>
          </w:tcPr>
          <w:p w14:paraId="3FFF8959" w14:textId="46825217" w:rsidR="0012521C" w:rsidRPr="00843E73" w:rsidRDefault="0012521C" w:rsidP="00DD0E99">
            <w:pPr>
              <w:numPr>
                <w:ilvl w:val="0"/>
                <w:numId w:val="29"/>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El señor Carlos Julio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 adquirió una obligación con el Banco BBVA, suscribiendo el pagare No. 01585006631865 el día 20 de noviembre de 2019, por la suma de $168.782.933. Adicionalmente, con relación a la obligación adquirida, el señor </w:t>
            </w:r>
            <w:r w:rsidRPr="00843E73">
              <w:rPr>
                <w:rFonts w:ascii="Aptos" w:eastAsia="Times New Roman" w:hAnsi="Aptos" w:cs="Segoe UI"/>
                <w:color w:val="000000"/>
                <w:bdr w:val="none" w:sz="0" w:space="0" w:color="auto" w:frame="1"/>
                <w:lang w:eastAsia="es-CO"/>
              </w:rPr>
              <w:t>Altamirano</w:t>
            </w:r>
            <w:r w:rsidR="00B319A5">
              <w:rPr>
                <w:rFonts w:ascii="Aptos" w:eastAsia="Times New Roman" w:hAnsi="Aptos" w:cs="Segoe UI"/>
                <w:color w:val="000000"/>
                <w:lang w:eastAsia="es-CO"/>
              </w:rPr>
              <w:t> tomó</w:t>
            </w:r>
            <w:r w:rsidRPr="00843E73">
              <w:rPr>
                <w:rFonts w:ascii="Aptos" w:eastAsia="Times New Roman" w:hAnsi="Aptos" w:cs="Segoe UI"/>
                <w:color w:val="000000"/>
                <w:lang w:eastAsia="es-CO"/>
              </w:rPr>
              <w:t xml:space="preserve"> la póliza de seguro de vida No. 056032000208, el día 09 de marzo del 2021, con un valor asegurado de $170.565.362, póliza que incluye coberturas de vida básica e incapacidad total o permanente.</w:t>
            </w:r>
          </w:p>
          <w:p w14:paraId="4944FE63" w14:textId="77777777" w:rsidR="0012521C" w:rsidRPr="00843E73" w:rsidRDefault="0012521C" w:rsidP="00DD0E99">
            <w:pPr>
              <w:numPr>
                <w:ilvl w:val="0"/>
                <w:numId w:val="29"/>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El señor Carlos Julio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 falleció el día 10 de abril del 2021.</w:t>
            </w:r>
          </w:p>
          <w:p w14:paraId="76DFFABF" w14:textId="5669ED41" w:rsidR="0012521C" w:rsidRPr="00843E73" w:rsidRDefault="0012521C" w:rsidP="00DD0E99">
            <w:pPr>
              <w:numPr>
                <w:ilvl w:val="0"/>
                <w:numId w:val="29"/>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El 05 de mayo de 2021, la señora </w:t>
            </w:r>
            <w:r w:rsidRPr="00843E73">
              <w:rPr>
                <w:rFonts w:ascii="Aptos" w:eastAsia="Times New Roman" w:hAnsi="Aptos" w:cs="Segoe UI"/>
                <w:color w:val="000000"/>
                <w:bdr w:val="none" w:sz="0" w:space="0" w:color="auto" w:frame="1"/>
                <w:lang w:eastAsia="es-CO"/>
              </w:rPr>
              <w:t>Martha</w:t>
            </w:r>
            <w:r w:rsidRPr="00843E73">
              <w:rPr>
                <w:rFonts w:ascii="Aptos" w:eastAsia="Times New Roman" w:hAnsi="Aptos" w:cs="Segoe UI"/>
                <w:color w:val="000000"/>
                <w:lang w:eastAsia="es-CO"/>
              </w:rPr>
              <w:t>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presentó una reclamación ante BBVA SEGUROS DE VIDA COLOMBIA S.A., para hacer efectiva la póliza. El día 21 de mayo del 2021 la aseguradora dio respuesta a la reclamación presentada, dentro de la cual argumentó reticencia por parte del señor Carlos Julio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xml:space="preserve">, refiriéndose a la historia clínica emitida </w:t>
            </w:r>
            <w:r w:rsidR="002B20D0">
              <w:rPr>
                <w:rFonts w:ascii="Aptos" w:eastAsia="Times New Roman" w:hAnsi="Aptos" w:cs="Segoe UI"/>
                <w:color w:val="000000"/>
                <w:lang w:eastAsia="es-CO"/>
              </w:rPr>
              <w:t>por Comfandi, donde se evidenció</w:t>
            </w:r>
            <w:r w:rsidRPr="00843E73">
              <w:rPr>
                <w:rFonts w:ascii="Aptos" w:eastAsia="Times New Roman" w:hAnsi="Aptos" w:cs="Segoe UI"/>
                <w:color w:val="000000"/>
                <w:lang w:eastAsia="es-CO"/>
              </w:rPr>
              <w:t xml:space="preserve"> que el hoy fallecido contaba con hipertensión arterial diagnosticada en 2005, dislipidemia e hiperplasia de la próstata, enfermedades que no fueron declaradas por el señor Carlos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 ya que de haberlas conocido la aseguradora no hubiera generado el seguro o las condiciones del mismo fueran diferentes.</w:t>
            </w:r>
          </w:p>
          <w:p w14:paraId="09A368FA" w14:textId="77777777" w:rsidR="0012521C" w:rsidRPr="00843E73" w:rsidRDefault="0012521C" w:rsidP="00DD0E99">
            <w:pPr>
              <w:numPr>
                <w:ilvl w:val="0"/>
                <w:numId w:val="29"/>
              </w:numPr>
              <w:shd w:val="clear" w:color="auto" w:fill="FFFFFF"/>
              <w:spacing w:before="100" w:beforeAutospacing="1" w:after="100"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La activa manifiesta que la aseguradora al no realizar exámenes médicos asumió cierto nivel de riesgo, y la aseguradora no podría objetar el pago, basándose en omisión de la información. </w:t>
            </w:r>
          </w:p>
          <w:p w14:paraId="5CFEEE66" w14:textId="77777777" w:rsidR="0012521C" w:rsidRPr="00843E73" w:rsidRDefault="0012521C" w:rsidP="00DD0E99">
            <w:pPr>
              <w:numPr>
                <w:ilvl w:val="0"/>
                <w:numId w:val="29"/>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Adicionalmente, se expone que el señor Carlos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xml:space="preserve"> (q.e.p.d.) padecía problemas de visión, por lo cual el mismo no pudo haber contemplado personalmente la solicitud del seguro de vida. Por lo cual la parte demandante expone que la aseguradora tiene la obligación de tener en </w:t>
            </w:r>
            <w:r w:rsidRPr="00843E73">
              <w:rPr>
                <w:rFonts w:ascii="Aptos" w:eastAsia="Times New Roman" w:hAnsi="Aptos" w:cs="Segoe UI"/>
                <w:color w:val="000000"/>
                <w:lang w:eastAsia="es-CO"/>
              </w:rPr>
              <w:lastRenderedPageBreak/>
              <w:t>cuenta la salud y las condiciones del asegurado al aceptar solicitudes de seguro</w:t>
            </w:r>
          </w:p>
          <w:p w14:paraId="3B8E7AB6" w14:textId="59423030" w:rsidR="00EC6E87" w:rsidRPr="00843E73" w:rsidRDefault="0012521C" w:rsidP="00DD0E99">
            <w:pPr>
              <w:numPr>
                <w:ilvl w:val="0"/>
                <w:numId w:val="29"/>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Así las cosas, si bien es cierto que el principio de buena fe rige los contratos de seguro y que los asegurados tienen la responsabilidad de proporcionar información precisa, también es importante considerar la forma en que se recopila y verifica esta información por parte de la aseguradora. En este caso, la aseguradora emitió la póliza de seguro sin realizar un examen médico previo ni solicitar pruebas adicionales de salud del señor Carlos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w:t>
            </w:r>
          </w:p>
        </w:tc>
      </w:tr>
      <w:tr w:rsidR="00EC6E87" w:rsidRPr="00843E73" w14:paraId="194BC495" w14:textId="77777777" w:rsidTr="006421C9">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56B7FE4" w14:textId="1A0F6446"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lastRenderedPageBreak/>
              <w:t xml:space="preserve">PRETENSIONES </w:t>
            </w:r>
          </w:p>
        </w:tc>
        <w:tc>
          <w:tcPr>
            <w:tcW w:w="5954" w:type="dxa"/>
            <w:tcBorders>
              <w:top w:val="single" w:sz="8" w:space="0" w:color="auto"/>
              <w:left w:val="nil"/>
              <w:bottom w:val="single" w:sz="8" w:space="0" w:color="auto"/>
              <w:right w:val="single" w:sz="8" w:space="0" w:color="auto"/>
            </w:tcBorders>
            <w:shd w:val="clear" w:color="auto" w:fill="auto"/>
            <w:vAlign w:val="center"/>
          </w:tcPr>
          <w:p w14:paraId="5B0F67AE" w14:textId="77777777" w:rsidR="0012521C" w:rsidRPr="00843E73" w:rsidRDefault="0012521C" w:rsidP="00DD0E99">
            <w:pPr>
              <w:numPr>
                <w:ilvl w:val="0"/>
                <w:numId w:val="30"/>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Que se declare que es civil y contractualmente responsable, con ocasión a la póliza No. 056032000208, la aseguradora BBVA SEGUROS DE VIDA COLOMBIA S.A., de cubrir el amparo de la cobertura de vida básica del señor CARLOS JULIO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 por los hechos ocurridos el día 10 de abril de 2021.</w:t>
            </w:r>
          </w:p>
          <w:p w14:paraId="7909757E" w14:textId="77777777" w:rsidR="0012521C" w:rsidRPr="00843E73" w:rsidRDefault="0012521C" w:rsidP="00DD0E99">
            <w:pPr>
              <w:numPr>
                <w:ilvl w:val="0"/>
                <w:numId w:val="30"/>
              </w:numPr>
              <w:shd w:val="clear" w:color="auto" w:fill="FFFFFF"/>
              <w:spacing w:beforeAutospacing="1"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Que se condene a BBVA SEGUROS DE VIDA COLOMBIA S.A., al pago del amparo de la póliza No. 056032000208, con ocasión al amparo de la cobertura de vida básica del señor CARLOS JULIO </w:t>
            </w:r>
            <w:r w:rsidRPr="00843E73">
              <w:rPr>
                <w:rFonts w:ascii="Aptos" w:eastAsia="Times New Roman" w:hAnsi="Aptos" w:cs="Segoe UI"/>
                <w:color w:val="000000"/>
                <w:bdr w:val="none" w:sz="0" w:space="0" w:color="auto" w:frame="1"/>
                <w:lang w:eastAsia="es-CO"/>
              </w:rPr>
              <w:t>ALTAMIRANO</w:t>
            </w:r>
            <w:r w:rsidRPr="00843E73">
              <w:rPr>
                <w:rFonts w:ascii="Aptos" w:eastAsia="Times New Roman" w:hAnsi="Aptos" w:cs="Segoe UI"/>
                <w:color w:val="000000"/>
                <w:lang w:eastAsia="es-CO"/>
              </w:rPr>
              <w:t> (Q.E.P.D.), por los hechos ocurridos el día 10 de abril de 2021, por el monto de CIENTO SETENTA MILLONES QUINIENTOS SESENTA Y CINCO MIL TRESCIENTOS SESENTA Y DOS PESOS ($170.565.362) M/CTE a favor de BBVA por la suscripción del pagaré identificado con No. 01585006631865 del 20 de noviembre de 2019, por el monto de CIENTO SESENTA Y OCHO MILLONES SETECIENTOS OCHENTA Y DOS MIL NOVECIENTOS TREINTA Y TRES PESOS ($168.782.933) M/CTE.</w:t>
            </w:r>
          </w:p>
          <w:p w14:paraId="7AED6991" w14:textId="7FBF4D7B" w:rsidR="0012521C" w:rsidRPr="00843E73" w:rsidRDefault="0012521C" w:rsidP="00DD0E99">
            <w:pPr>
              <w:numPr>
                <w:ilvl w:val="0"/>
                <w:numId w:val="30"/>
              </w:numPr>
              <w:shd w:val="clear" w:color="auto" w:fill="FFFFFF"/>
              <w:spacing w:before="100" w:beforeAutospacing="1" w:after="100"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 xml:space="preserve">Que se condene a BBVA SEGUROS DE VIDA COLOMBIA S.A. al pago de </w:t>
            </w:r>
            <w:r w:rsidR="00EB6AF2" w:rsidRPr="00843E73">
              <w:rPr>
                <w:rFonts w:ascii="Aptos" w:eastAsia="Times New Roman" w:hAnsi="Aptos" w:cs="Segoe UI"/>
                <w:color w:val="000000"/>
                <w:lang w:eastAsia="es-CO"/>
              </w:rPr>
              <w:t>la anterior suma</w:t>
            </w:r>
            <w:r w:rsidRPr="00843E73">
              <w:rPr>
                <w:rFonts w:ascii="Aptos" w:eastAsia="Times New Roman" w:hAnsi="Aptos" w:cs="Segoe UI"/>
                <w:color w:val="000000"/>
                <w:lang w:eastAsia="es-CO"/>
              </w:rPr>
              <w:t xml:space="preserve"> de acuerdo con los términos contenidos en la póliza No. 056032000208.</w:t>
            </w:r>
          </w:p>
          <w:p w14:paraId="21ECECF9" w14:textId="3FF76624" w:rsidR="00271C6A" w:rsidRPr="00843E73" w:rsidRDefault="0012521C" w:rsidP="00DD0E99">
            <w:pPr>
              <w:numPr>
                <w:ilvl w:val="0"/>
                <w:numId w:val="30"/>
              </w:numPr>
              <w:shd w:val="clear" w:color="auto" w:fill="FFFFFF"/>
              <w:spacing w:before="100" w:beforeAutospacing="1" w:after="100" w:afterAutospacing="1"/>
              <w:textAlignment w:val="baseline"/>
              <w:rPr>
                <w:rFonts w:ascii="Aptos" w:eastAsia="Times New Roman" w:hAnsi="Aptos" w:cs="Segoe UI"/>
                <w:color w:val="000000"/>
                <w:lang w:eastAsia="es-CO"/>
              </w:rPr>
            </w:pPr>
            <w:r w:rsidRPr="00843E73">
              <w:rPr>
                <w:rFonts w:ascii="Aptos" w:eastAsia="Times New Roman" w:hAnsi="Aptos" w:cs="Segoe UI"/>
                <w:color w:val="000000"/>
                <w:lang w:eastAsia="es-CO"/>
              </w:rPr>
              <w:t>Condenar al demandado al pago de las costas y agencias en derecho que se generen u ocasionen en el presente proceso.</w:t>
            </w:r>
          </w:p>
        </w:tc>
      </w:tr>
      <w:tr w:rsidR="00EC6E87" w:rsidRPr="00843E73" w14:paraId="35131FD7"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0AC13D7B"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CUANTIFICACIÓN DE LAS PRETENSIONES</w:t>
            </w:r>
          </w:p>
        </w:tc>
        <w:tc>
          <w:tcPr>
            <w:tcW w:w="5954" w:type="dxa"/>
            <w:tcBorders>
              <w:top w:val="nil"/>
              <w:left w:val="nil"/>
              <w:bottom w:val="single" w:sz="8" w:space="0" w:color="auto"/>
              <w:right w:val="single" w:sz="8" w:space="0" w:color="auto"/>
            </w:tcBorders>
            <w:shd w:val="clear" w:color="auto" w:fill="auto"/>
            <w:vAlign w:val="center"/>
            <w:hideMark/>
          </w:tcPr>
          <w:p w14:paraId="0E769B90" w14:textId="38E75EBD" w:rsidR="002E0BF7" w:rsidRPr="00843E73" w:rsidRDefault="002E0BF7"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El valor de la liquidación objetiva del asunto es la suma de $167.800.000, por lo siguiente:</w:t>
            </w:r>
          </w:p>
          <w:p w14:paraId="1365BC0E" w14:textId="77777777" w:rsidR="002E0BF7" w:rsidRPr="00843E73" w:rsidRDefault="002E0BF7" w:rsidP="00DD0E99">
            <w:pPr>
              <w:jc w:val="both"/>
              <w:rPr>
                <w:rFonts w:ascii="Arial" w:eastAsia="Times New Roman" w:hAnsi="Arial" w:cs="Arial"/>
                <w:color w:val="000000"/>
                <w:lang w:eastAsia="es-CO"/>
              </w:rPr>
            </w:pPr>
          </w:p>
          <w:p w14:paraId="773AA7CB" w14:textId="7BDBB2F2" w:rsidR="002E0BF7" w:rsidRDefault="00DD0E99" w:rsidP="00DD0E99">
            <w:pPr>
              <w:jc w:val="both"/>
              <w:rPr>
                <w:rFonts w:ascii="Arial" w:eastAsia="Times New Roman" w:hAnsi="Arial" w:cs="Arial"/>
                <w:color w:val="000000"/>
                <w:lang w:eastAsia="es-CO"/>
              </w:rPr>
            </w:pPr>
            <w:r>
              <w:rPr>
                <w:rFonts w:ascii="Arial" w:eastAsia="Times New Roman" w:hAnsi="Arial" w:cs="Arial"/>
                <w:color w:val="000000"/>
                <w:lang w:eastAsia="es-CO"/>
              </w:rPr>
              <w:t>Lo</w:t>
            </w:r>
            <w:r w:rsidR="002E0BF7" w:rsidRPr="00843E73">
              <w:rPr>
                <w:rFonts w:ascii="Arial" w:eastAsia="Times New Roman" w:hAnsi="Arial" w:cs="Arial"/>
                <w:color w:val="000000"/>
                <w:lang w:eastAsia="es-CO"/>
              </w:rPr>
              <w:t xml:space="preserve"> primero que se debe tener presente que la suma asegurada por BBVA Seguros de Vida, y desembolsada por el </w:t>
            </w:r>
            <w:r>
              <w:rPr>
                <w:rFonts w:ascii="Arial" w:eastAsia="Times New Roman" w:hAnsi="Arial" w:cs="Arial"/>
                <w:color w:val="000000"/>
                <w:lang w:eastAsia="es-CO"/>
              </w:rPr>
              <w:t>Banco BBVA, corresponde</w:t>
            </w:r>
            <w:r w:rsidR="002E0BF7" w:rsidRPr="00843E73">
              <w:rPr>
                <w:rFonts w:ascii="Arial" w:eastAsia="Times New Roman" w:hAnsi="Arial" w:cs="Arial"/>
                <w:color w:val="000000"/>
                <w:lang w:eastAsia="es-CO"/>
              </w:rPr>
              <w:t xml:space="preserve"> a la suma de $167.800.000, </w:t>
            </w:r>
            <w:r w:rsidR="002E0BF7" w:rsidRPr="00843E73">
              <w:rPr>
                <w:rFonts w:ascii="Arial" w:eastAsia="Times New Roman" w:hAnsi="Arial" w:cs="Arial"/>
                <w:color w:val="000000"/>
                <w:lang w:eastAsia="es-CO"/>
              </w:rPr>
              <w:lastRenderedPageBreak/>
              <w:t>según el certificado de la póliza vida deudores, y según la consulta del deudor.</w:t>
            </w:r>
          </w:p>
          <w:p w14:paraId="366CF888" w14:textId="77777777" w:rsidR="00DD0E99" w:rsidRPr="00843E73" w:rsidRDefault="00DD0E99" w:rsidP="00DD0E99">
            <w:pPr>
              <w:jc w:val="both"/>
              <w:rPr>
                <w:rFonts w:ascii="Arial" w:eastAsia="Times New Roman" w:hAnsi="Arial" w:cs="Arial"/>
                <w:color w:val="000000"/>
                <w:lang w:eastAsia="es-CO"/>
              </w:rPr>
            </w:pPr>
          </w:p>
          <w:p w14:paraId="204417B3" w14:textId="77777777" w:rsidR="002E0BF7" w:rsidRDefault="002E0BF7"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Por otro lado, resulta importante destacar que la vigencia del contrato fue únicamente de un mes, en atención a que la formalización del contrato de seguro Póliza Vida Deudor No. 022620000048280 fue formalizada el 9 de marzo del 2021, y el señor Carlos Altamirano (q.e.p.d.), falleció el día 10 de abril del 2021, según registro civil de defunción. Si bien se evidencian el ultimo a la prima para el periodo del 09/10/2021 al 08/11/2021, la parte demandante dentro de su escrito a la demanda no realizó ningún reclamó por estas sumas económicas pagad</w:t>
            </w:r>
            <w:bookmarkStart w:id="0" w:name="_GoBack"/>
            <w:bookmarkEnd w:id="0"/>
            <w:r w:rsidRPr="00843E73">
              <w:rPr>
                <w:rFonts w:ascii="Arial" w:eastAsia="Times New Roman" w:hAnsi="Arial" w:cs="Arial"/>
                <w:color w:val="000000"/>
                <w:lang w:eastAsia="es-CO"/>
              </w:rPr>
              <w:t>as.</w:t>
            </w:r>
          </w:p>
          <w:p w14:paraId="0D8754BF" w14:textId="77777777" w:rsidR="00DD0E99" w:rsidRPr="00843E73" w:rsidRDefault="00DD0E99" w:rsidP="00DD0E99">
            <w:pPr>
              <w:jc w:val="both"/>
              <w:rPr>
                <w:rFonts w:ascii="Arial" w:eastAsia="Times New Roman" w:hAnsi="Arial" w:cs="Arial"/>
                <w:color w:val="000000"/>
                <w:lang w:eastAsia="es-CO"/>
              </w:rPr>
            </w:pPr>
          </w:p>
          <w:p w14:paraId="6F4DF8BA" w14:textId="1BCAE6F9" w:rsidR="002E0BF7" w:rsidRPr="00843E73" w:rsidRDefault="002E0BF7" w:rsidP="00DD0E99">
            <w:pPr>
              <w:rPr>
                <w:lang w:val="es-MX"/>
              </w:rPr>
            </w:pPr>
            <w:r w:rsidRPr="00843E73">
              <w:rPr>
                <w:rFonts w:ascii="Arial" w:eastAsia="Times New Roman" w:hAnsi="Arial" w:cs="Arial"/>
                <w:color w:val="000000"/>
                <w:lang w:eastAsia="es-CO"/>
              </w:rPr>
              <w:t>En ese orden de ideas, se toma el valor asegurado dentro de la póliza vida deudor, que corresponde a la suma de $167.800.000, la cual correspondería a la obligación No. 0013-0158-00-9622072635, adquirida por el fallecido Carlos Julio Altamirano.</w:t>
            </w:r>
          </w:p>
          <w:p w14:paraId="2680E95D" w14:textId="1D4BFB72" w:rsidR="002E0BF7" w:rsidRPr="00843E73" w:rsidRDefault="002E0BF7" w:rsidP="00DD0E99">
            <w:pPr>
              <w:jc w:val="both"/>
              <w:rPr>
                <w:rFonts w:ascii="Arial" w:eastAsia="Times New Roman" w:hAnsi="Arial" w:cs="Arial"/>
                <w:color w:val="000000"/>
                <w:lang w:eastAsia="es-CO"/>
              </w:rPr>
            </w:pPr>
          </w:p>
          <w:p w14:paraId="326057C0" w14:textId="36122CBF" w:rsidR="00E20E3C" w:rsidRPr="00843E73" w:rsidRDefault="00E20E3C" w:rsidP="00DD0E99">
            <w:pPr>
              <w:jc w:val="both"/>
              <w:rPr>
                <w:rFonts w:ascii="Arial" w:eastAsia="Times New Roman" w:hAnsi="Arial" w:cs="Arial"/>
                <w:color w:val="000000"/>
                <w:lang w:eastAsia="es-CO"/>
              </w:rPr>
            </w:pPr>
          </w:p>
        </w:tc>
      </w:tr>
      <w:tr w:rsidR="00EC6E87" w:rsidRPr="00843E73" w14:paraId="2A5C802A" w14:textId="77777777" w:rsidTr="006421C9">
        <w:trPr>
          <w:trHeight w:val="300"/>
        </w:trPr>
        <w:tc>
          <w:tcPr>
            <w:tcW w:w="2835" w:type="dxa"/>
            <w:vMerge w:val="restart"/>
            <w:tcBorders>
              <w:top w:val="nil"/>
              <w:left w:val="single" w:sz="8" w:space="0" w:color="auto"/>
              <w:bottom w:val="single" w:sz="8" w:space="0" w:color="000000"/>
              <w:right w:val="single" w:sz="8" w:space="0" w:color="auto"/>
            </w:tcBorders>
            <w:shd w:val="clear" w:color="000000" w:fill="1F497D"/>
            <w:vAlign w:val="center"/>
            <w:hideMark/>
          </w:tcPr>
          <w:p w14:paraId="39B952B3" w14:textId="77777777" w:rsidR="00EC6E87" w:rsidRPr="00843E73" w:rsidRDefault="00271C6A"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lastRenderedPageBreak/>
              <w:t>PÓ</w:t>
            </w:r>
            <w:r w:rsidR="00EC6E87" w:rsidRPr="00843E73">
              <w:rPr>
                <w:rFonts w:ascii="Arial" w:eastAsia="Times New Roman" w:hAnsi="Arial" w:cs="Arial"/>
                <w:b/>
                <w:bCs/>
                <w:color w:val="FFFFFF"/>
                <w:lang w:eastAsia="es-CO"/>
              </w:rPr>
              <w:t>LIZA VINCULADA</w:t>
            </w:r>
          </w:p>
        </w:tc>
        <w:tc>
          <w:tcPr>
            <w:tcW w:w="5954" w:type="dxa"/>
            <w:tcBorders>
              <w:top w:val="nil"/>
              <w:left w:val="nil"/>
              <w:bottom w:val="nil"/>
              <w:right w:val="single" w:sz="8" w:space="0" w:color="auto"/>
            </w:tcBorders>
            <w:shd w:val="clear" w:color="auto" w:fill="auto"/>
            <w:vAlign w:val="center"/>
            <w:hideMark/>
          </w:tcPr>
          <w:p w14:paraId="15A65D78" w14:textId="16655BF5" w:rsidR="00EC6E87" w:rsidRPr="00843E73" w:rsidRDefault="00EB6AF2"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Póliza de Seguro Vida Grupo Deudores:</w:t>
            </w:r>
            <w:r w:rsidR="00C20A39" w:rsidRPr="00843E73">
              <w:rPr>
                <w:rFonts w:ascii="Arial" w:eastAsia="Times New Roman" w:hAnsi="Arial" w:cs="Arial"/>
                <w:color w:val="000000"/>
                <w:lang w:eastAsia="es-CO"/>
              </w:rPr>
              <w:t xml:space="preserve"> </w:t>
            </w:r>
            <w:r w:rsidRPr="00843E73">
              <w:rPr>
                <w:rFonts w:ascii="Arial" w:eastAsia="Times New Roman" w:hAnsi="Arial" w:cs="Arial"/>
                <w:color w:val="000000"/>
                <w:lang w:eastAsia="es-CO"/>
              </w:rPr>
              <w:t xml:space="preserve">022620000048280 </w:t>
            </w:r>
          </w:p>
        </w:tc>
      </w:tr>
      <w:tr w:rsidR="00EC6E87" w:rsidRPr="00843E73" w14:paraId="1AD179DA" w14:textId="77777777" w:rsidTr="006421C9">
        <w:trPr>
          <w:trHeight w:val="300"/>
        </w:trPr>
        <w:tc>
          <w:tcPr>
            <w:tcW w:w="2835" w:type="dxa"/>
            <w:vMerge/>
            <w:tcBorders>
              <w:top w:val="nil"/>
              <w:left w:val="single" w:sz="8" w:space="0" w:color="auto"/>
              <w:bottom w:val="single" w:sz="8" w:space="0" w:color="000000"/>
              <w:right w:val="single" w:sz="8" w:space="0" w:color="auto"/>
            </w:tcBorders>
            <w:vAlign w:val="center"/>
            <w:hideMark/>
          </w:tcPr>
          <w:p w14:paraId="39AD8E3F" w14:textId="77777777" w:rsidR="00EC6E87" w:rsidRPr="00843E73" w:rsidRDefault="00EC6E87" w:rsidP="00DD0E99">
            <w:pPr>
              <w:jc w:val="both"/>
              <w:rPr>
                <w:rFonts w:ascii="Arial" w:eastAsia="Times New Roman" w:hAnsi="Arial" w:cs="Arial"/>
                <w:b/>
                <w:bCs/>
                <w:color w:val="FFFFFF"/>
                <w:lang w:eastAsia="es-CO"/>
              </w:rPr>
            </w:pPr>
          </w:p>
        </w:tc>
        <w:tc>
          <w:tcPr>
            <w:tcW w:w="5954" w:type="dxa"/>
            <w:tcBorders>
              <w:top w:val="nil"/>
              <w:left w:val="nil"/>
              <w:bottom w:val="nil"/>
              <w:right w:val="single" w:sz="8" w:space="0" w:color="auto"/>
            </w:tcBorders>
            <w:shd w:val="clear" w:color="auto" w:fill="auto"/>
            <w:vAlign w:val="center"/>
            <w:hideMark/>
          </w:tcPr>
          <w:p w14:paraId="5236C933" w14:textId="78F41375" w:rsidR="00EC6E87" w:rsidRPr="00843E73" w:rsidRDefault="006B0D59"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Asegurado</w:t>
            </w:r>
            <w:r w:rsidR="008D2E9F" w:rsidRPr="00843E73">
              <w:rPr>
                <w:rFonts w:ascii="Arial" w:eastAsia="Times New Roman" w:hAnsi="Arial" w:cs="Arial"/>
                <w:color w:val="000000"/>
                <w:lang w:eastAsia="es-CO"/>
              </w:rPr>
              <w:t xml:space="preserve">: </w:t>
            </w:r>
            <w:r w:rsidR="00EB6AF2" w:rsidRPr="00843E73">
              <w:rPr>
                <w:rFonts w:ascii="Arial" w:eastAsia="Times New Roman" w:hAnsi="Arial" w:cs="Arial"/>
                <w:color w:val="000000"/>
                <w:lang w:eastAsia="es-CO"/>
              </w:rPr>
              <w:t>Banco BBVA</w:t>
            </w:r>
          </w:p>
        </w:tc>
      </w:tr>
      <w:tr w:rsidR="00EC6E87" w:rsidRPr="00843E73" w14:paraId="168472D6" w14:textId="77777777" w:rsidTr="006421C9">
        <w:trPr>
          <w:trHeight w:val="300"/>
        </w:trPr>
        <w:tc>
          <w:tcPr>
            <w:tcW w:w="2835" w:type="dxa"/>
            <w:vMerge/>
            <w:tcBorders>
              <w:top w:val="nil"/>
              <w:left w:val="single" w:sz="8" w:space="0" w:color="auto"/>
              <w:bottom w:val="single" w:sz="8" w:space="0" w:color="000000"/>
              <w:right w:val="single" w:sz="8" w:space="0" w:color="auto"/>
            </w:tcBorders>
            <w:vAlign w:val="center"/>
            <w:hideMark/>
          </w:tcPr>
          <w:p w14:paraId="713C6F3E" w14:textId="77777777" w:rsidR="00EC6E87" w:rsidRPr="00843E73" w:rsidRDefault="00EC6E87" w:rsidP="00DD0E99">
            <w:pPr>
              <w:jc w:val="both"/>
              <w:rPr>
                <w:rFonts w:ascii="Arial" w:eastAsia="Times New Roman" w:hAnsi="Arial" w:cs="Arial"/>
                <w:b/>
                <w:bCs/>
                <w:color w:val="FFFFFF"/>
                <w:lang w:eastAsia="es-CO"/>
              </w:rPr>
            </w:pPr>
          </w:p>
        </w:tc>
        <w:tc>
          <w:tcPr>
            <w:tcW w:w="5954" w:type="dxa"/>
            <w:tcBorders>
              <w:top w:val="nil"/>
              <w:left w:val="nil"/>
              <w:bottom w:val="nil"/>
              <w:right w:val="single" w:sz="8" w:space="0" w:color="auto"/>
            </w:tcBorders>
            <w:shd w:val="clear" w:color="auto" w:fill="auto"/>
            <w:vAlign w:val="center"/>
            <w:hideMark/>
          </w:tcPr>
          <w:p w14:paraId="5310A182" w14:textId="77777777" w:rsidR="00EB6AF2" w:rsidRPr="00843E73" w:rsidRDefault="00CE5B68"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 xml:space="preserve">Tomador: </w:t>
            </w:r>
            <w:r w:rsidR="00EB6AF2" w:rsidRPr="00843E73">
              <w:rPr>
                <w:rFonts w:ascii="Arial" w:eastAsia="Times New Roman" w:hAnsi="Arial" w:cs="Arial"/>
                <w:color w:val="000000"/>
                <w:lang w:eastAsia="es-CO"/>
              </w:rPr>
              <w:t xml:space="preserve">CARLOS JULIO ALTAMIRANO (q.e.p.d.) </w:t>
            </w:r>
          </w:p>
          <w:p w14:paraId="181EF315" w14:textId="0497AA1F" w:rsidR="00EB6AF2" w:rsidRPr="00843E73" w:rsidRDefault="00EB6AF2"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Cédula del Tomador: 6.332.037</w:t>
            </w:r>
          </w:p>
          <w:p w14:paraId="36848F91" w14:textId="7660250C" w:rsidR="00CE5B68" w:rsidRPr="00843E73" w:rsidRDefault="00CE5B68" w:rsidP="00DD0E99">
            <w:pPr>
              <w:jc w:val="both"/>
              <w:rPr>
                <w:rFonts w:ascii="Arial" w:eastAsia="Times New Roman" w:hAnsi="Arial" w:cs="Arial"/>
                <w:color w:val="000000"/>
                <w:lang w:eastAsia="es-CO"/>
              </w:rPr>
            </w:pPr>
          </w:p>
        </w:tc>
      </w:tr>
      <w:tr w:rsidR="00EC6E87" w:rsidRPr="00843E73" w14:paraId="2428894B" w14:textId="77777777" w:rsidTr="006421C9">
        <w:trPr>
          <w:trHeight w:val="315"/>
        </w:trPr>
        <w:tc>
          <w:tcPr>
            <w:tcW w:w="2835" w:type="dxa"/>
            <w:vMerge/>
            <w:tcBorders>
              <w:top w:val="nil"/>
              <w:left w:val="single" w:sz="8" w:space="0" w:color="auto"/>
              <w:bottom w:val="single" w:sz="4" w:space="0" w:color="auto"/>
              <w:right w:val="single" w:sz="8" w:space="0" w:color="auto"/>
            </w:tcBorders>
            <w:vAlign w:val="center"/>
            <w:hideMark/>
          </w:tcPr>
          <w:p w14:paraId="72364851" w14:textId="77777777" w:rsidR="00EC6E87" w:rsidRPr="00843E73" w:rsidRDefault="00EC6E87" w:rsidP="00DD0E99">
            <w:pPr>
              <w:jc w:val="both"/>
              <w:rPr>
                <w:rFonts w:ascii="Arial" w:eastAsia="Times New Roman" w:hAnsi="Arial" w:cs="Arial"/>
                <w:b/>
                <w:bCs/>
                <w:color w:val="FFFFFF"/>
                <w:lang w:eastAsia="es-CO"/>
              </w:rPr>
            </w:pPr>
          </w:p>
        </w:tc>
        <w:tc>
          <w:tcPr>
            <w:tcW w:w="5954" w:type="dxa"/>
            <w:tcBorders>
              <w:top w:val="nil"/>
              <w:left w:val="nil"/>
              <w:bottom w:val="single" w:sz="4" w:space="0" w:color="auto"/>
              <w:right w:val="single" w:sz="8" w:space="0" w:color="auto"/>
            </w:tcBorders>
            <w:shd w:val="clear" w:color="auto" w:fill="auto"/>
            <w:vAlign w:val="center"/>
            <w:hideMark/>
          </w:tcPr>
          <w:p w14:paraId="27813DB1" w14:textId="0D181A17" w:rsidR="00EC6E87" w:rsidRPr="00843E73" w:rsidRDefault="00EC6E87" w:rsidP="00DD0E99">
            <w:pPr>
              <w:jc w:val="both"/>
              <w:rPr>
                <w:rFonts w:ascii="Arial" w:eastAsia="Times New Roman" w:hAnsi="Arial" w:cs="Arial"/>
                <w:color w:val="000000"/>
                <w:lang w:eastAsia="es-CO"/>
              </w:rPr>
            </w:pPr>
          </w:p>
        </w:tc>
      </w:tr>
      <w:tr w:rsidR="00AF67F0" w:rsidRPr="00843E73" w14:paraId="7560A9B5" w14:textId="77777777" w:rsidTr="006421C9">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1F497D"/>
            <w:vAlign w:val="center"/>
          </w:tcPr>
          <w:p w14:paraId="4227BB7E" w14:textId="77777777" w:rsidR="00AF67F0" w:rsidRPr="00843E73" w:rsidRDefault="00AF67F0"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No. DE OBLIGACIÓN</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085EDFB6" w:rsidR="00AF67F0" w:rsidRPr="00843E73" w:rsidRDefault="0012521C"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0013-0158-00-9622072635</w:t>
            </w:r>
          </w:p>
        </w:tc>
      </w:tr>
      <w:tr w:rsidR="00EC6E87" w:rsidRPr="00843E73" w14:paraId="316B8CF6" w14:textId="77777777" w:rsidTr="006421C9">
        <w:trPr>
          <w:trHeight w:val="315"/>
        </w:trPr>
        <w:tc>
          <w:tcPr>
            <w:tcW w:w="2835" w:type="dxa"/>
            <w:tcBorders>
              <w:top w:val="single" w:sz="4" w:space="0" w:color="auto"/>
              <w:left w:val="single" w:sz="8" w:space="0" w:color="auto"/>
              <w:bottom w:val="nil"/>
              <w:right w:val="single" w:sz="8" w:space="0" w:color="auto"/>
            </w:tcBorders>
            <w:shd w:val="clear" w:color="000000" w:fill="1F497D"/>
            <w:vAlign w:val="center"/>
            <w:hideMark/>
          </w:tcPr>
          <w:p w14:paraId="185B6FD4"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EXCEPCIONES PROPUESTAS POR BBVA</w:t>
            </w:r>
            <w:r w:rsidR="00AF67F0" w:rsidRPr="00843E73">
              <w:rPr>
                <w:rFonts w:ascii="Arial" w:eastAsia="Times New Roman" w:hAnsi="Arial" w:cs="Arial"/>
                <w:b/>
                <w:bCs/>
                <w:color w:val="FFFFFF"/>
                <w:lang w:eastAsia="es-CO"/>
              </w:rPr>
              <w:t xml:space="preserve"> SEGUROS</w:t>
            </w:r>
          </w:p>
        </w:tc>
        <w:tc>
          <w:tcPr>
            <w:tcW w:w="5954" w:type="dxa"/>
            <w:tcBorders>
              <w:top w:val="single" w:sz="4" w:space="0" w:color="auto"/>
              <w:left w:val="nil"/>
              <w:bottom w:val="nil"/>
              <w:right w:val="single" w:sz="8" w:space="0" w:color="auto"/>
            </w:tcBorders>
            <w:shd w:val="clear" w:color="auto" w:fill="auto"/>
            <w:vAlign w:val="center"/>
            <w:hideMark/>
          </w:tcPr>
          <w:p w14:paraId="01D01605" w14:textId="7F4F2FD7" w:rsidR="000718A0"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NULIDAD DEL ASEGURAMIENTO COMO CONSECUENCIA DE LA RETICENCIA POR PARTE DEL SEÑOR CARLOS JULIO ALTAMIRANO (Q.E.P.D.)</w:t>
            </w:r>
          </w:p>
          <w:p w14:paraId="6F260541" w14:textId="36E5EB16"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INEXISTENCIA DE LA OBLIGACIÓN A CARGO DE BBVA SEGUROS DE VIDA COLOMBIA S.A. DE PRATICAR Y/O EXIGIR EXÁMENES MÉDICOS EN LA ETAPA PRECONTRACTUAL</w:t>
            </w:r>
          </w:p>
          <w:p w14:paraId="0BCAA6D3" w14:textId="380D5266"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LA ACREDITACIÓN DE CAUSALIDAD NO ES UN REQUISITO DE PRUEBA PARA QUIEN ALEGA LA RETICENCIA DEL CONTRATO DE SEGURO</w:t>
            </w:r>
          </w:p>
          <w:p w14:paraId="1C2CCCBA" w14:textId="7571D075"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LA ACREDITACIÓN DE LA MALA FE NO ES UN REQUISITO DE PRUEBA PARA QUIEN ALEGA LA RETICENCIA DEL CONTRATO DE SEGURO.</w:t>
            </w:r>
          </w:p>
          <w:p w14:paraId="1F951D11" w14:textId="4809BE72"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BBVA SEGUROS DE VIDA COLOMBIA S.A. TIENE LA FACULTAD DE RETENER LA PRIMA A TÍTULO DE PENA COMO CONSECUENCIA DE LA DECLARATORIA DE LA RETICENCIA DEL CONTRATO DE SEGURO.</w:t>
            </w:r>
          </w:p>
          <w:p w14:paraId="00BA9DC7" w14:textId="736DF58E"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t>CONFIGURACIÓN DE PRESCRIPCIÓN ORDINARIA DE LAS ACCIONES DERIVADAS DEL CONTRATO DE SEGURO</w:t>
            </w:r>
          </w:p>
          <w:p w14:paraId="7D473FE7" w14:textId="5A3A62FC" w:rsidR="0012521C" w:rsidRPr="00843E73" w:rsidRDefault="00EB6AF2" w:rsidP="00DD0E99">
            <w:pPr>
              <w:pStyle w:val="Prrafodelista"/>
              <w:numPr>
                <w:ilvl w:val="0"/>
                <w:numId w:val="31"/>
              </w:numPr>
              <w:jc w:val="both"/>
              <w:rPr>
                <w:rFonts w:ascii="Arial" w:eastAsia="Times New Roman" w:hAnsi="Arial" w:cs="Arial"/>
                <w:color w:val="000000"/>
                <w:lang w:eastAsia="es-CO"/>
              </w:rPr>
            </w:pPr>
            <w:r w:rsidRPr="00843E73">
              <w:rPr>
                <w:rFonts w:ascii="Arial" w:hAnsi="Arial" w:cs="Arial"/>
              </w:rPr>
              <w:lastRenderedPageBreak/>
              <w:t>GENERICA E INNOMINADAS Y OTRAS.</w:t>
            </w:r>
          </w:p>
        </w:tc>
      </w:tr>
      <w:tr w:rsidR="00EC6E87" w:rsidRPr="00843E73" w14:paraId="2213E323" w14:textId="77777777" w:rsidTr="006421C9">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060B7F94" w14:textId="2E36D6CB" w:rsidR="00EC6E87" w:rsidRPr="00843E73" w:rsidRDefault="00271C6A"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lastRenderedPageBreak/>
              <w:t>CALIFICACIÓ</w:t>
            </w:r>
            <w:r w:rsidR="00EC6E87" w:rsidRPr="00843E73">
              <w:rPr>
                <w:rFonts w:ascii="Arial" w:eastAsia="Times New Roman" w:hAnsi="Arial" w:cs="Arial"/>
                <w:b/>
                <w:bCs/>
                <w:color w:val="FFFFFF"/>
                <w:lang w:eastAsia="es-CO"/>
              </w:rPr>
              <w:t xml:space="preserve">N DE LA CONTINGENCIA </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022A0BD0" w14:textId="7A02DF52" w:rsidR="00EC6E87" w:rsidRPr="00843E73" w:rsidRDefault="00EC6E87"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Remota _</w:t>
            </w:r>
            <w:r w:rsidR="0012521C" w:rsidRPr="00843E73">
              <w:rPr>
                <w:rFonts w:ascii="Arial" w:eastAsia="Times New Roman" w:hAnsi="Arial" w:cs="Arial"/>
                <w:color w:val="000000"/>
                <w:u w:val="single"/>
                <w:lang w:eastAsia="es-CO"/>
              </w:rPr>
              <w:t>_</w:t>
            </w:r>
            <w:r w:rsidRPr="00843E73">
              <w:rPr>
                <w:rFonts w:ascii="Arial" w:eastAsia="Times New Roman" w:hAnsi="Arial" w:cs="Arial"/>
                <w:color w:val="000000"/>
                <w:lang w:eastAsia="es-CO"/>
              </w:rPr>
              <w:t xml:space="preserve"> Eventual _</w:t>
            </w:r>
            <w:r w:rsidR="00E53776" w:rsidRPr="00843E73">
              <w:rPr>
                <w:rFonts w:ascii="Arial" w:eastAsia="Times New Roman" w:hAnsi="Arial" w:cs="Arial"/>
                <w:color w:val="000000"/>
                <w:u w:val="single"/>
                <w:lang w:eastAsia="es-CO"/>
              </w:rPr>
              <w:t>X</w:t>
            </w:r>
            <w:r w:rsidRPr="00843E73">
              <w:rPr>
                <w:rFonts w:ascii="Arial" w:eastAsia="Times New Roman" w:hAnsi="Arial" w:cs="Arial"/>
                <w:color w:val="000000"/>
                <w:lang w:eastAsia="es-CO"/>
              </w:rPr>
              <w:t>_ Probable</w:t>
            </w:r>
            <w:r w:rsidR="006421C9" w:rsidRPr="00843E73">
              <w:rPr>
                <w:rFonts w:ascii="Arial" w:eastAsia="Times New Roman" w:hAnsi="Arial" w:cs="Arial"/>
                <w:color w:val="000000"/>
                <w:lang w:eastAsia="es-CO"/>
              </w:rPr>
              <w:t xml:space="preserve"> </w:t>
            </w:r>
            <w:r w:rsidRPr="00843E73">
              <w:rPr>
                <w:rFonts w:ascii="Arial" w:eastAsia="Times New Roman" w:hAnsi="Arial" w:cs="Arial"/>
                <w:color w:val="000000"/>
                <w:lang w:eastAsia="es-CO"/>
              </w:rPr>
              <w:t xml:space="preserve">___ </w:t>
            </w:r>
          </w:p>
        </w:tc>
      </w:tr>
      <w:tr w:rsidR="00EC6E87" w:rsidRPr="00843E73" w14:paraId="63FE27E1"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FFD6E83" w14:textId="77777777" w:rsidR="00EC6E87" w:rsidRPr="00843E73" w:rsidRDefault="00EC6E87"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t xml:space="preserve">CONCEPTO JURÍDICO </w:t>
            </w:r>
          </w:p>
        </w:tc>
        <w:tc>
          <w:tcPr>
            <w:tcW w:w="5954" w:type="dxa"/>
            <w:tcBorders>
              <w:top w:val="nil"/>
              <w:left w:val="nil"/>
              <w:bottom w:val="single" w:sz="8" w:space="0" w:color="auto"/>
              <w:right w:val="single" w:sz="8" w:space="0" w:color="auto"/>
            </w:tcBorders>
            <w:shd w:val="clear" w:color="auto" w:fill="auto"/>
            <w:vAlign w:val="center"/>
            <w:hideMark/>
          </w:tcPr>
          <w:p w14:paraId="4E3D8200"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rPr>
              <w:t>La contingencia se califica como EVENTUAL toda vez que la obligación indemnizatoria de la Compañía Aseguradora, dependerá del debate probatorio que se surta en el proceso.   </w:t>
            </w:r>
          </w:p>
          <w:p w14:paraId="28B11D6E"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rPr>
              <w:t> </w:t>
            </w:r>
          </w:p>
          <w:p w14:paraId="2DC2E03A" w14:textId="77777777" w:rsidR="008B7169" w:rsidRPr="00843E73" w:rsidRDefault="008B7169" w:rsidP="00DD0E99">
            <w:pPr>
              <w:pStyle w:val="NormalWeb"/>
              <w:shd w:val="clear" w:color="auto" w:fill="FFFFFF"/>
              <w:spacing w:after="0"/>
              <w:jc w:val="both"/>
              <w:rPr>
                <w:rFonts w:ascii="Arial" w:hAnsi="Arial" w:cs="Arial"/>
                <w:color w:val="000000"/>
                <w:sz w:val="22"/>
                <w:szCs w:val="22"/>
                <w:bdr w:val="none" w:sz="0" w:space="0" w:color="auto" w:frame="1"/>
                <w:shd w:val="clear" w:color="auto" w:fill="FFFFFF"/>
              </w:rPr>
            </w:pPr>
            <w:r w:rsidRPr="00843E73">
              <w:rPr>
                <w:rFonts w:ascii="Arial" w:hAnsi="Arial" w:cs="Arial"/>
                <w:color w:val="000000"/>
                <w:sz w:val="22"/>
                <w:szCs w:val="22"/>
                <w:bdr w:val="none" w:sz="0" w:space="0" w:color="auto" w:frame="1"/>
                <w:shd w:val="clear" w:color="auto" w:fill="FFFFFF"/>
              </w:rPr>
              <w:t>Lo primero que debe tomarse en consideración es que las Pólizas de Seguro Grupo Vida Deudores No. 02 2620000048280, certificado No. 0013-0158-60-4018528119, que ampara la obligación No. 0013-0158-00-9622072635, cuyo tomador y asegurado fue el señor Carlos Julio Altamirano (q.e.p.d.), prestan cobertura material y temporal, de conformidad con los hechos y pretensiones expuestas en el líbelo de la demanda. Frente a la cobertura temporal, debe señalarse que los hechos, es decir, el fallecimiento ocurrió dentro de la vigencia de las pólizas de Seguro Grupo Vida Deudores, pues la misma fue suscrita el 25 de febrero del 2021, formalizada el día 9 de marzo del 2021, y terminada el día 10 de abril del 2021, con el fallecimiento del señor Altamirano. Aunado a ello, presta cobertura material en tanto ampara el fallecimiento del asegurado, riesgo que se encuentra amparado en las coberturas de las pólizas.</w:t>
            </w:r>
            <w:r w:rsidRPr="00843E73">
              <w:rPr>
                <w:rFonts w:ascii="Arial" w:hAnsi="Arial" w:cs="Arial"/>
                <w:color w:val="000000"/>
                <w:sz w:val="22"/>
                <w:szCs w:val="22"/>
                <w:bdr w:val="none" w:sz="0" w:space="0" w:color="auto" w:frame="1"/>
              </w:rPr>
              <w:t>   </w:t>
            </w:r>
          </w:p>
          <w:p w14:paraId="2820CDB0"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shd w:val="clear" w:color="auto" w:fill="FFFFFF"/>
              </w:rPr>
              <w:t> </w:t>
            </w:r>
          </w:p>
          <w:p w14:paraId="0D7FB0C2"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shd w:val="clear" w:color="auto" w:fill="FFFFFF"/>
              </w:rPr>
              <w:t>Por otro lado, frente a la obligación indemnizatoria de BBVA Seguros de Vida Colombia S.A., debe decirse que existen elementos de prueba que podrían acreditar la existencia de nulidad en los contratos de seguro como consecuencia de la reticencia. Lo anterior, como quiera que el señor Carlos Julio Altamirano tenía un diagnóstico previo de </w:t>
            </w:r>
            <w:r w:rsidRPr="00843E73">
              <w:rPr>
                <w:rFonts w:ascii="Arial" w:hAnsi="Arial" w:cs="Arial"/>
                <w:color w:val="000000"/>
                <w:sz w:val="22"/>
                <w:szCs w:val="22"/>
                <w:bdr w:val="none" w:sz="0" w:space="0" w:color="auto" w:frame="1"/>
                <w:lang w:val="es-ES"/>
              </w:rPr>
              <w:t xml:space="preserve">hipertensión arterial, obesidad, neumonía, y dislipidemia e hiperplasia de la próstata, </w:t>
            </w:r>
            <w:r w:rsidRPr="00843E73">
              <w:rPr>
                <w:rFonts w:ascii="Arial" w:hAnsi="Arial" w:cs="Arial"/>
                <w:color w:val="000000"/>
                <w:sz w:val="22"/>
                <w:szCs w:val="22"/>
                <w:bdr w:val="none" w:sz="0" w:space="0" w:color="auto" w:frame="1"/>
                <w:shd w:val="clear" w:color="auto" w:fill="FFFFFF"/>
              </w:rPr>
              <w:t>antecedentes que no fueron informados mediante las declaraciones de asegurabilidad que suscribió. Adicionalmente, cabe precisar que al interior del proceso no obran elementos de juicio que permitan acreditar, en este estado del proceso que, de haber conocido la existencia de las patologías, el contrato de seguro no se hubiera celebrado o se habría contratado en condiciones más onerosas. De manera que dependerá del debate probatorio acreditar la existencia de las patologías de forma previa a la suscripción del contrato de seguro y específicamente, dependerá del dictamen pericial rendido por experto médico, acreditar la consecuencia negocial diferente en caso de haber conocido de los antecedes médicos del señor, a efectos de que se haga efectiva la nulidad relativa del contrato de seguro.  </w:t>
            </w:r>
            <w:r w:rsidRPr="00843E73">
              <w:rPr>
                <w:rFonts w:ascii="Arial" w:hAnsi="Arial" w:cs="Arial"/>
                <w:color w:val="000000"/>
                <w:sz w:val="22"/>
                <w:szCs w:val="22"/>
                <w:bdr w:val="none" w:sz="0" w:space="0" w:color="auto" w:frame="1"/>
                <w:shd w:val="clear" w:color="auto" w:fill="FFFFFF"/>
                <w:lang w:val="es-ES"/>
              </w:rPr>
              <w:t> </w:t>
            </w:r>
          </w:p>
          <w:p w14:paraId="76ACB174"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rPr>
              <w:lastRenderedPageBreak/>
              <w:t>  </w:t>
            </w:r>
          </w:p>
          <w:p w14:paraId="5A20AB12" w14:textId="77777777" w:rsidR="008B7169" w:rsidRPr="00843E73" w:rsidRDefault="008B7169" w:rsidP="00DD0E99">
            <w:pPr>
              <w:pStyle w:val="NormalWeb"/>
              <w:shd w:val="clear" w:color="auto" w:fill="FFFFFF"/>
              <w:spacing w:before="0" w:beforeAutospacing="0" w:after="0" w:afterAutospacing="0"/>
              <w:jc w:val="both"/>
              <w:rPr>
                <w:rFonts w:ascii="Calibri" w:hAnsi="Calibri" w:cs="Calibri"/>
                <w:color w:val="000000"/>
                <w:sz w:val="22"/>
                <w:szCs w:val="22"/>
              </w:rPr>
            </w:pPr>
            <w:r w:rsidRPr="00843E73">
              <w:rPr>
                <w:rFonts w:ascii="Arial" w:hAnsi="Arial" w:cs="Arial"/>
                <w:color w:val="000000"/>
                <w:sz w:val="22"/>
                <w:szCs w:val="22"/>
                <w:bdr w:val="none" w:sz="0" w:space="0" w:color="auto" w:frame="1"/>
              </w:rPr>
              <w:t>Todo lo anterior, sin perjuicio del carácter contingente del proceso.  </w:t>
            </w:r>
          </w:p>
          <w:p w14:paraId="68857C4B" w14:textId="2399617B" w:rsidR="00BE3112" w:rsidRPr="00843E73" w:rsidRDefault="00BE3112" w:rsidP="00DD0E99">
            <w:pPr>
              <w:jc w:val="both"/>
              <w:rPr>
                <w:rFonts w:ascii="Arial" w:hAnsi="Arial" w:cs="Arial"/>
              </w:rPr>
            </w:pPr>
          </w:p>
        </w:tc>
      </w:tr>
      <w:tr w:rsidR="00EC6E87" w:rsidRPr="00843E73" w14:paraId="1BC32802" w14:textId="77777777" w:rsidTr="006421C9">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284CCC64" w14:textId="77777777" w:rsidR="00EC6E87" w:rsidRPr="00843E73" w:rsidRDefault="00271C6A" w:rsidP="00DD0E99">
            <w:pPr>
              <w:jc w:val="both"/>
              <w:rPr>
                <w:rFonts w:ascii="Arial" w:eastAsia="Times New Roman" w:hAnsi="Arial" w:cs="Arial"/>
                <w:b/>
                <w:bCs/>
                <w:color w:val="FFFFFF"/>
                <w:lang w:eastAsia="es-CO"/>
              </w:rPr>
            </w:pPr>
            <w:r w:rsidRPr="00843E73">
              <w:rPr>
                <w:rFonts w:ascii="Arial" w:eastAsia="Times New Roman" w:hAnsi="Arial" w:cs="Arial"/>
                <w:b/>
                <w:bCs/>
                <w:color w:val="FFFFFF"/>
                <w:lang w:eastAsia="es-CO"/>
              </w:rPr>
              <w:lastRenderedPageBreak/>
              <w:t>Ú</w:t>
            </w:r>
            <w:r w:rsidR="00EC6E87" w:rsidRPr="00843E73">
              <w:rPr>
                <w:rFonts w:ascii="Arial" w:eastAsia="Times New Roman" w:hAnsi="Arial" w:cs="Arial"/>
                <w:b/>
                <w:bCs/>
                <w:color w:val="FFFFFF"/>
                <w:lang w:eastAsia="es-CO"/>
              </w:rPr>
              <w:t>LTIMA ACTUACIÓN</w:t>
            </w:r>
          </w:p>
        </w:tc>
        <w:tc>
          <w:tcPr>
            <w:tcW w:w="5954" w:type="dxa"/>
            <w:tcBorders>
              <w:top w:val="nil"/>
              <w:left w:val="nil"/>
              <w:bottom w:val="single" w:sz="8" w:space="0" w:color="auto"/>
              <w:right w:val="single" w:sz="8" w:space="0" w:color="auto"/>
            </w:tcBorders>
            <w:shd w:val="clear" w:color="auto" w:fill="auto"/>
            <w:vAlign w:val="center"/>
            <w:hideMark/>
          </w:tcPr>
          <w:p w14:paraId="2549D027" w14:textId="0DDCA9D6" w:rsidR="00280969" w:rsidRPr="00843E73" w:rsidRDefault="00EB6AF2" w:rsidP="00DD0E99">
            <w:pPr>
              <w:jc w:val="both"/>
              <w:rPr>
                <w:rFonts w:ascii="Arial" w:eastAsia="Times New Roman" w:hAnsi="Arial" w:cs="Arial"/>
                <w:color w:val="000000"/>
                <w:lang w:eastAsia="es-CO"/>
              </w:rPr>
            </w:pPr>
            <w:r w:rsidRPr="00843E73">
              <w:rPr>
                <w:rFonts w:ascii="Arial" w:eastAsia="Times New Roman" w:hAnsi="Arial" w:cs="Arial"/>
                <w:color w:val="000000"/>
                <w:lang w:eastAsia="es-CO"/>
              </w:rPr>
              <w:t>Contestación a la demanda, radicada el día 10 de mayo del 2024</w:t>
            </w:r>
          </w:p>
        </w:tc>
      </w:tr>
    </w:tbl>
    <w:p w14:paraId="28E2A547" w14:textId="77777777" w:rsidR="00EC6E87" w:rsidRPr="00843E73" w:rsidRDefault="00EC6E87" w:rsidP="00DD0E99">
      <w:pPr>
        <w:jc w:val="both"/>
        <w:rPr>
          <w:rFonts w:ascii="Arial" w:hAnsi="Arial" w:cs="Arial"/>
          <w:b/>
          <w:u w:val="single"/>
        </w:rPr>
      </w:pPr>
    </w:p>
    <w:sectPr w:rsidR="00EC6E87" w:rsidRPr="00843E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6051" w14:textId="77777777" w:rsidR="00074C73" w:rsidRDefault="00074C73" w:rsidP="00826151">
      <w:r>
        <w:separator/>
      </w:r>
    </w:p>
  </w:endnote>
  <w:endnote w:type="continuationSeparator" w:id="0">
    <w:p w14:paraId="143FF43F" w14:textId="77777777" w:rsidR="00074C73" w:rsidRDefault="00074C73"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4681" w14:textId="77777777" w:rsidR="00074C73" w:rsidRDefault="00074C73" w:rsidP="00826151">
      <w:r>
        <w:separator/>
      </w:r>
    </w:p>
  </w:footnote>
  <w:footnote w:type="continuationSeparator" w:id="0">
    <w:p w14:paraId="7F5BA6A7" w14:textId="77777777" w:rsidR="00074C73" w:rsidRDefault="00074C73" w:rsidP="008261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249B"/>
    <w:multiLevelType w:val="hybridMultilevel"/>
    <w:tmpl w:val="7966BF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DC47F4"/>
    <w:multiLevelType w:val="hybridMultilevel"/>
    <w:tmpl w:val="88324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1E3A54"/>
    <w:multiLevelType w:val="hybridMultilevel"/>
    <w:tmpl w:val="CF441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41431D"/>
    <w:multiLevelType w:val="hybridMultilevel"/>
    <w:tmpl w:val="322E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FE14D7"/>
    <w:multiLevelType w:val="hybridMultilevel"/>
    <w:tmpl w:val="BCA6D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8772A4"/>
    <w:multiLevelType w:val="multilevel"/>
    <w:tmpl w:val="8C64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154C9"/>
    <w:multiLevelType w:val="hybridMultilevel"/>
    <w:tmpl w:val="0936D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4C5664"/>
    <w:multiLevelType w:val="hybridMultilevel"/>
    <w:tmpl w:val="1BB66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243963F1"/>
    <w:multiLevelType w:val="hybridMultilevel"/>
    <w:tmpl w:val="6ED8AD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25961754"/>
    <w:multiLevelType w:val="hybridMultilevel"/>
    <w:tmpl w:val="69043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071B43"/>
    <w:multiLevelType w:val="hybridMultilevel"/>
    <w:tmpl w:val="9F18C4C4"/>
    <w:lvl w:ilvl="0" w:tplc="5E80EB7C">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D4D0C81"/>
    <w:multiLevelType w:val="hybridMultilevel"/>
    <w:tmpl w:val="152A725A"/>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nsid w:val="2D704C15"/>
    <w:multiLevelType w:val="hybridMultilevel"/>
    <w:tmpl w:val="D910E8E0"/>
    <w:lvl w:ilvl="0" w:tplc="A49EDEE6">
      <w:start w:val="1"/>
      <w:numFmt w:val="decimal"/>
      <w:lvlText w:val="%1."/>
      <w:lvlJc w:val="left"/>
      <w:pPr>
        <w:ind w:left="720" w:hanging="360"/>
      </w:pPr>
      <w:rPr>
        <w:rFonts w:ascii="Calibri" w:eastAsiaTheme="minorHAnsi" w:hAnsi="Calibri"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F075CA7"/>
    <w:multiLevelType w:val="hybridMultilevel"/>
    <w:tmpl w:val="30DE3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B24DF4"/>
    <w:multiLevelType w:val="hybridMultilevel"/>
    <w:tmpl w:val="D62E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5F3C22"/>
    <w:multiLevelType w:val="hybridMultilevel"/>
    <w:tmpl w:val="C03083AE"/>
    <w:lvl w:ilvl="0" w:tplc="A9686D4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nsid w:val="42C12978"/>
    <w:multiLevelType w:val="hybridMultilevel"/>
    <w:tmpl w:val="7954E81A"/>
    <w:lvl w:ilvl="0" w:tplc="EAE4D5CC">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B5117D3"/>
    <w:multiLevelType w:val="hybridMultilevel"/>
    <w:tmpl w:val="C69A9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B827E62"/>
    <w:multiLevelType w:val="hybridMultilevel"/>
    <w:tmpl w:val="C9844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DA27AD6"/>
    <w:multiLevelType w:val="hybridMultilevel"/>
    <w:tmpl w:val="FA9CE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7709DF"/>
    <w:multiLevelType w:val="hybridMultilevel"/>
    <w:tmpl w:val="AFF4D9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2FE19BD"/>
    <w:multiLevelType w:val="hybridMultilevel"/>
    <w:tmpl w:val="FE080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91F3644"/>
    <w:multiLevelType w:val="hybridMultilevel"/>
    <w:tmpl w:val="19BA6BEA"/>
    <w:lvl w:ilvl="0" w:tplc="707A5A2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BEC489E"/>
    <w:multiLevelType w:val="hybridMultilevel"/>
    <w:tmpl w:val="9E7A2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FCB4189"/>
    <w:multiLevelType w:val="hybridMultilevel"/>
    <w:tmpl w:val="81844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8AF525E"/>
    <w:multiLevelType w:val="multilevel"/>
    <w:tmpl w:val="729A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5341FD"/>
    <w:multiLevelType w:val="hybridMultilevel"/>
    <w:tmpl w:val="291C6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88E23E1"/>
    <w:multiLevelType w:val="hybridMultilevel"/>
    <w:tmpl w:val="3FB4663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C116D71"/>
    <w:multiLevelType w:val="hybridMultilevel"/>
    <w:tmpl w:val="F176DB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C4777A5"/>
    <w:multiLevelType w:val="hybridMultilevel"/>
    <w:tmpl w:val="DF648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21"/>
  </w:num>
  <w:num w:numId="5">
    <w:abstractNumId w:val="28"/>
  </w:num>
  <w:num w:numId="6">
    <w:abstractNumId w:val="10"/>
  </w:num>
  <w:num w:numId="7">
    <w:abstractNumId w:val="27"/>
  </w:num>
  <w:num w:numId="8">
    <w:abstractNumId w:val="24"/>
  </w:num>
  <w:num w:numId="9">
    <w:abstractNumId w:val="16"/>
  </w:num>
  <w:num w:numId="10">
    <w:abstractNumId w:val="14"/>
  </w:num>
  <w:num w:numId="11">
    <w:abstractNumId w:val="9"/>
  </w:num>
  <w:num w:numId="12">
    <w:abstractNumId w:val="18"/>
  </w:num>
  <w:num w:numId="13">
    <w:abstractNumId w:val="22"/>
  </w:num>
  <w:num w:numId="14">
    <w:abstractNumId w:val="4"/>
  </w:num>
  <w:num w:numId="15">
    <w:abstractNumId w:val="6"/>
  </w:num>
  <w:num w:numId="16">
    <w:abstractNumId w:val="1"/>
  </w:num>
  <w:num w:numId="17">
    <w:abstractNumId w:val="0"/>
  </w:num>
  <w:num w:numId="18">
    <w:abstractNumId w:val="23"/>
  </w:num>
  <w:num w:numId="19">
    <w:abstractNumId w:val="19"/>
  </w:num>
  <w:num w:numId="20">
    <w:abstractNumId w:val="13"/>
  </w:num>
  <w:num w:numId="21">
    <w:abstractNumId w:val="8"/>
  </w:num>
  <w:num w:numId="22">
    <w:abstractNumId w:val="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0"/>
  </w:num>
  <w:num w:numId="26">
    <w:abstractNumId w:val="2"/>
  </w:num>
  <w:num w:numId="27">
    <w:abstractNumId w:val="17"/>
  </w:num>
  <w:num w:numId="28">
    <w:abstractNumId w:val="29"/>
  </w:num>
  <w:num w:numId="29">
    <w:abstractNumId w:val="5"/>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4"/>
    <w:rsid w:val="00012FE8"/>
    <w:rsid w:val="00014ECD"/>
    <w:rsid w:val="00041F9E"/>
    <w:rsid w:val="00071389"/>
    <w:rsid w:val="000718A0"/>
    <w:rsid w:val="00074C73"/>
    <w:rsid w:val="000A5484"/>
    <w:rsid w:val="000A7467"/>
    <w:rsid w:val="000A7AF5"/>
    <w:rsid w:val="000A7DAE"/>
    <w:rsid w:val="000B68DA"/>
    <w:rsid w:val="000C1075"/>
    <w:rsid w:val="000D3B62"/>
    <w:rsid w:val="000D4464"/>
    <w:rsid w:val="000D5B42"/>
    <w:rsid w:val="000F117A"/>
    <w:rsid w:val="000F3F2E"/>
    <w:rsid w:val="000F4421"/>
    <w:rsid w:val="0011351A"/>
    <w:rsid w:val="00117216"/>
    <w:rsid w:val="0012521C"/>
    <w:rsid w:val="001254EF"/>
    <w:rsid w:val="001315B6"/>
    <w:rsid w:val="0013321C"/>
    <w:rsid w:val="001378D3"/>
    <w:rsid w:val="00141E53"/>
    <w:rsid w:val="00154730"/>
    <w:rsid w:val="001626B1"/>
    <w:rsid w:val="00175568"/>
    <w:rsid w:val="0017590C"/>
    <w:rsid w:val="00187A6C"/>
    <w:rsid w:val="00187BA9"/>
    <w:rsid w:val="001927E9"/>
    <w:rsid w:val="00193167"/>
    <w:rsid w:val="001B0A2E"/>
    <w:rsid w:val="001B4299"/>
    <w:rsid w:val="001C3925"/>
    <w:rsid w:val="001C73A2"/>
    <w:rsid w:val="001D4617"/>
    <w:rsid w:val="001D4FD3"/>
    <w:rsid w:val="002057CE"/>
    <w:rsid w:val="00215B57"/>
    <w:rsid w:val="00234698"/>
    <w:rsid w:val="00251666"/>
    <w:rsid w:val="00264D72"/>
    <w:rsid w:val="00271C6A"/>
    <w:rsid w:val="0028040A"/>
    <w:rsid w:val="00280969"/>
    <w:rsid w:val="00291034"/>
    <w:rsid w:val="00295CC8"/>
    <w:rsid w:val="002A10E4"/>
    <w:rsid w:val="002B20D0"/>
    <w:rsid w:val="002C1BF9"/>
    <w:rsid w:val="002C3852"/>
    <w:rsid w:val="002C541A"/>
    <w:rsid w:val="002C57E8"/>
    <w:rsid w:val="002C60A4"/>
    <w:rsid w:val="002D6C7E"/>
    <w:rsid w:val="002E0BF7"/>
    <w:rsid w:val="002E3D7D"/>
    <w:rsid w:val="002E6E12"/>
    <w:rsid w:val="002F417D"/>
    <w:rsid w:val="00326105"/>
    <w:rsid w:val="0033701E"/>
    <w:rsid w:val="00355FA7"/>
    <w:rsid w:val="00367F1A"/>
    <w:rsid w:val="003708F4"/>
    <w:rsid w:val="003748AB"/>
    <w:rsid w:val="00381724"/>
    <w:rsid w:val="00384D99"/>
    <w:rsid w:val="00391C1D"/>
    <w:rsid w:val="0039457C"/>
    <w:rsid w:val="003A283E"/>
    <w:rsid w:val="003D0E9D"/>
    <w:rsid w:val="003D3632"/>
    <w:rsid w:val="003E1913"/>
    <w:rsid w:val="003F43D5"/>
    <w:rsid w:val="003F6D87"/>
    <w:rsid w:val="00403AE0"/>
    <w:rsid w:val="0040437D"/>
    <w:rsid w:val="004241B7"/>
    <w:rsid w:val="00425F72"/>
    <w:rsid w:val="00431F48"/>
    <w:rsid w:val="004418F2"/>
    <w:rsid w:val="00441B2C"/>
    <w:rsid w:val="004424C2"/>
    <w:rsid w:val="00443EC7"/>
    <w:rsid w:val="004623C9"/>
    <w:rsid w:val="00462834"/>
    <w:rsid w:val="004646D9"/>
    <w:rsid w:val="00484AAB"/>
    <w:rsid w:val="004963B8"/>
    <w:rsid w:val="0049712D"/>
    <w:rsid w:val="004A34B7"/>
    <w:rsid w:val="004A661E"/>
    <w:rsid w:val="004B0D78"/>
    <w:rsid w:val="004C33FD"/>
    <w:rsid w:val="004C4224"/>
    <w:rsid w:val="004E36AB"/>
    <w:rsid w:val="005118D3"/>
    <w:rsid w:val="00522B99"/>
    <w:rsid w:val="00530F05"/>
    <w:rsid w:val="00532C74"/>
    <w:rsid w:val="0053694F"/>
    <w:rsid w:val="005414D3"/>
    <w:rsid w:val="00557422"/>
    <w:rsid w:val="00563D54"/>
    <w:rsid w:val="005646A9"/>
    <w:rsid w:val="005800E2"/>
    <w:rsid w:val="00595781"/>
    <w:rsid w:val="00596F40"/>
    <w:rsid w:val="005A1888"/>
    <w:rsid w:val="005A25FD"/>
    <w:rsid w:val="005A40ED"/>
    <w:rsid w:val="005D301D"/>
    <w:rsid w:val="005D45D9"/>
    <w:rsid w:val="005F5156"/>
    <w:rsid w:val="0060500B"/>
    <w:rsid w:val="006079E3"/>
    <w:rsid w:val="00611D11"/>
    <w:rsid w:val="006178AA"/>
    <w:rsid w:val="0062502A"/>
    <w:rsid w:val="00635005"/>
    <w:rsid w:val="00635C2F"/>
    <w:rsid w:val="006421C9"/>
    <w:rsid w:val="0066755B"/>
    <w:rsid w:val="00671C8F"/>
    <w:rsid w:val="00675ADB"/>
    <w:rsid w:val="00687004"/>
    <w:rsid w:val="006A4C76"/>
    <w:rsid w:val="006B0D59"/>
    <w:rsid w:val="006C2A50"/>
    <w:rsid w:val="006C6750"/>
    <w:rsid w:val="006D372A"/>
    <w:rsid w:val="006D7D51"/>
    <w:rsid w:val="006F32D9"/>
    <w:rsid w:val="006F3527"/>
    <w:rsid w:val="006F621E"/>
    <w:rsid w:val="00705E58"/>
    <w:rsid w:val="00724812"/>
    <w:rsid w:val="0073029E"/>
    <w:rsid w:val="00731318"/>
    <w:rsid w:val="007335F9"/>
    <w:rsid w:val="00741913"/>
    <w:rsid w:val="00762217"/>
    <w:rsid w:val="007631D4"/>
    <w:rsid w:val="0076437E"/>
    <w:rsid w:val="00767CE7"/>
    <w:rsid w:val="007707E1"/>
    <w:rsid w:val="007756C8"/>
    <w:rsid w:val="00793657"/>
    <w:rsid w:val="007A75F0"/>
    <w:rsid w:val="007C0D8C"/>
    <w:rsid w:val="007D42C9"/>
    <w:rsid w:val="007E18A3"/>
    <w:rsid w:val="007E6DF2"/>
    <w:rsid w:val="007E762B"/>
    <w:rsid w:val="007F7BE8"/>
    <w:rsid w:val="00823498"/>
    <w:rsid w:val="00826151"/>
    <w:rsid w:val="00834C28"/>
    <w:rsid w:val="00843E73"/>
    <w:rsid w:val="008470AB"/>
    <w:rsid w:val="00856728"/>
    <w:rsid w:val="00860471"/>
    <w:rsid w:val="00862E4A"/>
    <w:rsid w:val="00863C5E"/>
    <w:rsid w:val="008642BA"/>
    <w:rsid w:val="0087694B"/>
    <w:rsid w:val="00884866"/>
    <w:rsid w:val="008A4C36"/>
    <w:rsid w:val="008B1522"/>
    <w:rsid w:val="008B503D"/>
    <w:rsid w:val="008B54A7"/>
    <w:rsid w:val="008B6732"/>
    <w:rsid w:val="008B7169"/>
    <w:rsid w:val="008B75FB"/>
    <w:rsid w:val="008C05CC"/>
    <w:rsid w:val="008D2E9F"/>
    <w:rsid w:val="008D51F8"/>
    <w:rsid w:val="008E26F5"/>
    <w:rsid w:val="008E5692"/>
    <w:rsid w:val="008F6879"/>
    <w:rsid w:val="009014DA"/>
    <w:rsid w:val="00930620"/>
    <w:rsid w:val="009338A0"/>
    <w:rsid w:val="00933D4B"/>
    <w:rsid w:val="009345A8"/>
    <w:rsid w:val="00937AD5"/>
    <w:rsid w:val="009544EA"/>
    <w:rsid w:val="0095620F"/>
    <w:rsid w:val="0097180F"/>
    <w:rsid w:val="009772A4"/>
    <w:rsid w:val="0098368E"/>
    <w:rsid w:val="00986F18"/>
    <w:rsid w:val="0099406A"/>
    <w:rsid w:val="009956E0"/>
    <w:rsid w:val="009A54D1"/>
    <w:rsid w:val="009C5088"/>
    <w:rsid w:val="009E12EB"/>
    <w:rsid w:val="009E59F0"/>
    <w:rsid w:val="009E6A46"/>
    <w:rsid w:val="00A01BEF"/>
    <w:rsid w:val="00A12BF7"/>
    <w:rsid w:val="00A21053"/>
    <w:rsid w:val="00A25AF9"/>
    <w:rsid w:val="00A270B6"/>
    <w:rsid w:val="00A33580"/>
    <w:rsid w:val="00A33D69"/>
    <w:rsid w:val="00A365F4"/>
    <w:rsid w:val="00A42CD7"/>
    <w:rsid w:val="00A45812"/>
    <w:rsid w:val="00A657F2"/>
    <w:rsid w:val="00A70131"/>
    <w:rsid w:val="00A80956"/>
    <w:rsid w:val="00A95A1B"/>
    <w:rsid w:val="00AA292C"/>
    <w:rsid w:val="00AC47F1"/>
    <w:rsid w:val="00AD227C"/>
    <w:rsid w:val="00AD4B16"/>
    <w:rsid w:val="00AD4DF1"/>
    <w:rsid w:val="00AF1AA9"/>
    <w:rsid w:val="00AF5DCC"/>
    <w:rsid w:val="00AF67F0"/>
    <w:rsid w:val="00B14E3D"/>
    <w:rsid w:val="00B27D6D"/>
    <w:rsid w:val="00B319A5"/>
    <w:rsid w:val="00B3274B"/>
    <w:rsid w:val="00B51244"/>
    <w:rsid w:val="00B514A4"/>
    <w:rsid w:val="00B56C1C"/>
    <w:rsid w:val="00B60FBC"/>
    <w:rsid w:val="00B70E9C"/>
    <w:rsid w:val="00B801B3"/>
    <w:rsid w:val="00B8107B"/>
    <w:rsid w:val="00B929CB"/>
    <w:rsid w:val="00B9424E"/>
    <w:rsid w:val="00B978B1"/>
    <w:rsid w:val="00BA04AE"/>
    <w:rsid w:val="00BA37AE"/>
    <w:rsid w:val="00BA799D"/>
    <w:rsid w:val="00BA7B26"/>
    <w:rsid w:val="00BB2348"/>
    <w:rsid w:val="00BC00AD"/>
    <w:rsid w:val="00BE3112"/>
    <w:rsid w:val="00C045D7"/>
    <w:rsid w:val="00C1443F"/>
    <w:rsid w:val="00C20A39"/>
    <w:rsid w:val="00C2317B"/>
    <w:rsid w:val="00C30635"/>
    <w:rsid w:val="00C451BD"/>
    <w:rsid w:val="00C4567A"/>
    <w:rsid w:val="00C50B95"/>
    <w:rsid w:val="00C50CF8"/>
    <w:rsid w:val="00C53044"/>
    <w:rsid w:val="00C57175"/>
    <w:rsid w:val="00C6402B"/>
    <w:rsid w:val="00C70DE5"/>
    <w:rsid w:val="00C839F8"/>
    <w:rsid w:val="00C865F6"/>
    <w:rsid w:val="00C91378"/>
    <w:rsid w:val="00CA1129"/>
    <w:rsid w:val="00CA764A"/>
    <w:rsid w:val="00CC7084"/>
    <w:rsid w:val="00CD244C"/>
    <w:rsid w:val="00CD6408"/>
    <w:rsid w:val="00CD7574"/>
    <w:rsid w:val="00CE2109"/>
    <w:rsid w:val="00CE430E"/>
    <w:rsid w:val="00CE5B68"/>
    <w:rsid w:val="00CF0559"/>
    <w:rsid w:val="00D00FB0"/>
    <w:rsid w:val="00D03BC7"/>
    <w:rsid w:val="00D05120"/>
    <w:rsid w:val="00D06C7D"/>
    <w:rsid w:val="00D110F4"/>
    <w:rsid w:val="00D26863"/>
    <w:rsid w:val="00D3101D"/>
    <w:rsid w:val="00D346DC"/>
    <w:rsid w:val="00D44BAF"/>
    <w:rsid w:val="00D55200"/>
    <w:rsid w:val="00D55CCD"/>
    <w:rsid w:val="00D66936"/>
    <w:rsid w:val="00D74BA6"/>
    <w:rsid w:val="00D8014E"/>
    <w:rsid w:val="00D823B1"/>
    <w:rsid w:val="00D87107"/>
    <w:rsid w:val="00DB536B"/>
    <w:rsid w:val="00DB6EA9"/>
    <w:rsid w:val="00DC28E3"/>
    <w:rsid w:val="00DC5DC5"/>
    <w:rsid w:val="00DD0E99"/>
    <w:rsid w:val="00DD6373"/>
    <w:rsid w:val="00DF48CB"/>
    <w:rsid w:val="00E01E39"/>
    <w:rsid w:val="00E03122"/>
    <w:rsid w:val="00E041E5"/>
    <w:rsid w:val="00E04646"/>
    <w:rsid w:val="00E0681A"/>
    <w:rsid w:val="00E07A7B"/>
    <w:rsid w:val="00E20E3C"/>
    <w:rsid w:val="00E2477F"/>
    <w:rsid w:val="00E3389E"/>
    <w:rsid w:val="00E34576"/>
    <w:rsid w:val="00E34CAA"/>
    <w:rsid w:val="00E42E6C"/>
    <w:rsid w:val="00E450B8"/>
    <w:rsid w:val="00E511B4"/>
    <w:rsid w:val="00E53776"/>
    <w:rsid w:val="00E7677A"/>
    <w:rsid w:val="00E80122"/>
    <w:rsid w:val="00E84F9E"/>
    <w:rsid w:val="00E93C2B"/>
    <w:rsid w:val="00EB0FAF"/>
    <w:rsid w:val="00EB51C0"/>
    <w:rsid w:val="00EB5FC4"/>
    <w:rsid w:val="00EB6AF2"/>
    <w:rsid w:val="00EB72FF"/>
    <w:rsid w:val="00EC30DC"/>
    <w:rsid w:val="00EC6E87"/>
    <w:rsid w:val="00EE2E53"/>
    <w:rsid w:val="00EE4274"/>
    <w:rsid w:val="00EF294E"/>
    <w:rsid w:val="00EF7139"/>
    <w:rsid w:val="00F0059C"/>
    <w:rsid w:val="00F06113"/>
    <w:rsid w:val="00F34082"/>
    <w:rsid w:val="00F37179"/>
    <w:rsid w:val="00F50DAC"/>
    <w:rsid w:val="00F548EA"/>
    <w:rsid w:val="00F56489"/>
    <w:rsid w:val="00F56A06"/>
    <w:rsid w:val="00F575C0"/>
    <w:rsid w:val="00F679C0"/>
    <w:rsid w:val="00FA4AAA"/>
    <w:rsid w:val="00FB061C"/>
    <w:rsid w:val="00FB3800"/>
    <w:rsid w:val="00FD080C"/>
    <w:rsid w:val="00FD2094"/>
    <w:rsid w:val="00FE038B"/>
    <w:rsid w:val="00FF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60A4"/>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marknr95q9ko6">
    <w:name w:val="marknr95q9ko6"/>
    <w:basedOn w:val="Fuentedeprrafopredeter"/>
    <w:rsid w:val="0012521C"/>
  </w:style>
  <w:style w:type="character" w:customStyle="1" w:styleId="markjjirrvaep">
    <w:name w:val="markjjirrvaep"/>
    <w:basedOn w:val="Fuentedeprrafopredeter"/>
    <w:rsid w:val="0012521C"/>
  </w:style>
  <w:style w:type="paragraph" w:styleId="NormalWeb">
    <w:name w:val="Normal (Web)"/>
    <w:basedOn w:val="Normal"/>
    <w:uiPriority w:val="99"/>
    <w:semiHidden/>
    <w:unhideWhenUsed/>
    <w:rsid w:val="008B7169"/>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816655101">
      <w:bodyDiv w:val="1"/>
      <w:marLeft w:val="0"/>
      <w:marRight w:val="0"/>
      <w:marTop w:val="0"/>
      <w:marBottom w:val="0"/>
      <w:divBdr>
        <w:top w:val="none" w:sz="0" w:space="0" w:color="auto"/>
        <w:left w:val="none" w:sz="0" w:space="0" w:color="auto"/>
        <w:bottom w:val="none" w:sz="0" w:space="0" w:color="auto"/>
        <w:right w:val="none" w:sz="0" w:space="0" w:color="auto"/>
      </w:divBdr>
      <w:divsChild>
        <w:div w:id="523441544">
          <w:marLeft w:val="0"/>
          <w:marRight w:val="0"/>
          <w:marTop w:val="0"/>
          <w:marBottom w:val="0"/>
          <w:divBdr>
            <w:top w:val="none" w:sz="0" w:space="0" w:color="auto"/>
            <w:left w:val="none" w:sz="0" w:space="0" w:color="auto"/>
            <w:bottom w:val="none" w:sz="0" w:space="0" w:color="auto"/>
            <w:right w:val="none" w:sz="0" w:space="0" w:color="auto"/>
          </w:divBdr>
        </w:div>
        <w:div w:id="14890818">
          <w:marLeft w:val="0"/>
          <w:marRight w:val="0"/>
          <w:marTop w:val="0"/>
          <w:marBottom w:val="0"/>
          <w:divBdr>
            <w:top w:val="none" w:sz="0" w:space="0" w:color="auto"/>
            <w:left w:val="none" w:sz="0" w:space="0" w:color="auto"/>
            <w:bottom w:val="none" w:sz="0" w:space="0" w:color="auto"/>
            <w:right w:val="none" w:sz="0" w:space="0" w:color="auto"/>
          </w:divBdr>
        </w:div>
        <w:div w:id="124662209">
          <w:marLeft w:val="0"/>
          <w:marRight w:val="0"/>
          <w:marTop w:val="0"/>
          <w:marBottom w:val="0"/>
          <w:divBdr>
            <w:top w:val="none" w:sz="0" w:space="0" w:color="auto"/>
            <w:left w:val="none" w:sz="0" w:space="0" w:color="auto"/>
            <w:bottom w:val="none" w:sz="0" w:space="0" w:color="auto"/>
            <w:right w:val="none" w:sz="0" w:space="0" w:color="auto"/>
          </w:divBdr>
        </w:div>
        <w:div w:id="1208953262">
          <w:marLeft w:val="0"/>
          <w:marRight w:val="0"/>
          <w:marTop w:val="0"/>
          <w:marBottom w:val="0"/>
          <w:divBdr>
            <w:top w:val="none" w:sz="0" w:space="0" w:color="auto"/>
            <w:left w:val="none" w:sz="0" w:space="0" w:color="auto"/>
            <w:bottom w:val="none" w:sz="0" w:space="0" w:color="auto"/>
            <w:right w:val="none" w:sz="0" w:space="0" w:color="auto"/>
          </w:divBdr>
        </w:div>
        <w:div w:id="2122870786">
          <w:marLeft w:val="0"/>
          <w:marRight w:val="0"/>
          <w:marTop w:val="0"/>
          <w:marBottom w:val="0"/>
          <w:divBdr>
            <w:top w:val="none" w:sz="0" w:space="0" w:color="auto"/>
            <w:left w:val="none" w:sz="0" w:space="0" w:color="auto"/>
            <w:bottom w:val="none" w:sz="0" w:space="0" w:color="auto"/>
            <w:right w:val="none" w:sz="0" w:space="0" w:color="auto"/>
          </w:divBdr>
        </w:div>
        <w:div w:id="347802889">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1090933312">
      <w:bodyDiv w:val="1"/>
      <w:marLeft w:val="0"/>
      <w:marRight w:val="0"/>
      <w:marTop w:val="0"/>
      <w:marBottom w:val="0"/>
      <w:divBdr>
        <w:top w:val="none" w:sz="0" w:space="0" w:color="auto"/>
        <w:left w:val="none" w:sz="0" w:space="0" w:color="auto"/>
        <w:bottom w:val="none" w:sz="0" w:space="0" w:color="auto"/>
        <w:right w:val="none" w:sz="0" w:space="0" w:color="auto"/>
      </w:divBdr>
      <w:divsChild>
        <w:div w:id="2125348912">
          <w:marLeft w:val="0"/>
          <w:marRight w:val="0"/>
          <w:marTop w:val="0"/>
          <w:marBottom w:val="0"/>
          <w:divBdr>
            <w:top w:val="none" w:sz="0" w:space="0" w:color="auto"/>
            <w:left w:val="none" w:sz="0" w:space="0" w:color="auto"/>
            <w:bottom w:val="none" w:sz="0" w:space="0" w:color="auto"/>
            <w:right w:val="none" w:sz="0" w:space="0" w:color="auto"/>
          </w:divBdr>
        </w:div>
        <w:div w:id="516039714">
          <w:marLeft w:val="0"/>
          <w:marRight w:val="0"/>
          <w:marTop w:val="0"/>
          <w:marBottom w:val="0"/>
          <w:divBdr>
            <w:top w:val="none" w:sz="0" w:space="0" w:color="auto"/>
            <w:left w:val="none" w:sz="0" w:space="0" w:color="auto"/>
            <w:bottom w:val="none" w:sz="0" w:space="0" w:color="auto"/>
            <w:right w:val="none" w:sz="0" w:space="0" w:color="auto"/>
          </w:divBdr>
        </w:div>
        <w:div w:id="1124345721">
          <w:marLeft w:val="0"/>
          <w:marRight w:val="0"/>
          <w:marTop w:val="0"/>
          <w:marBottom w:val="0"/>
          <w:divBdr>
            <w:top w:val="none" w:sz="0" w:space="0" w:color="auto"/>
            <w:left w:val="none" w:sz="0" w:space="0" w:color="auto"/>
            <w:bottom w:val="none" w:sz="0" w:space="0" w:color="auto"/>
            <w:right w:val="none" w:sz="0" w:space="0" w:color="auto"/>
          </w:divBdr>
        </w:div>
        <w:div w:id="1678774245">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4" ma:contentTypeDescription="Crear nuevo documento." ma:contentTypeScope="" ma:versionID="1d0f7bc2eb83b66115e34bf51dbe6bfd">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2aa01a208a970a54f27858f6c957c500"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51AA-236A-4620-92D8-0B0404AA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4.xml><?xml version="1.0" encoding="utf-8"?>
<ds:datastoreItem xmlns:ds="http://schemas.openxmlformats.org/officeDocument/2006/customXml" ds:itemID="{7B07D559-38A6-6D40-AB73-F59219F5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1322</Words>
  <Characters>7273</Characters>
  <Application>Microsoft Macintosh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Ana María Barón Mendoza</cp:lastModifiedBy>
  <cp:revision>3</cp:revision>
  <cp:lastPrinted>2020-07-02T22:48:00Z</cp:lastPrinted>
  <dcterms:created xsi:type="dcterms:W3CDTF">2024-05-17T20:43:00Z</dcterms:created>
  <dcterms:modified xsi:type="dcterms:W3CDTF">2024-05-31T17:03:00Z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