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05F37" w14:textId="5773CB64" w:rsidR="006A6ECF" w:rsidRDefault="006A6ECF" w:rsidP="00B0059B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</w:pPr>
    </w:p>
    <w:p w14:paraId="104EA1FC" w14:textId="33A8EE2E" w:rsidR="004A2274" w:rsidRDefault="004A2274" w:rsidP="00B0059B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</w:pPr>
    </w:p>
    <w:p w14:paraId="72C625F0" w14:textId="36AA501D" w:rsidR="004A2274" w:rsidRDefault="004A2274" w:rsidP="00B0059B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</w:pPr>
    </w:p>
    <w:p w14:paraId="3ED03FFA" w14:textId="77777777" w:rsidR="004A2274" w:rsidRDefault="004A2274" w:rsidP="00B0059B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</w:pPr>
    </w:p>
    <w:p w14:paraId="2F0ED74E" w14:textId="6AB0905B" w:rsidR="00B0059B" w:rsidRDefault="006A6ECF" w:rsidP="00B0059B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E</w:t>
      </w:r>
      <w:r w:rsidR="00B0059B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stimad</w:t>
      </w:r>
      <w:r w:rsidR="002F7F15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os.</w:t>
      </w:r>
    </w:p>
    <w:p w14:paraId="686B3A8D" w14:textId="77777777" w:rsidR="00B0059B" w:rsidRDefault="00B0059B" w:rsidP="00B0059B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</w:pPr>
    </w:p>
    <w:p w14:paraId="655F5160" w14:textId="09D68F8A" w:rsidR="00D0646E" w:rsidRDefault="00B0059B" w:rsidP="00B0059B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Comedidamente enviamos el estudio frente</w:t>
      </w:r>
      <w:r w:rsidRPr="00B0059B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 a la viabilidad de cobro a favor de </w:t>
      </w:r>
      <w:r w:rsidR="002F7F15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CHUBB SEGUROS COLOMBIA S.A.</w:t>
      </w:r>
      <w:r w:rsidRPr="00B0059B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 en </w:t>
      </w:r>
      <w:r w:rsidR="00D0646E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el proceso que a continuación se relaciona:</w:t>
      </w:r>
    </w:p>
    <w:p w14:paraId="074D652C" w14:textId="3F2EF9C3" w:rsidR="00D0646E" w:rsidRDefault="00D0646E" w:rsidP="00B0059B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431"/>
      </w:tblGrid>
      <w:tr w:rsidR="00D0646E" w14:paraId="140688DA" w14:textId="77777777" w:rsidTr="00D0646E">
        <w:tc>
          <w:tcPr>
            <w:tcW w:w="3397" w:type="dxa"/>
          </w:tcPr>
          <w:p w14:paraId="2796B6FA" w14:textId="0DFB7E03" w:rsidR="00D0646E" w:rsidRDefault="00D0646E" w:rsidP="00B0059B">
            <w:pPr>
              <w:jc w:val="both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  <w:t>PROCESO:</w:t>
            </w:r>
          </w:p>
        </w:tc>
        <w:tc>
          <w:tcPr>
            <w:tcW w:w="5431" w:type="dxa"/>
          </w:tcPr>
          <w:p w14:paraId="5BF65422" w14:textId="283E8BC7" w:rsidR="00D0646E" w:rsidRDefault="00D0646E" w:rsidP="00B0059B">
            <w:pPr>
              <w:jc w:val="both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  <w:t>DECLARATIVO DE RESPONSABILIDAD CIVIL</w:t>
            </w:r>
          </w:p>
        </w:tc>
      </w:tr>
      <w:tr w:rsidR="00D0646E" w14:paraId="3240D50C" w14:textId="77777777" w:rsidTr="00D0646E">
        <w:tc>
          <w:tcPr>
            <w:tcW w:w="3397" w:type="dxa"/>
          </w:tcPr>
          <w:p w14:paraId="59BCC745" w14:textId="0BEFDD91" w:rsidR="00D0646E" w:rsidRDefault="00D0646E" w:rsidP="00B0059B">
            <w:pPr>
              <w:jc w:val="both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  <w:t>RADICADO:</w:t>
            </w:r>
          </w:p>
        </w:tc>
        <w:tc>
          <w:tcPr>
            <w:tcW w:w="5431" w:type="dxa"/>
          </w:tcPr>
          <w:p w14:paraId="3A35851F" w14:textId="02624A20" w:rsidR="00D0646E" w:rsidRDefault="00D0646E" w:rsidP="00B0059B">
            <w:pPr>
              <w:jc w:val="both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  <w:t>760013103004-2020-00270-00</w:t>
            </w:r>
          </w:p>
        </w:tc>
      </w:tr>
      <w:tr w:rsidR="00D0646E" w14:paraId="0B204992" w14:textId="77777777" w:rsidTr="00D0646E">
        <w:tc>
          <w:tcPr>
            <w:tcW w:w="3397" w:type="dxa"/>
          </w:tcPr>
          <w:p w14:paraId="7C39FE94" w14:textId="338190AF" w:rsidR="00D0646E" w:rsidRDefault="00D0646E" w:rsidP="00B0059B">
            <w:pPr>
              <w:jc w:val="both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  <w:t>DEMANDANTE:</w:t>
            </w:r>
          </w:p>
        </w:tc>
        <w:tc>
          <w:tcPr>
            <w:tcW w:w="5431" w:type="dxa"/>
          </w:tcPr>
          <w:p w14:paraId="57E87012" w14:textId="554341EA" w:rsidR="00D0646E" w:rsidRDefault="00D0646E" w:rsidP="00B0059B">
            <w:pPr>
              <w:jc w:val="both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  <w:t>FANNY MONTENEGRO DE LUCERO</w:t>
            </w:r>
          </w:p>
        </w:tc>
      </w:tr>
      <w:tr w:rsidR="00D0646E" w14:paraId="51645541" w14:textId="77777777" w:rsidTr="00D0646E">
        <w:tc>
          <w:tcPr>
            <w:tcW w:w="3397" w:type="dxa"/>
          </w:tcPr>
          <w:p w14:paraId="70B31025" w14:textId="0348F4ED" w:rsidR="00D0646E" w:rsidRDefault="00D0646E" w:rsidP="00B0059B">
            <w:pPr>
              <w:jc w:val="both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  <w:t>DEMANDADO:</w:t>
            </w:r>
          </w:p>
        </w:tc>
        <w:tc>
          <w:tcPr>
            <w:tcW w:w="5431" w:type="dxa"/>
          </w:tcPr>
          <w:p w14:paraId="207F5ECB" w14:textId="14542447" w:rsidR="00D0646E" w:rsidRDefault="00D0646E" w:rsidP="00B0059B">
            <w:pPr>
              <w:jc w:val="both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  <w:t>CIUDADALA COMERCIAL UNICENTRO CALI PH</w:t>
            </w:r>
          </w:p>
        </w:tc>
      </w:tr>
      <w:tr w:rsidR="00D0646E" w14:paraId="77078590" w14:textId="77777777" w:rsidTr="00D0646E">
        <w:tc>
          <w:tcPr>
            <w:tcW w:w="3397" w:type="dxa"/>
          </w:tcPr>
          <w:p w14:paraId="683882B5" w14:textId="76D754EC" w:rsidR="00D0646E" w:rsidRDefault="00D0646E" w:rsidP="00B0059B">
            <w:pPr>
              <w:jc w:val="both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  <w:t>LLAMADOS EN GARANTÍA:</w:t>
            </w:r>
          </w:p>
        </w:tc>
        <w:tc>
          <w:tcPr>
            <w:tcW w:w="5431" w:type="dxa"/>
          </w:tcPr>
          <w:p w14:paraId="15533130" w14:textId="68F4D029" w:rsidR="00D0646E" w:rsidRDefault="00D0646E" w:rsidP="00B0059B">
            <w:pPr>
              <w:jc w:val="both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  <w:t>-CHUBB SEGUROS COLOMBIA S.A.</w:t>
            </w:r>
          </w:p>
          <w:p w14:paraId="47D1CA89" w14:textId="12E298DA" w:rsidR="00D0646E" w:rsidRDefault="00D0646E" w:rsidP="00B0059B">
            <w:pPr>
              <w:jc w:val="both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  <w:t>-MAPFRE SEGUROS GENERALES DE COLOMBIA S.A.</w:t>
            </w:r>
          </w:p>
          <w:p w14:paraId="6E065CCA" w14:textId="664F30A5" w:rsidR="00D0646E" w:rsidRDefault="00D0646E" w:rsidP="00B0059B">
            <w:pPr>
              <w:jc w:val="both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  <w:t>-AXA COLPATRIA SEGUROS S.A.</w:t>
            </w:r>
          </w:p>
          <w:p w14:paraId="5AFB5562" w14:textId="070A0D00" w:rsidR="00D0646E" w:rsidRDefault="00D0646E" w:rsidP="00B0059B">
            <w:pPr>
              <w:jc w:val="both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  <w:t>-ALLIANZ SEGUROS S.A.</w:t>
            </w:r>
          </w:p>
        </w:tc>
      </w:tr>
    </w:tbl>
    <w:p w14:paraId="08309133" w14:textId="22A355B5" w:rsidR="00D0646E" w:rsidRDefault="00D0646E" w:rsidP="00B0059B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</w:pPr>
    </w:p>
    <w:p w14:paraId="67FCBC18" w14:textId="77777777" w:rsidR="00D0646E" w:rsidRDefault="00D0646E" w:rsidP="00B0059B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</w:pPr>
    </w:p>
    <w:p w14:paraId="4056D4F7" w14:textId="1E47E5A1" w:rsidR="00B0059B" w:rsidRDefault="00D0646E" w:rsidP="00B0059B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E</w:t>
      </w:r>
      <w:r w:rsidR="00B0059B" w:rsidRPr="00B0059B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s necesario tener en cuenta que, de conformidad con la liquidación de costas aprobada por el Despacho mediante auto</w:t>
      </w:r>
      <w:r w:rsidR="002F7F15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 No. 583 del 19 de mayo de 2025</w:t>
      </w:r>
      <w:r w:rsidR="00B0059B" w:rsidRPr="00B0059B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, el valor que corresponde a cargo de la parte demandante asciende a la suma de $</w:t>
      </w:r>
      <w:r w:rsidR="002F7F15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6.000.000</w:t>
      </w:r>
      <w:r w:rsidR="00B6145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 a favor de los demandados y llamados en garantía, sin discriminación alguna del porcentaje por lo que el resultado sería el siguiente:</w:t>
      </w:r>
    </w:p>
    <w:p w14:paraId="3B142F64" w14:textId="106AE4C0" w:rsidR="00B6145F" w:rsidRDefault="00B6145F" w:rsidP="00B0059B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6145F" w14:paraId="08AEAFD8" w14:textId="77777777" w:rsidTr="00B6145F">
        <w:tc>
          <w:tcPr>
            <w:tcW w:w="4414" w:type="dxa"/>
          </w:tcPr>
          <w:p w14:paraId="11CF7617" w14:textId="1FAEEFAC" w:rsidR="00B6145F" w:rsidRDefault="00B6145F" w:rsidP="00B0059B">
            <w:pPr>
              <w:jc w:val="both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  <w:t>CIUDADALA COMERCIAL UNICENTRO CALI PH</w:t>
            </w:r>
          </w:p>
        </w:tc>
        <w:tc>
          <w:tcPr>
            <w:tcW w:w="4414" w:type="dxa"/>
          </w:tcPr>
          <w:p w14:paraId="5EF218CF" w14:textId="5B0DBC7A" w:rsidR="00B6145F" w:rsidRDefault="00B6145F" w:rsidP="00B6145F">
            <w:pPr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  <w:t>$1.200.000</w:t>
            </w:r>
          </w:p>
        </w:tc>
      </w:tr>
      <w:tr w:rsidR="00B6145F" w14:paraId="207FB1EA" w14:textId="77777777" w:rsidTr="00B6145F">
        <w:tc>
          <w:tcPr>
            <w:tcW w:w="4414" w:type="dxa"/>
          </w:tcPr>
          <w:p w14:paraId="309CA180" w14:textId="1B332016" w:rsidR="00B6145F" w:rsidRPr="006A6ECF" w:rsidRDefault="00B6145F" w:rsidP="00B0059B">
            <w:pPr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  <w:r w:rsidRPr="006A6E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  <w:t>CHUBB SEGUROS COLOMBIA S.A</w:t>
            </w:r>
          </w:p>
        </w:tc>
        <w:tc>
          <w:tcPr>
            <w:tcW w:w="4414" w:type="dxa"/>
          </w:tcPr>
          <w:p w14:paraId="03EC6F8A" w14:textId="243F81F1" w:rsidR="00B6145F" w:rsidRPr="006A6ECF" w:rsidRDefault="00B6145F" w:rsidP="00B6145F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  <w:r w:rsidRPr="006A6E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  <w:t>$1.200.000</w:t>
            </w:r>
          </w:p>
        </w:tc>
      </w:tr>
      <w:tr w:rsidR="00B6145F" w14:paraId="739E5B58" w14:textId="77777777" w:rsidTr="00B6145F">
        <w:tc>
          <w:tcPr>
            <w:tcW w:w="4414" w:type="dxa"/>
          </w:tcPr>
          <w:p w14:paraId="5DD91AFF" w14:textId="24A18D49" w:rsidR="00B6145F" w:rsidRDefault="00B6145F" w:rsidP="00B0059B">
            <w:pPr>
              <w:jc w:val="both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  <w:t>MAPFRE SEGUROS GENERALES DE COLOMBIA S.A</w:t>
            </w:r>
          </w:p>
        </w:tc>
        <w:tc>
          <w:tcPr>
            <w:tcW w:w="4414" w:type="dxa"/>
          </w:tcPr>
          <w:p w14:paraId="6CEDA34B" w14:textId="561F03B7" w:rsidR="00B6145F" w:rsidRDefault="00B6145F" w:rsidP="00B6145F">
            <w:pPr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  <w:t>$1.200.000</w:t>
            </w:r>
          </w:p>
        </w:tc>
      </w:tr>
      <w:tr w:rsidR="00B6145F" w14:paraId="712E45CA" w14:textId="77777777" w:rsidTr="00B6145F">
        <w:tc>
          <w:tcPr>
            <w:tcW w:w="4414" w:type="dxa"/>
          </w:tcPr>
          <w:p w14:paraId="1D233CC7" w14:textId="30621E38" w:rsidR="00B6145F" w:rsidRDefault="00B6145F" w:rsidP="00B0059B">
            <w:pPr>
              <w:jc w:val="both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  <w:t>AXA COLPATRIA SEGUROS S.A.</w:t>
            </w:r>
          </w:p>
        </w:tc>
        <w:tc>
          <w:tcPr>
            <w:tcW w:w="4414" w:type="dxa"/>
          </w:tcPr>
          <w:p w14:paraId="6BDF50DE" w14:textId="37BC95C6" w:rsidR="00B6145F" w:rsidRDefault="00B6145F" w:rsidP="00B6145F">
            <w:pPr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  <w:t>$1.200.000</w:t>
            </w:r>
          </w:p>
        </w:tc>
      </w:tr>
      <w:tr w:rsidR="00B6145F" w14:paraId="2BB1EEC1" w14:textId="77777777" w:rsidTr="00B6145F">
        <w:tc>
          <w:tcPr>
            <w:tcW w:w="4414" w:type="dxa"/>
          </w:tcPr>
          <w:p w14:paraId="17383B04" w14:textId="52EF21C2" w:rsidR="00B6145F" w:rsidRDefault="00B6145F" w:rsidP="00B0059B">
            <w:pPr>
              <w:jc w:val="both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  <w:t>ALLIANZ SEGUROS S.A.</w:t>
            </w:r>
          </w:p>
        </w:tc>
        <w:tc>
          <w:tcPr>
            <w:tcW w:w="4414" w:type="dxa"/>
          </w:tcPr>
          <w:p w14:paraId="633CB9D4" w14:textId="36FA2E2B" w:rsidR="00B6145F" w:rsidRDefault="00B6145F" w:rsidP="00B6145F">
            <w:pPr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  <w:t>$1.200.000</w:t>
            </w:r>
          </w:p>
        </w:tc>
      </w:tr>
    </w:tbl>
    <w:p w14:paraId="78D584C9" w14:textId="77777777" w:rsidR="00B0059B" w:rsidRPr="00B0059B" w:rsidRDefault="00B0059B" w:rsidP="00B0059B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</w:pPr>
    </w:p>
    <w:p w14:paraId="5E34D79A" w14:textId="76C4A490" w:rsidR="00B0059B" w:rsidRPr="00B0059B" w:rsidRDefault="00B0059B" w:rsidP="00B0059B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</w:pPr>
      <w:r w:rsidRPr="00B0059B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Sobre el particular, debe señalarse que en el expediente no se encuentran documentos que señalen la fecha de expedición de la cédula de </w:t>
      </w:r>
      <w:r w:rsidR="00B6145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la demandante</w:t>
      </w:r>
      <w:r w:rsidRPr="00B0059B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 pues no se adjuntaron con el escrito de demanda, subsanación y/o poder, razón por la cual no se pudo acceder a la información del RUAF. </w:t>
      </w:r>
    </w:p>
    <w:p w14:paraId="2C4020EA" w14:textId="77777777" w:rsidR="00B0059B" w:rsidRPr="00B0059B" w:rsidRDefault="00B0059B" w:rsidP="00B0059B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</w:pPr>
      <w:r w:rsidRPr="00B0059B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 </w:t>
      </w:r>
    </w:p>
    <w:p w14:paraId="333B6F0D" w14:textId="1F4FC01A" w:rsidR="00B0059B" w:rsidRPr="00B0059B" w:rsidRDefault="00B0059B" w:rsidP="00B0059B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</w:pPr>
      <w:r w:rsidRPr="00B0059B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Ahora bien, de acuerdo con la información encontrada de la</w:t>
      </w:r>
      <w:r w:rsidR="002F7F15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 demandante</w:t>
      </w:r>
      <w:r w:rsidRPr="00B0059B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 en ADRES</w:t>
      </w:r>
      <w:r w:rsidR="006A6EC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 y </w:t>
      </w:r>
      <w:r w:rsidRPr="00B0059B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Supernotariado se verifica que:</w:t>
      </w:r>
    </w:p>
    <w:p w14:paraId="0A20087D" w14:textId="73DE96B0" w:rsidR="00B0059B" w:rsidRDefault="00B0059B" w:rsidP="00B0059B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</w:pPr>
      <w:r w:rsidRPr="00B0059B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 </w:t>
      </w:r>
    </w:p>
    <w:p w14:paraId="3D47D872" w14:textId="77777777" w:rsidR="00B6145F" w:rsidRPr="00B0059B" w:rsidRDefault="00B6145F" w:rsidP="00B0059B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</w:pPr>
    </w:p>
    <w:p w14:paraId="2B918217" w14:textId="08386D79" w:rsidR="00792762" w:rsidRDefault="002F7F15" w:rsidP="00792762">
      <w:pPr>
        <w:pStyle w:val="Prrafodelista"/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La señora</w:t>
      </w: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:lang w:eastAsia="es-CO"/>
          <w14:ligatures w14:val="none"/>
        </w:rPr>
        <w:t xml:space="preserve"> FANNY MONTENEGRO </w:t>
      </w:r>
      <w:r w:rsidR="00B0059B" w:rsidRPr="00B0059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:lang w:eastAsia="es-CO"/>
          <w14:ligatures w14:val="none"/>
        </w:rPr>
        <w:t xml:space="preserve">(CC: </w:t>
      </w: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:lang w:eastAsia="es-CO"/>
          <w14:ligatures w14:val="none"/>
        </w:rPr>
        <w:t>25.253.663</w:t>
      </w:r>
      <w:r w:rsidR="00B0059B" w:rsidRPr="00B0059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:lang w:eastAsia="es-CO"/>
          <w14:ligatures w14:val="none"/>
        </w:rPr>
        <w:t>)</w:t>
      </w:r>
      <w:r w:rsidR="00B0059B" w:rsidRPr="00B0059B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 </w:t>
      </w:r>
      <w:r w:rsidR="00792762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S</w:t>
      </w:r>
      <w:r w:rsidR="00B0059B" w:rsidRPr="00B0059B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e encuentra afiliado al Sistema de Seguridad Social en Salud</w:t>
      </w:r>
      <w:r w:rsidR="00792762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 bajo el régimen contributivo en calidad de cotizante, afiliado a la EPS SANITAS S.A.</w:t>
      </w:r>
    </w:p>
    <w:p w14:paraId="77CC6883" w14:textId="5AB4DC87" w:rsidR="00792762" w:rsidRDefault="00792762" w:rsidP="007927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</w:pPr>
    </w:p>
    <w:p w14:paraId="1F7B0C82" w14:textId="77777777" w:rsidR="006A6ECF" w:rsidRDefault="006A6ECF" w:rsidP="007927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</w:pPr>
    </w:p>
    <w:p w14:paraId="43D98263" w14:textId="77777777" w:rsidR="006A6ECF" w:rsidRDefault="006A6ECF" w:rsidP="007927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</w:pPr>
    </w:p>
    <w:p w14:paraId="664EF407" w14:textId="77777777" w:rsidR="006A6ECF" w:rsidRDefault="006A6ECF" w:rsidP="007927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</w:pPr>
    </w:p>
    <w:p w14:paraId="2B61CCC6" w14:textId="77777777" w:rsidR="006A6ECF" w:rsidRDefault="006A6ECF" w:rsidP="007927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</w:pPr>
    </w:p>
    <w:p w14:paraId="3CB502CC" w14:textId="77777777" w:rsidR="006A6ECF" w:rsidRDefault="006A6ECF" w:rsidP="007927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</w:pPr>
    </w:p>
    <w:p w14:paraId="347D8374" w14:textId="77777777" w:rsidR="006A6ECF" w:rsidRDefault="006A6ECF" w:rsidP="007927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</w:pPr>
    </w:p>
    <w:p w14:paraId="0D5B4E11" w14:textId="77777777" w:rsidR="006A6ECF" w:rsidRDefault="006A6ECF" w:rsidP="007927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</w:pPr>
    </w:p>
    <w:p w14:paraId="4DCB1140" w14:textId="77777777" w:rsidR="006A6ECF" w:rsidRDefault="006A6ECF" w:rsidP="007927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</w:pPr>
    </w:p>
    <w:p w14:paraId="677D1ABB" w14:textId="02CEACE2" w:rsidR="00792762" w:rsidRDefault="00792762" w:rsidP="007927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</w:pPr>
      <w:r w:rsidRPr="00792762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drawing>
          <wp:inline distT="0" distB="0" distL="0" distR="0" wp14:anchorId="28DEC0C6" wp14:editId="2CBD4FE7">
            <wp:extent cx="5612130" cy="2201545"/>
            <wp:effectExtent l="19050" t="19050" r="26670" b="273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2015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4BF3383" w14:textId="77777777" w:rsidR="00792762" w:rsidRPr="00792762" w:rsidRDefault="00792762" w:rsidP="007927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</w:pPr>
    </w:p>
    <w:p w14:paraId="3928F564" w14:textId="7557F636" w:rsidR="00B6145F" w:rsidRDefault="00B6145F" w:rsidP="00B6145F">
      <w:pPr>
        <w:pStyle w:val="Prrafodelista"/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La señora </w:t>
      </w: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O"/>
          <w14:ligatures w14:val="none"/>
        </w:rPr>
        <w:t xml:space="preserve">FANNY MONTENEGRO DE LUCERO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no registra como propietaria de bienes inmuebles:</w:t>
      </w:r>
    </w:p>
    <w:p w14:paraId="4A8D7DE9" w14:textId="77777777" w:rsidR="00B6145F" w:rsidRPr="00B6145F" w:rsidRDefault="00B6145F" w:rsidP="00B6145F">
      <w:pPr>
        <w:pStyle w:val="Prrafodelista"/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</w:pPr>
    </w:p>
    <w:p w14:paraId="30133E9D" w14:textId="6D49C7EE" w:rsidR="00B0059B" w:rsidRPr="00B0059B" w:rsidRDefault="00D0646E" w:rsidP="00B0059B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</w:pPr>
      <w:r w:rsidRPr="00D0646E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drawing>
          <wp:inline distT="0" distB="0" distL="0" distR="0" wp14:anchorId="4287E6D4" wp14:editId="0E9144A2">
            <wp:extent cx="5612130" cy="2470150"/>
            <wp:effectExtent l="19050" t="19050" r="26670" b="2540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701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87F9FFD" w14:textId="15405EAD" w:rsidR="00B0059B" w:rsidRPr="00B0059B" w:rsidRDefault="00B0059B" w:rsidP="00B0059B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</w:pPr>
      <w:r w:rsidRPr="00B0059B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 </w:t>
      </w:r>
    </w:p>
    <w:p w14:paraId="73295BAA" w14:textId="5AF43343" w:rsidR="00B0059B" w:rsidRDefault="004A2274" w:rsidP="004A2274">
      <w:pPr>
        <w:pStyle w:val="Prrafodelista"/>
        <w:numPr>
          <w:ilvl w:val="0"/>
          <w:numId w:val="5"/>
        </w:numPr>
        <w:shd w:val="clear" w:color="auto" w:fill="FFFFFF"/>
        <w:spacing w:after="0" w:line="240" w:lineRule="auto"/>
        <w:ind w:left="284"/>
        <w:jc w:val="both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La demandante no registra como propietaria de algún establecimiento de comercio o sociedad comercial conforme consulta en el RUES.</w:t>
      </w:r>
    </w:p>
    <w:p w14:paraId="5679113E" w14:textId="25944F65" w:rsidR="004A2274" w:rsidRDefault="004A2274" w:rsidP="004A2274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</w:pPr>
    </w:p>
    <w:p w14:paraId="45B6A5DD" w14:textId="2825D447" w:rsidR="004A2274" w:rsidRPr="004A2274" w:rsidRDefault="004A2274" w:rsidP="004A2274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</w:pPr>
      <w:r w:rsidRPr="004A2274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drawing>
          <wp:inline distT="0" distB="0" distL="0" distR="0" wp14:anchorId="4E4D6D8D" wp14:editId="26D86A53">
            <wp:extent cx="5642610" cy="2337435"/>
            <wp:effectExtent l="19050" t="19050" r="15240" b="2476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58490" cy="234401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4AE6FCA" w14:textId="3FE5DB41" w:rsidR="00B0059B" w:rsidRDefault="00B0059B" w:rsidP="00B0059B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</w:pPr>
      <w:r w:rsidRPr="00B0059B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lastRenderedPageBreak/>
        <w:t>Dado lo expuesto, se estima </w:t>
      </w:r>
      <w:r w:rsidR="008A0AA0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como </w:t>
      </w:r>
      <w:r w:rsidR="008A0AA0" w:rsidRPr="008A0AA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:lang w:eastAsia="es-CO"/>
          <w14:ligatures w14:val="none"/>
        </w:rPr>
        <w:t xml:space="preserve">no </w:t>
      </w:r>
      <w:r w:rsidRPr="008A0AA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:lang w:eastAsia="es-CO"/>
          <w14:ligatures w14:val="none"/>
        </w:rPr>
        <w:t>viable</w:t>
      </w:r>
      <w:r w:rsidRPr="00B0059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:lang w:eastAsia="es-CO"/>
          <w14:ligatures w14:val="none"/>
        </w:rPr>
        <w:t> el cobro</w:t>
      </w:r>
      <w:r w:rsidRPr="00B0059B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 de las costas procesales en este caso toda vez que </w:t>
      </w:r>
      <w:r w:rsidR="008A0AA0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la demandante</w:t>
      </w:r>
      <w:r w:rsidR="004A2274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 si bien re</w:t>
      </w:r>
      <w:r w:rsidR="00F16454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gistra como cotizante en el sistema general de seguridad social en salud, se trata de una persona noventa (90) años quien por su edad posiblemente no se encuentra empleada</w:t>
      </w:r>
      <w:r w:rsidRPr="00B0059B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 y, </w:t>
      </w:r>
      <w:r w:rsidR="008A0AA0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además</w:t>
      </w:r>
      <w:r w:rsidRPr="00B0059B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,</w:t>
      </w:r>
      <w:r w:rsidR="008A0AA0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 no se tiene registro de </w:t>
      </w:r>
      <w:r w:rsidR="006A6ECF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b</w:t>
      </w:r>
      <w:r w:rsidR="008A0AA0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ienes </w:t>
      </w:r>
      <w:r w:rsidR="00F16454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 xml:space="preserve">inmuebles a su nombre o es propietaria de establecimiento de comercio alguno sobre el cual se pueda imponer medida para </w:t>
      </w:r>
      <w:r w:rsidR="008A0AA0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garantizar la obligación</w:t>
      </w:r>
      <w:r w:rsidR="00F16454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t>.</w:t>
      </w:r>
    </w:p>
    <w:p w14:paraId="70191032" w14:textId="0C8F483A" w:rsidR="00F16454" w:rsidRDefault="00F16454" w:rsidP="00B0059B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</w:pPr>
    </w:p>
    <w:p w14:paraId="6FD2887F" w14:textId="3BEF491C" w:rsidR="00F16454" w:rsidRPr="00B0059B" w:rsidRDefault="00F16454" w:rsidP="00B0059B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</w:pPr>
      <w:r>
        <w:rPr>
          <w:rFonts w:ascii="Calibri" w:eastAsia="Times New Roman" w:hAnsi="Calibri" w:cs="Calibri"/>
          <w:noProof/>
          <w:color w:val="000000"/>
          <w:kern w:val="0"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D49A26" wp14:editId="28321158">
                <wp:simplePos x="0" y="0"/>
                <wp:positionH relativeFrom="margin">
                  <wp:align>left</wp:align>
                </wp:positionH>
                <wp:positionV relativeFrom="paragraph">
                  <wp:posOffset>713105</wp:posOffset>
                </wp:positionV>
                <wp:extent cx="2811780" cy="441960"/>
                <wp:effectExtent l="0" t="0" r="26670" b="1524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1780" cy="4419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49529F8" id="Rectángulo 5" o:spid="_x0000_s1026" style="position:absolute;margin-left:0;margin-top:56.15pt;width:221.4pt;height:34.8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" filled="f" strokecolor="red" strokeweight="1pt">
                <w10:wrap anchorx="margin"/>
              </v:rect>
            </w:pict>
          </mc:Fallback>
        </mc:AlternateContent>
      </w:r>
      <w:r w:rsidRPr="00F16454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  <w:drawing>
          <wp:inline distT="0" distB="0" distL="0" distR="0" wp14:anchorId="22C2BADA" wp14:editId="0DFA594C">
            <wp:extent cx="5612130" cy="2691130"/>
            <wp:effectExtent l="19050" t="19050" r="26670" b="1397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911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3034292" w14:textId="77777777" w:rsidR="00B0059B" w:rsidRPr="00B0059B" w:rsidRDefault="00B0059B" w:rsidP="00B0059B">
      <w:pPr>
        <w:shd w:val="clear" w:color="auto" w:fill="FFFFFF"/>
        <w:spacing w:after="24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</w:pPr>
    </w:p>
    <w:p w14:paraId="2F1D98A2" w14:textId="55380460" w:rsidR="00B0059B" w:rsidRPr="00B0059B" w:rsidRDefault="00B0059B" w:rsidP="00B0059B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O"/>
          <w14:ligatures w14:val="none"/>
        </w:rPr>
      </w:pPr>
    </w:p>
    <w:p w14:paraId="360B6227" w14:textId="77777777" w:rsidR="001D488D" w:rsidRPr="00B0059B" w:rsidRDefault="001D488D" w:rsidP="00B0059B">
      <w:pPr>
        <w:jc w:val="both"/>
        <w:rPr>
          <w:rFonts w:ascii="Calibri" w:hAnsi="Calibri" w:cs="Calibri"/>
        </w:rPr>
      </w:pPr>
    </w:p>
    <w:sectPr w:rsidR="001D488D" w:rsidRPr="00B0059B" w:rsidSect="00B0059B">
      <w:pgSz w:w="12240" w:h="15840"/>
      <w:pgMar w:top="426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0166"/>
    <w:multiLevelType w:val="hybridMultilevel"/>
    <w:tmpl w:val="EC343004"/>
    <w:lvl w:ilvl="0" w:tplc="7514093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F6AB0"/>
    <w:multiLevelType w:val="multilevel"/>
    <w:tmpl w:val="72F0C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7E7C77"/>
    <w:multiLevelType w:val="multilevel"/>
    <w:tmpl w:val="49084B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3E7865"/>
    <w:multiLevelType w:val="multilevel"/>
    <w:tmpl w:val="21ECB0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5C265B"/>
    <w:multiLevelType w:val="multilevel"/>
    <w:tmpl w:val="3A8A3C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59B"/>
    <w:rsid w:val="00095E81"/>
    <w:rsid w:val="001D488D"/>
    <w:rsid w:val="002F7F15"/>
    <w:rsid w:val="004A2274"/>
    <w:rsid w:val="004A7C13"/>
    <w:rsid w:val="006569F5"/>
    <w:rsid w:val="006A6ECF"/>
    <w:rsid w:val="00792762"/>
    <w:rsid w:val="008A0AA0"/>
    <w:rsid w:val="00B0059B"/>
    <w:rsid w:val="00B6145F"/>
    <w:rsid w:val="00B726E1"/>
    <w:rsid w:val="00D0646E"/>
    <w:rsid w:val="00F1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16579"/>
  <w15:chartTrackingRefBased/>
  <w15:docId w15:val="{2403F0CA-0E78-495D-8D82-361BEBDB0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005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005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005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005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005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005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005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005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005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005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005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005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0059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0059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0059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0059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0059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0059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005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005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005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005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005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0059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0059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0059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005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0059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0059B"/>
    <w:rPr>
      <w:b/>
      <w:bCs/>
      <w:smallCaps/>
      <w:color w:val="0F4761" w:themeColor="accent1" w:themeShade="BF"/>
      <w:spacing w:val="5"/>
    </w:rPr>
  </w:style>
  <w:style w:type="character" w:customStyle="1" w:styleId="mark0wod162ez">
    <w:name w:val="mark0wod162ez"/>
    <w:basedOn w:val="Fuentedeprrafopredeter"/>
    <w:rsid w:val="00B0059B"/>
  </w:style>
  <w:style w:type="table" w:styleId="Tablaconcuadrcula">
    <w:name w:val="Table Grid"/>
    <w:basedOn w:val="Tablanormal"/>
    <w:uiPriority w:val="39"/>
    <w:rsid w:val="00D06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5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068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218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1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4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94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20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60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370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Marlyn Katherine Rodríguez Rincón</dc:creator>
  <cp:keywords/>
  <dc:description/>
  <cp:lastModifiedBy>Brayan Stiven Duran Mahecha</cp:lastModifiedBy>
  <cp:revision>2</cp:revision>
  <dcterms:created xsi:type="dcterms:W3CDTF">2024-07-18T16:56:00Z</dcterms:created>
  <dcterms:modified xsi:type="dcterms:W3CDTF">2025-06-11T22:33:00Z</dcterms:modified>
</cp:coreProperties>
</file>